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8x3510hzlv26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Example 1: Earnings Data Agent – "Revenue &amp; Margin Trend Extraction"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Banker types: </w:t>
      </w:r>
      <w:r w:rsidDel="00000000" w:rsidR="00000000" w:rsidRPr="00000000">
        <w:rPr>
          <w:i w:val="1"/>
          <w:rtl w:val="0"/>
        </w:rPr>
        <w:t xml:space="preserve">"What’s the trend in gross margin and top-line growth for ServiceNow over the past 4 quarters?"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 SEC filings (10-Qs), Earnings Press Releases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Output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Revenue Growth (YoY):</w:t>
      </w:r>
      <w:r w:rsidDel="00000000" w:rsidR="00000000" w:rsidRPr="00000000">
        <w:rPr>
          <w:rtl w:val="0"/>
        </w:rPr>
        <w:t xml:space="preserve"> Q1’25: +20.6%, Q4’24: +18.9%, Q3’24: +21.2%, Q2’24: +19.4%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Gross Margin Trend:</w:t>
      </w:r>
      <w:r w:rsidDel="00000000" w:rsidR="00000000" w:rsidRPr="00000000">
        <w:rPr>
          <w:rtl w:val="0"/>
        </w:rPr>
        <w:t xml:space="preserve"> Q1’25: 81.1%, Q4’24: 80.7%, Q3’24: 81.5%, Q2’24: 80.9%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"Sustained margin profile signals efficient scaling despite macro headwinds."</w:t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 Shows multi-quarter aggregation, ratio derivation, and forward-looking narrative—all autonomously done by the data agent.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kpb4dsdo24rf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Example 2: SEC + Dealogic Agent – "Tariff Exposure + M&amp;A Activity Summary"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Banker types: </w:t>
      </w:r>
      <w:r w:rsidDel="00000000" w:rsidR="00000000" w:rsidRPr="00000000">
        <w:rPr>
          <w:i w:val="1"/>
          <w:rtl w:val="0"/>
        </w:rPr>
        <w:t xml:space="preserve">"Has ServiceNow cited tariff impacts or made recent acquisitions?"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 SEC Risk Factors (10-K), Dealogic M&amp;A tracker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Output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Tariff Exposure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"In its 2024 10-K, ServiceNow listed 'geopolitical shifts in tariff regimes' as a potential risk impacting global sales ops, especially in APAC."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Recent M&amp;A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"Acquired 4me (NL-based ITSM platform) on Jan 2025 for $142M (EV/Sales 6.1x). Integration aimed at expanding mid-market European presence."</w:t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 Combines structured and unstructured sources and contextualizes with insight relevant for meeting prep.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these formatted into slide-friendly bullet points or user prompt/output UI mockups!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3es5id1c0qfg" w:id="2"/>
      <w:bookmarkEnd w:id="2"/>
      <w:r w:rsidDel="00000000" w:rsidR="00000000" w:rsidRPr="00000000">
        <w:rPr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 you give a few more examples</w:t>
      </w:r>
    </w:p>
    <w:p w:rsidR="00000000" w:rsidDel="00000000" w:rsidP="00000000" w:rsidRDefault="00000000" w:rsidRPr="00000000" w14:paraId="00000013">
      <w:pPr>
        <w:pStyle w:val="Heading6"/>
        <w:keepNext w:val="0"/>
        <w:keepLines w:val="0"/>
        <w:rPr>
          <w:sz w:val="18"/>
          <w:szCs w:val="18"/>
        </w:rPr>
      </w:pPr>
      <w:bookmarkStart w:colFirst="0" w:colLast="0" w:name="_x57mwrnpoxb4" w:id="3"/>
      <w:bookmarkEnd w:id="3"/>
      <w:r w:rsidDel="00000000" w:rsidR="00000000" w:rsidRPr="00000000">
        <w:rPr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Absolutely—here are </w:t>
      </w:r>
      <w:r w:rsidDel="00000000" w:rsidR="00000000" w:rsidRPr="00000000">
        <w:rPr>
          <w:b w:val="1"/>
          <w:rtl w:val="0"/>
        </w:rPr>
        <w:t xml:space="preserve">four more examples</w:t>
      </w:r>
      <w:r w:rsidDel="00000000" w:rsidR="00000000" w:rsidRPr="00000000">
        <w:rPr>
          <w:rtl w:val="0"/>
        </w:rPr>
        <w:t xml:space="preserve"> you can plug into the </w:t>
      </w:r>
      <w:r w:rsidDel="00000000" w:rsidR="00000000" w:rsidRPr="00000000">
        <w:rPr>
          <w:b w:val="1"/>
          <w:rtl w:val="0"/>
        </w:rPr>
        <w:t xml:space="preserve">Data Agent Workflow</w:t>
      </w:r>
      <w:r w:rsidDel="00000000" w:rsidR="00000000" w:rsidRPr="00000000">
        <w:rPr>
          <w:rtl w:val="0"/>
        </w:rPr>
        <w:t xml:space="preserve"> to show versatility across data types (financials, market signals, strategic insights, etc.):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43g07x1cw2ts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Example 3: News + Analyst Commentary Agent – "Regulatory Impact Summary"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"Has the company responded to any recent AI regulations in the EU?"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: Reuters, Bloomberg Terminal headlines, equity analyst reports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Output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News Summary (April 2025)</w:t>
      </w:r>
      <w:r w:rsidDel="00000000" w:rsidR="00000000" w:rsidRPr="00000000">
        <w:rPr>
          <w:rtl w:val="0"/>
        </w:rPr>
        <w:t xml:space="preserve">: “EU AI Act expected to impact automation workflows. ServiceNow has stated intent to align with compliance standards.”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Analyst Note</w:t>
      </w:r>
      <w:r w:rsidDel="00000000" w:rsidR="00000000" w:rsidRPr="00000000">
        <w:rPr>
          <w:rtl w:val="0"/>
        </w:rPr>
        <w:t xml:space="preserve">: Goldman Sachs highlighted: “We see minimal revenue risk due to proactive compliance and enterprise positioning.”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No change to forward guidance—market reaction muted.</w:t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 Shows real-time media monitoring + analyst synthesis—very prep-relevant.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mgrtfypstm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Example 4: Internal CRM + Dealogic – "White-Space in Product Penetration"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"Where are we underpenetrated in this account?"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: Internal CRM, product usage logs, Dealogic wallet-share estimates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Agent Output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 Usage Gaps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2040" w:right="600" w:hanging="360"/>
      </w:pPr>
      <w:r w:rsidDel="00000000" w:rsidR="00000000" w:rsidRPr="00000000">
        <w:rPr>
          <w:rtl w:val="0"/>
        </w:rPr>
        <w:t xml:space="preserve">No uptake on Procurement Cloud, HR Service Delivery, or Industry-Specific Modules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Revenue Wallet Gap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2040" w:right="600" w:hanging="360"/>
      </w:pPr>
      <w:r w:rsidDel="00000000" w:rsidR="00000000" w:rsidRPr="00000000">
        <w:rPr>
          <w:rtl w:val="0"/>
        </w:rPr>
        <w:t xml:space="preserve">We capture 38% of estimated tech spend in Digital Ops vs. peers at 62%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Pitch Hook</w:t>
      </w:r>
      <w:r w:rsidDel="00000000" w:rsidR="00000000" w:rsidRPr="00000000">
        <w:rPr>
          <w:rtl w:val="0"/>
        </w:rPr>
        <w:t xml:space="preserve">: “Enterprise IT spend optimization using automation in under-utilized workflows”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 Mixes internal + external data to guide banker strategy.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iu9g2huydmrj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Example 5: SEC Filings + Risk Factors – "Geopolitical Risk Flagging"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"Are there any geopolitical risks that have recently been emphasized?"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SEC 10-K and 10-Q risk sections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Output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"In 2024 filings, ServiceNow elevated language around ‘Taiwan Strait tensions’ impacting hardware supply chain."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"Also noted cybersecurity escalation due to U.S.-China export controls."</w:t>
        <w:br w:type="textWrapping"/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 Highlights semantic shifts across filings—can be compared to previous years automatically.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8q6qszi6ijrf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Example 6: Earnings Call Agent – "Exec Commentary Synthesizer"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"What did the CFO say about enterprise demand softness in the last call?"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Earnings call transcript (Q1 2025)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Output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“We’re seeing elongation in sales cycles within financial services—buyers are cautious but not pulling back entirely.” — Gina Matsumono (CFO)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“We’ve shifted focus to land-and-expand versus upfront platform deals.”</w:t>
        <w:br w:type="textWrapping"/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 Extracts voice-of-executive signal and ties it to pitch approach.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