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3590"/>
        <w:gridCol w:w="3905"/>
        <w:tblGridChange w:id="0">
          <w:tblGrid>
            <w:gridCol w:w="1895"/>
            <w:gridCol w:w="3590"/>
            <w:gridCol w:w="3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&amp;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Total Revenue, Net Income / Loss, Operating Income, Gross Profit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All companies must file these with consistent XBRL tags (e.g.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Revenues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NetIncomeLoss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 Sheet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Total Assets, Total Liabilities, Shareholders’ Equity, Cash &amp; Cash Equivalents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Uniformly tagged; always appear in the consolidated balance sheet section.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Cash Flow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Net Cash from Operating Activities, Investing Activities, Financing 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Well-defined XBRL structure; tables are consistent across issuers.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Basic Ratios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Earnings Per Share (Basic/Diluted), Total Debt to Equity, Operating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Computable directly from standardized fields.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Revenue by segment (if clearly tabulated)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Often tabled with labeled segments; usually accessible.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Common Per-Share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Weighted Average Shares Outstanding, Dividends Per Share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Tagged consistently for 10-Q/10-K filers.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3050"/>
        <w:gridCol w:w="4010"/>
        <w:tblGridChange w:id="0">
          <w:tblGrid>
            <w:gridCol w:w="2330"/>
            <w:gridCol w:w="3050"/>
            <w:gridCol w:w="4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Harder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Non-GAAP 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Adjusted EBITDA, Core Earnings, Non-GAAP Net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Companies define these differently; often only appear in MD&amp;A text or press releases with custom tables (no standard tags).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Guidance / Forecasts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“We expect FY 2025 revenue growth of 8–10%”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Appears only in prose; requires entity-aware NLP and time-series context linking.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Ratios or Derived Measures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ROA, ROE, FCF Yield, Operating 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Need formula composition from multiple tables or MD&amp;A explanations.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Segment-Level Margins &amp; KPIs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Cloud Margin, Net Retention Rate, Bookings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Disclosed inconsistently; requires semantic understanding of tables and labels.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Performance 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ARR, ARPU, GMV, DAUs/MAUs (for tech companies)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Not filed with XBRL tags; appear in narrative or inline HTML tables only.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Reconciliations (Non-GAAP ↔ GAAP)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“Adjusted Net Income = GAAP Net Income + Stock-Based Compensation + …”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Parsing requires table structure recognition and text alignment across sections.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Footnotes / Disclosures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Stock-based Compensation Expense by Segment, Tax Rate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Nested in notes; complex hierarchies and cross-references.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since the image lays out </w:t>
      </w:r>
      <w:r w:rsidDel="00000000" w:rsidR="00000000" w:rsidRPr="00000000">
        <w:rPr>
          <w:i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 (structured, XBRL-style metrics) and </w:t>
      </w:r>
      <w:r w:rsidDel="00000000" w:rsidR="00000000" w:rsidRPr="00000000">
        <w:rPr>
          <w:i w:val="1"/>
          <w:rtl w:val="0"/>
        </w:rPr>
        <w:t xml:space="preserve">Harder on Day 1</w:t>
      </w:r>
      <w:r w:rsidDel="00000000" w:rsidR="00000000" w:rsidRPr="00000000">
        <w:rPr>
          <w:rtl w:val="0"/>
        </w:rPr>
        <w:t xml:space="preserve"> (semi-structured metrics like non-GAAP, forecasts, etc.), here are </w:t>
      </w:r>
      <w:r w:rsidDel="00000000" w:rsidR="00000000" w:rsidRPr="00000000">
        <w:rPr>
          <w:b w:val="1"/>
          <w:rtl w:val="0"/>
        </w:rPr>
        <w:t xml:space="preserve">four concise tables</w:t>
      </w:r>
      <w:r w:rsidDel="00000000" w:rsidR="00000000" w:rsidRPr="00000000">
        <w:rPr>
          <w:rtl w:val="0"/>
        </w:rPr>
        <w:t xml:space="preserve"> of example user questions you can directly use in your product spec or evaluation flows.</w:t>
        <w:br w:type="textWrapping"/>
        <w:t xml:space="preserve"> Each table lists </w:t>
      </w:r>
      <w:r w:rsidDel="00000000" w:rsidR="00000000" w:rsidRPr="00000000">
        <w:rPr>
          <w:b w:val="1"/>
          <w:rtl w:val="0"/>
        </w:rPr>
        <w:t xml:space="preserve">five representative sample queries</w:t>
      </w:r>
      <w:r w:rsidDel="00000000" w:rsidR="00000000" w:rsidRPr="00000000">
        <w:rPr>
          <w:rtl w:val="0"/>
        </w:rPr>
        <w:t xml:space="preserve"> for that class of metric and context type.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5lf0al6013nd" w:id="0"/>
      <w:bookmarkEnd w:id="0"/>
      <w:r w:rsidDel="00000000" w:rsidR="00000000" w:rsidRPr="00000000">
        <w:rPr>
          <w:sz w:val="26"/>
          <w:szCs w:val="26"/>
          <w:rtl w:val="0"/>
        </w:rPr>
        <w:t xml:space="preserve">🟢 Table 1 – Day 1 (single-document queries)</w:t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5945"/>
        <w:gridCol w:w="3095"/>
        <w:tblGridChange w:id="0">
          <w:tblGrid>
            <w:gridCol w:w="350"/>
            <w:gridCol w:w="5945"/>
            <w:gridCol w:w="3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User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“What was Apple’s total revenue in its latest 10-K filing?”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Single filing; direct numeric extract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“Show me Microsoft’s net income from its Q2 2025 10-Q.”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One document lookup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“What is Tesla’s operating margin in the most recent quarter?”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Derived from same doc fields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“Give me Alphabet’s total assets and liabilities from its 2024 annual report.”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Balance-sheet fields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“How much cash did Meta report under cash &amp; cash equivalents?”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Cash-flow/balance-sheet extraction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hpbkalkcgta0" w:id="1"/>
      <w:bookmarkEnd w:id="1"/>
      <w:r w:rsidDel="00000000" w:rsidR="00000000" w:rsidRPr="00000000">
        <w:rPr>
          <w:sz w:val="26"/>
          <w:szCs w:val="26"/>
          <w:rtl w:val="0"/>
        </w:rPr>
        <w:t xml:space="preserve">🟢 Table 2 – Day 1 (multi-document queries)</w:t>
      </w:r>
    </w:p>
    <w:tbl>
      <w:tblPr>
        <w:tblStyle w:val="Table4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5900"/>
        <w:gridCol w:w="3140"/>
        <w:tblGridChange w:id="0">
          <w:tblGrid>
            <w:gridCol w:w="350"/>
            <w:gridCol w:w="5900"/>
            <w:gridCol w:w="31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User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“Compare Amazon’s total revenue across the last four 10-Qs.”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Multi-filing aggregation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“Show quarterly EPS trend for Nvidia over the past year.”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Multiple documents, same metric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“List top-line revenue and gross profit for Apple and Microsoft 2023 filings.”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Cross-company comparison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“Calculate year-over-year growth in net income for Tesla.”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Computed across periods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“What was total operating cash flow for the last three filings by JPMorgan?”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Multi-doc retrieval + summarization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4x8jprsmotj1" w:id="2"/>
      <w:bookmarkEnd w:id="2"/>
      <w:r w:rsidDel="00000000" w:rsidR="00000000" w:rsidRPr="00000000">
        <w:rPr>
          <w:sz w:val="26"/>
          <w:szCs w:val="26"/>
          <w:rtl w:val="0"/>
        </w:rPr>
        <w:t xml:space="preserve">🟠 Table 3 – Day 2 (single-document queries / partially structured)</w:t>
      </w:r>
    </w:p>
    <w:tbl>
      <w:tblPr>
        <w:tblStyle w:val="Table5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6410"/>
        <w:gridCol w:w="2630"/>
        <w:tblGridChange w:id="0">
          <w:tblGrid>
            <w:gridCol w:w="350"/>
            <w:gridCol w:w="6410"/>
            <w:gridCol w:w="2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User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“What adjusted EBITDA did Netflix report in its latest 10-Q?”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Non-GAAP table parsing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“Extract any revenue guidance figures from Nvidia’s most recent filing.”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Forecast in MD&amp;A text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“What was Meta’s reported operating leverage in the 2024 annual report?”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Derived ratio from text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“Summarize Shopify’s non-GAAP reconciliation table for Q1 2025.”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Table structure recognition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“List any segment-level margins disclosed in Uber’s 2024 10-K.”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Inconsistent segment tables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n0q05lgemm8r" w:id="3"/>
      <w:bookmarkEnd w:id="3"/>
      <w:r w:rsidDel="00000000" w:rsidR="00000000" w:rsidRPr="00000000">
        <w:rPr>
          <w:sz w:val="26"/>
          <w:szCs w:val="26"/>
          <w:rtl w:val="0"/>
        </w:rPr>
        <w:t xml:space="preserve">🟠 Table 4 – Day 2 (multi-document queries / complex or derived)</w:t>
      </w:r>
    </w:p>
    <w:tbl>
      <w:tblPr>
        <w:tblStyle w:val="Table6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5810"/>
        <w:gridCol w:w="3230"/>
        <w:tblGridChange w:id="0">
          <w:tblGrid>
            <w:gridCol w:w="350"/>
            <w:gridCol w:w="5810"/>
            <w:gridCol w:w="3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User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“Track Apple’s Adjusted EPS versus GAAP EPS over the past eight quarters.”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GAAP↔non-GAAP reconciliation over time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“Compare revenue guidance trends for Microsoft and Google across the last three filings.”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Multi-doc + multi-entity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“Compute YOY change in free-cash-flow yield for Tesla from 2023 to 2024 filings.”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Derived ratios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“Identify all non-GAAP metrics that Meta introduced or dropped over the past two years.”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Taxonomy comparison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“Summarize each quarter’s segment margins for Amazon’s AWS segment and visualize trend.”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Multi-filing, segment-specific metrics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These four tables align directly with the image’s taxonomy: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1 = structured (XBRL-style)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easy numeric extraction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2 = semi-structured (MD&amp;A/non-GAAP)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requires semantic + multi-document reasoning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turn these into </w:t>
      </w:r>
      <w:r w:rsidDel="00000000" w:rsidR="00000000" w:rsidRPr="00000000">
        <w:rPr>
          <w:b w:val="1"/>
          <w:rtl w:val="0"/>
        </w:rPr>
        <w:t xml:space="preserve">synthetic evaluation prompts</w:t>
      </w:r>
      <w:r w:rsidDel="00000000" w:rsidR="00000000" w:rsidRPr="00000000">
        <w:rPr>
          <w:rtl w:val="0"/>
        </w:rPr>
        <w:t xml:space="preserve"> (e.g., “ground truth answer present / multi-hop reasoning required / retrieval scope”) to embed directly into your trace-logging or eval dataset?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