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0"/>
        <w:gridCol w:w="3935"/>
        <w:gridCol w:w="3185"/>
        <w:tblGridChange w:id="0">
          <w:tblGrid>
            <w:gridCol w:w="2360"/>
            <w:gridCol w:w="3935"/>
            <w:gridCol w:w="318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Fonts w:ascii="Cardo" w:cs="Cardo" w:eastAsia="Cardo" w:hAnsi="Cardo"/>
                <w:b w:val="1"/>
                <w:rtl w:val="0"/>
              </w:rPr>
              <w:t xml:space="preserve">Example Value (Meta → Google)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it is injected in the system prompt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Agent role &amp; goal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Banker-grade pitch deck outline generator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“You are AidenBanker – Pitchbook Agent…”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Pitch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DCM / Capital 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“Pitch type: Capital Structure”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Target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Alphabet Inc. (Google), ticker: GOOGL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“Target client: Alphabet Inc. (GOOGL)”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Precedent deck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Sections: Current Position, Peer Benchmarking, Strategic Options, Risks, Appendix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“Use the precedent structure as a prior…”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Adaptation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Reuse layout, replace Meta facts w/ Google facts, drop social ads focus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“Adaptation rules: …”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Requested additions/omissions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Add “AI Infrastructure CapEx”, Add “Funding Flexibility Options”, Omit “Reels Monetization”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“Honor these requests: …”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Meeting context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60-min MD meeting next week, senior-level dialogue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“Context: 60-min MD meeting…”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Previous meeting 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Client stressed “flexibility of balance sheet” and “comparison vs. Apple, Microsoft”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“Client notes to reflect: …”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Branding/template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RBC Capital Markets template v3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“Conform to RBC Capital Markets template…”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Slide taxonomy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Cover, Agenda, Situation, Peer Benchmarking, Strategic Options, Risks, Appendix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“Use this taxonomy where possible…”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Sources allowed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SEC filings, CapIQ, Dealogic, RBC Research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“Only use SEC filings, CapIQ, Dealogic…”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Freshness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Last 8 quarters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“Data freshness: Last 8 quarters”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Peer 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AAPL, MSFT, AMZN, META, NFLX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“Benchmark against AAPL, MSFT…”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Numeric policy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Show value, as-of date, source tag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“For each metric provide value, unit…”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Compliance guardrails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No MNPI, placeholders when uncertain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“Never include MNPI…”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Tone/style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Banker-grade, crisp bullets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“Style: concise, declarative…”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Outline depth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5–7 sections, 12–16 slides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“Target 12–16 slides”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Precedent mapping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E.g. “Meta Monetization Flywheel → Google Search/Cloud/YouTube Cash Engine”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“mapping.from_precedent field…”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QA checklist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Check sources tagged, peer comps included, no MNPI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“Before final JSON run checklist…”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