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Got it 👍 — you want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Talking Points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written up with the same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developer-friendly specificity and structure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 just did for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Key Financial Metrics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That means: grouped requirements, clear distinction between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explicit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that engineers can easily turn into system prompts.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Here’s the full spec: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480" w:lineRule="auto"/>
        <w:ind w:right="0"/>
        <w:jc w:val="left"/>
        <w:rPr>
          <w:rFonts w:ascii="Arial" w:cs="Arial" w:eastAsia="Arial" w:hAnsi="Arial"/>
          <w:b w:val="1"/>
          <w:sz w:val="46"/>
          <w:szCs w:val="46"/>
          <w:highlight w:val="white"/>
        </w:rPr>
      </w:pPr>
      <w:bookmarkStart w:colFirst="0" w:colLast="0" w:name="_pjt6ak6dkx59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highlight w:val="white"/>
          <w:rtl w:val="0"/>
        </w:rPr>
        <w:t xml:space="preserve">02.03.xx Client Insights – Talking Points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f24eej2qzptn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1. Relationship &amp; Icebreakers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LinkedIn/BoardEx (exec bios), Public Websites (press releases, awards), Crunchbase (founders, funding history).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Pull executive/attendee bios (title, tenure, background).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Identify personal/professional highlights (awards, recognition, tenure milestones).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Generate 2–3 “icebreaker” sentences bankers can open with (e.g., “Congratulations on your expansion into APAC last quarter”).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CRM/Call Notes (prior rapport notes), Internal Memos, LinkedIn (new role changes).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Pull rapport items or personal references mentioned in last meeting.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Highlight attendee role/status changes since last call.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Generate continuity phrases (“Last time we discussed your expansion project — how has that progressed?”).</w:t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lljdc9ryz7rc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2. Strategic Alignment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CapIQ (strategic initiatives, financial disclosures), Broker Reports (industry outlook), Crunchbase (expansions, partnerships).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Identify stated corporate objectives (growth, capital raising, acquisitions).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Link industry trends to company’s strategy.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Frame 2–3 questions that test banker understanding of client goals (“We understand digital transformation is a top priority — how are you approaching this internally?”).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CRM (last meeting goals), Deal Logic (active opportunities), Broker Reports (updated industry context).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Retrieve strategic themes discussed last time.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Flag any change in strategy since last call (new disclosures, new sector push).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Generate prompts framed as progress checks (“You mentioned a focus on deleveraging — has that continued to be your priority?”).</w:t>
        <w:br w:type="textWrapping"/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j78bfwpddxe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3. Opportunities &amp; Recommendations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Broker Reports (peer moves, analyst insights), CapIQ (comparable deals), Crunchbase (partnership activity).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Scan peers for notable actions (M&amp;A, capital raises).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Generate 3–5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actionable opportunities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relevant to client.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Structure recommendations as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conversation openers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not prescriptive advice (e.g., “We’re seeing consolidation in your sector — have you considered potential acquisition targets?”).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CRM/Call Notes (unresolved opportunities), CapIQ (financial deltas), Broker Reports (estimate revisions).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Anchor to opportunities raised in last meeting → check if any movement since.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If progress observed (deal executed, market moved), surface that as context.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Generate 2–3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new opportunities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informed by recent changes (e.g., “Given your debt reduction last quarter, you may now be better positioned for M&amp;A activity”).</w:t>
        <w:br w:type="textWrapping"/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80" w:before="360" w:lineRule="auto"/>
        <w:ind w:left="0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qrpg8sx3bkch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highlight w:val="white"/>
          <w:rtl w:val="0"/>
        </w:rPr>
        <w:t xml:space="preserve">✅ Developer Notes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Focus on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introducing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the client: bios, strategic objectives, peer context, broad opportunities.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Focus on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continuity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recap commitments, check progress, highlight new opportunities since last meeting.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System Prompt Requirement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Always output Talking Points as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3 grouped sections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Relationship &amp; Icebreakers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Strategic Alignment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Opportunities &amp; Recommendations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talking point must reference its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and be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framed as a conversation starter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not raw facts.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separate facts (Recent Updates)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insights (Talking Points)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— devs should never mix raw news with scripted talking prompts.</w:t>
        <w:br w:type="textWrapping"/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Would you like me to also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lay this out in a side-by-side table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(rows = the 3 groups, columns = First-Time vs Returning Client) just like your Key Metrics section — so your developers see the scope differences instantly?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