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I dug into best practices and frameworks for describing tools in LLM-driven systems—with a focus on routing—and distilled key principles. Here’s what the research and expert sources reveal, along with how I’ll apply them to your data tools descriptions.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kcr47fft616n" w:id="0"/>
      <w:bookmarkEnd w:id="0"/>
      <w:r w:rsidDel="00000000" w:rsidR="00000000" w:rsidRPr="00000000">
        <w:rPr>
          <w:sz w:val="26"/>
          <w:szCs w:val="26"/>
          <w:rtl w:val="0"/>
        </w:rPr>
        <w:t xml:space="preserve">Best Practices for Tool Descriptions in LLM Routers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usaxavwdlt6z" w:id="1"/>
      <w:bookmarkEnd w:id="1"/>
      <w:r w:rsidDel="00000000" w:rsidR="00000000" w:rsidRPr="00000000">
        <w:rPr>
          <w:sz w:val="22"/>
          <w:szCs w:val="22"/>
          <w:rtl w:val="0"/>
        </w:rPr>
        <w:t xml:space="preserve">1. Clarity &amp; Precision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From LangChain documentation</w:t>
      </w:r>
      <w:r w:rsidDel="00000000" w:rsidR="00000000" w:rsidRPr="00000000">
        <w:rPr>
          <w:rtl w:val="0"/>
        </w:rPr>
        <w:t xml:space="preserve">: Every tool needs a unique name and a concise description that clearly states what the tool does—this is critical context for the LLM’s understanding.(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python.langchain.com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dr3mtnapqtqp" w:id="2"/>
      <w:bookmarkEnd w:id="2"/>
      <w:r w:rsidDel="00000000" w:rsidR="00000000" w:rsidRPr="00000000">
        <w:rPr>
          <w:sz w:val="22"/>
          <w:szCs w:val="22"/>
          <w:rtl w:val="0"/>
        </w:rPr>
        <w:t xml:space="preserve">2. Explain When &amp; Why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From Google’s ADK docs</w:t>
      </w:r>
      <w:r w:rsidDel="00000000" w:rsidR="00000000" w:rsidRPr="00000000">
        <w:rPr>
          <w:rtl w:val="0"/>
        </w:rPr>
        <w:t xml:space="preserve">: Tool descriptions should not only state purpose, but also the circumstances under which the tool should be called.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"Explain the purpose of each tool and the circumstances under which it should be called."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m9bxch4usn3" w:id="3"/>
      <w:bookmarkEnd w:id="3"/>
      <w:r w:rsidDel="00000000" w:rsidR="00000000" w:rsidRPr="00000000">
        <w:rPr>
          <w:sz w:val="22"/>
          <w:szCs w:val="22"/>
          <w:rtl w:val="0"/>
        </w:rPr>
        <w:t xml:space="preserve">3. Conciseness + Informativeness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EASYTOOL academic framework</w:t>
      </w:r>
      <w:r w:rsidDel="00000000" w:rsidR="00000000" w:rsidRPr="00000000">
        <w:rPr>
          <w:rtl w:val="0"/>
        </w:rPr>
        <w:t xml:space="preserve">: Long or inconsistent documentation confuses LLMs. Better to have unified, concise tool instructions.(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arXiv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tvzoqp1urtrk" w:id="4"/>
      <w:bookmarkEnd w:id="4"/>
      <w:r w:rsidDel="00000000" w:rsidR="00000000" w:rsidRPr="00000000">
        <w:rPr>
          <w:sz w:val="22"/>
          <w:szCs w:val="22"/>
          <w:rtl w:val="0"/>
        </w:rPr>
        <w:t xml:space="preserve">4. Enable Discrimination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Reddit discussion (LangChain)</w:t>
      </w:r>
      <w:r w:rsidDel="00000000" w:rsidR="00000000" w:rsidRPr="00000000">
        <w:rPr>
          <w:rtl w:val="0"/>
        </w:rPr>
        <w:t xml:space="preserve">: Tool descriptions, titles, and input parameter definitions help the LLM distinguish between tools—especially as the number of tools grows.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id9me8yiy1ix" w:id="5"/>
      <w:bookmarkEnd w:id="5"/>
      <w:r w:rsidDel="00000000" w:rsidR="00000000" w:rsidRPr="00000000">
        <w:rPr>
          <w:sz w:val="22"/>
          <w:szCs w:val="22"/>
          <w:rtl w:val="0"/>
        </w:rPr>
        <w:t xml:space="preserve">5. Support Routing Accuracy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Arize blog &amp; semantic-routing frameworks</w:t>
      </w:r>
      <w:r w:rsidDel="00000000" w:rsidR="00000000" w:rsidRPr="00000000">
        <w:rPr>
          <w:rtl w:val="0"/>
        </w:rPr>
        <w:t xml:space="preserve">: Precisely documented tools improve routing accuracy, making function selection more reliable and maintainable.(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arize.com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deepchecks.com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buciedchpuvr" w:id="6"/>
      <w:bookmarkEnd w:id="6"/>
      <w:r w:rsidDel="00000000" w:rsidR="00000000" w:rsidRPr="00000000">
        <w:rPr>
          <w:sz w:val="26"/>
          <w:szCs w:val="26"/>
          <w:rtl w:val="0"/>
        </w:rPr>
        <w:t xml:space="preserve">Applying These Principles to Your Tools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clean, standardized table that follows the best practices above. Each tool includes: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clear, concise </w:t>
      </w:r>
      <w:r w:rsidDel="00000000" w:rsidR="00000000" w:rsidRPr="00000000">
        <w:rPr>
          <w:b w:val="1"/>
          <w:rtl w:val="0"/>
        </w:rPr>
        <w:t xml:space="preserve">purpose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Guidance on </w:t>
      </w:r>
      <w:r w:rsidDel="00000000" w:rsidR="00000000" w:rsidRPr="00000000">
        <w:rPr>
          <w:b w:val="1"/>
          <w:rtl w:val="0"/>
        </w:rPr>
        <w:t xml:space="preserve">when and why</w:t>
      </w:r>
      <w:r w:rsidDel="00000000" w:rsidR="00000000" w:rsidRPr="00000000">
        <w:rPr>
          <w:rtl w:val="0"/>
        </w:rPr>
        <w:t xml:space="preserve"> it should be used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Categorization for easy routing (Public / Private / Both)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5885"/>
        <w:gridCol w:w="1385"/>
        <w:tblGridChange w:id="0">
          <w:tblGrid>
            <w:gridCol w:w="2195"/>
            <w:gridCol w:w="5885"/>
            <w:gridCol w:w="1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&amp; Usage Guidance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EDGAR/SEDAR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“Retrieves regulatory filings (e.g., 10-K, 10-Q, prospectuses) from public companies. Use when user asks for official finan­cial documents or compliance data.”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Public only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Analyst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“Provides sell-side equity research analysis, earnings forecasts, and valuation commentary. Use for market sentiment or analyst-based inputs.”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Public only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 News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“Delivers real-time or historical sector and competitor updates. Use when user requests news-driven context on industry trends.”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Public heavy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“Aggregates public company financials, estimates, and market analytics. Use for structured financial data on public firms.”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Public focused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Bloomberg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“Comprehensive financial market data, quotes, and analytics. Use for broad market insights or public company financials.”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Public focused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Crunchbase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“Covers startup profiles, private company funding rounds, and investor data. Use when querying private company activity or investor relationships.”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Private only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CapIQ (Capital IQ)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“Combines profiles, financials, and transactions for both public and private companies. Use when user asks for broad company data or deal history.”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Press Releases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“Public communications from companies about earnings, partnerships, or fundraises—public or private. Use for official announcements.”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“Database of M&amp;A, equity, debt, and loan transactions. Use when querying deal volumes, league tables, or market-wide capital markets activity.”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First (CRM)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“Internal CRM tracking client contact info and relationship history. Use when user asks about past interactions or client background.”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Internal (ignore)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Notetaker / Call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“Internal meeting or call summaries. Use when user asks what was discussed in prior internal meetings.”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Internal (ignore)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CRM Interactions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“Logged touchpoints like meetings, calls in CRM. Use when user asks about interaction history.”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Internal (ignore)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yfcegyb8x8t" w:id="7"/>
      <w:bookmarkEnd w:id="7"/>
      <w:r w:rsidDel="00000000" w:rsidR="00000000" w:rsidRPr="00000000">
        <w:rPr>
          <w:sz w:val="26"/>
          <w:szCs w:val="26"/>
          <w:rtl w:val="0"/>
        </w:rPr>
        <w:t xml:space="preserve">Why This Works for Routing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 are unique</w:t>
      </w:r>
      <w:r w:rsidDel="00000000" w:rsidR="00000000" w:rsidRPr="00000000">
        <w:rPr>
          <w:rtl w:val="0"/>
        </w:rPr>
        <w:t xml:space="preserve"> and easily scannable by both human engineers and LLMs.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Descriptions are short, unambiguous, and specify when to use each tool</w:t>
      </w:r>
      <w:r w:rsidDel="00000000" w:rsidR="00000000" w:rsidRPr="00000000">
        <w:rPr>
          <w:rtl w:val="0"/>
        </w:rPr>
        <w:t xml:space="preserve">, making it easy for the LLM router to select the right one.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Coverage tag</w:t>
      </w:r>
      <w:r w:rsidDel="00000000" w:rsidR="00000000" w:rsidRPr="00000000">
        <w:rPr>
          <w:rtl w:val="0"/>
        </w:rPr>
        <w:t xml:space="preserve"> (Public / Private / Both) provides structured metadata useful for layered routing logic—especially when user intent is clustered by domain.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output this in JSON schema form (compatible with LangChain or your router config) or incorporate example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args_schema</w:t>
      </w:r>
      <w:r w:rsidDel="00000000" w:rsidR="00000000" w:rsidRPr="00000000">
        <w:rPr>
          <w:rtl w:val="0"/>
        </w:rPr>
        <w:t xml:space="preserve"> for each?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eepchecks.com/ai-agent-routers-techniques-best-practices-tools/?utm_source=chatgpt.com" TargetMode="External"/><Relationship Id="rId9" Type="http://schemas.openxmlformats.org/officeDocument/2006/relationships/hyperlink" Target="https://www.deepchecks.com/ai-agent-routers-techniques-best-practices-tools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.langchain.com/docs/how_to/custom_tools/?utm_source=chatgpt.com" TargetMode="External"/><Relationship Id="rId7" Type="http://schemas.openxmlformats.org/officeDocument/2006/relationships/hyperlink" Target="https://arxiv.org/abs/2401.06201?utm_source=chatgpt.com" TargetMode="External"/><Relationship Id="rId8" Type="http://schemas.openxmlformats.org/officeDocument/2006/relationships/hyperlink" Target="https://arize.com/blog/best-practices-for-building-an-ai-agent-router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