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Outlook calendar integration to surface past meetings in AidenBanker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NoteTaker application integration for deep-link access to full meeting notes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IQ module to display detailed meeting breakdown and AI-generated follow-ups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drafting service integrated with Outlook and RBC security policies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permissions model for accessing client meeting data and sending communications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Behavior</w:t>
      </w:r>
      <w:r w:rsidDel="00000000" w:rsidR="00000000" w:rsidRPr="00000000">
        <w:rPr>
          <w:rtl w:val="0"/>
        </w:rPr>
        <w:t xml:space="preserve"> – Opening a past meeting invite in Outlook launches the AidenBanker meeting summary pane with links to NoteTaker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– Clicking “Client IQ” expands to show detailed meeting sections, including action items and AI-generated follow-ups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Draft Generation</w:t>
      </w:r>
      <w:r w:rsidDel="00000000" w:rsidR="00000000" w:rsidRPr="00000000">
        <w:rPr>
          <w:rtl w:val="0"/>
        </w:rPr>
        <w:t xml:space="preserve"> – Selecting “Draft follow-up email” creates a structured message with greeting, recap, action items, and closing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&amp; Send Options</w:t>
      </w:r>
      <w:r w:rsidDel="00000000" w:rsidR="00000000" w:rsidRPr="00000000">
        <w:rPr>
          <w:rtl w:val="0"/>
        </w:rPr>
        <w:t xml:space="preserve"> – Ability to edit the draft in-app, send to Outlook inbox, or route to internal review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Formatting &amp; Branding</w:t>
      </w:r>
      <w:r w:rsidDel="00000000" w:rsidR="00000000" w:rsidRPr="00000000">
        <w:rPr>
          <w:rtl w:val="0"/>
        </w:rPr>
        <w:t xml:space="preserve"> – Email uses RBC-approved structure, style, and tone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Requirements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 must work in both Outlook desktop and web add-in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generated text must be editable before sending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 to NoteTaker and Client IQ must open in a new secure window or tab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multiple recipients (internal and external)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Latency for loading summaries and generating emails must meet SLA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End-to-end workflow tested: Outlook → Summary view → Client IQ → Email draft → Send/export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accuracy and formatting requirements for generated summaries and emails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Passes QA for security, permissions, and brand compliance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broken links between meeting summary, NoteTaker, and Client IQ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