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s7e6ujyypnv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Company Profile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NexusAI Solutions</w:t>
      </w:r>
    </w:p>
    <w:p w:rsidR="00000000" w:rsidDel="00000000" w:rsidP="00000000" w:rsidRDefault="00000000" w:rsidRPr="00000000" w14:paraId="00000003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Dhaka, Bangladesh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contact@nexusaisolutions.com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s2uwt6430w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Executive Summary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NexusAI Solutions is an AI engineering and technology solution provider specializing in custom artificial intelligence, Machine Learning (ML), and Natural Language Processing (NLP) solutions. We build scalable, enterprise-grade AI systems, Retrieval-Augmented Generation (RAG) platforms, and custom machine learning pipelines designed to solve high-impact, domain-specific operational challenges.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8ywv2wgeas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We Do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We develop tailor-made AI infrastructure and autonomous agent workflows that seamlessly integrate into existing tech stacks.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Multimodal &amp; Cross-Lingual RAG Platforms:</w:t>
      </w:r>
      <w:r w:rsidDel="00000000" w:rsidR="00000000" w:rsidRPr="00000000">
        <w:rPr>
          <w:rtl w:val="0"/>
        </w:rPr>
        <w:t xml:space="preserve"> Architecting production-grade search and recommendation engines with multi-vector indexing and real-time retrieval capabilities.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LLM Fine-Tuning &amp; Domain Adaptation:</w:t>
      </w:r>
      <w:r w:rsidDel="00000000" w:rsidR="00000000" w:rsidRPr="00000000">
        <w:rPr>
          <w:rtl w:val="0"/>
        </w:rPr>
        <w:t xml:space="preserve"> Fine-tuning open-source models (e.g., Qwen, Llama) using Parameter-Efficient Fine-Tuning (PEFT/QLoRA) techniques for specialized tasks like Text-to-SQL, domain interaction, and structured data generation.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End-to-End MLOps &amp; Production Pipelines:</w:t>
      </w:r>
      <w:r w:rsidDel="00000000" w:rsidR="00000000" w:rsidRPr="00000000">
        <w:rPr>
          <w:rtl w:val="0"/>
        </w:rPr>
        <w:t xml:space="preserve"> Building scalable prediction systems containerized with Docker, exposed through lightweight FastAPI endpoints, and monitored for continuous reliability.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Explainable AI (XAI) &amp; Predictive Analytics:</w:t>
      </w:r>
      <w:r w:rsidDel="00000000" w:rsidR="00000000" w:rsidRPr="00000000">
        <w:rPr>
          <w:rtl w:val="0"/>
        </w:rPr>
        <w:t xml:space="preserve"> Deploying robust ML models paired with interpretability frameworks for complex domains, including credit risk assessment and predictive analytics.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xix9agk8hr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Capabilities &amp; Expertise</w:t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rtl w:val="0"/>
        </w:rPr>
        <w:t xml:space="preserve">Our team leverages industry-standard frameworks and tools to transition projects from conceptual research to high-throughput production systems.</w:t>
      </w:r>
    </w:p>
    <w:tbl>
      <w:tblPr>
        <w:tblStyle w:val="Table1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5"/>
        <w:gridCol w:w="5955"/>
        <w:tblGridChange w:id="0">
          <w:tblGrid>
            <w:gridCol w:w="2895"/>
            <w:gridCol w:w="595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Competencies &amp; Tooling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Languages &amp; Frameworks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Python, SQL, PyTorch, TensorFlow, scikit-learn, FastAPI, Django, Flask, PyQt6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&amp; Vector 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Pinecone, Qdrant, pgvector, ChromaDB, FAISS, Power BI, Advanced SQL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LLMs, Orchestration &amp; APIs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OpenAI API, Gemini API, Groq, Hugging Face Transformers, Unsloth, Ollama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DevOps &amp; 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Docker, Git, CI/CD pipelines, RESTful APIs, Local LLM Deployments</w:t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ytolrftr8wn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We Work</w:t>
      </w:r>
    </w:p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rPr>
          <w:rtl w:val="0"/>
        </w:rPr>
        <w:t xml:space="preserve">We follow an iterative, engineering-first delivery model designed to ensure reliability, security, and measurable performance at every stage.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Discovery &amp; Architecture:</w:t>
      </w:r>
      <w:r w:rsidDel="00000000" w:rsidR="00000000" w:rsidRPr="00000000">
        <w:rPr>
          <w:rtl w:val="0"/>
        </w:rPr>
        <w:t xml:space="preserve"> We analyze target data workflows, assess system requirements, and establish performance benchmarks (latency, precision, context-recall).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Prototype &amp; Proof-of-Concept (PoC):</w:t>
      </w:r>
      <w:r w:rsidDel="00000000" w:rsidR="00000000" w:rsidRPr="00000000">
        <w:rPr>
          <w:rtl w:val="0"/>
        </w:rPr>
        <w:t xml:space="preserve"> We construct baseline models or RAG pipelines rapidly to demonstrate capability and evaluate accuracy on actual domain data.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Fine-Tuning &amp; Optimization:</w:t>
      </w:r>
      <w:r w:rsidDel="00000000" w:rsidR="00000000" w:rsidRPr="00000000">
        <w:rPr>
          <w:rtl w:val="0"/>
        </w:rPr>
        <w:t xml:space="preserve"> Models and vector stores are optimized using techniques like quantization, prompt engineering, and parameter-efficient fine-tuning to maximize accuracy and lower compute overhead.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Production Deployment &amp; MLOps:</w:t>
      </w:r>
      <w:r w:rsidDel="00000000" w:rsidR="00000000" w:rsidRPr="00000000">
        <w:rPr>
          <w:rtl w:val="0"/>
        </w:rPr>
        <w:t xml:space="preserve"> Systems are containerized and deployed via RESTful microservices with monitoring and continuous deployment setups.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uo4fza84gfj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Track Record</w:t>
      </w:r>
    </w:p>
    <w:p w:rsidR="00000000" w:rsidDel="00000000" w:rsidP="00000000" w:rsidRDefault="00000000" w:rsidRPr="00000000" w14:paraId="0000001F">
      <w:pPr>
        <w:spacing w:after="240" w:lineRule="auto"/>
        <w:rPr/>
      </w:pPr>
      <w:r w:rsidDel="00000000" w:rsidR="00000000" w:rsidRPr="00000000">
        <w:rPr>
          <w:rtl w:val="0"/>
        </w:rPr>
        <w:t xml:space="preserve">Our engineering lead and core team bring deep technical domain experience, supported by published research in international venues (including IEEE and Springer) in explainable deep learning, hybrid meta-learning, and NLP classification.</w:t>
      </w:r>
    </w:p>
    <w:p w:rsidR="00000000" w:rsidDel="00000000" w:rsidP="00000000" w:rsidRDefault="00000000" w:rsidRPr="00000000" w14:paraId="00000020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Selected Key Projects: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Cross-Lingual Recommendation Platform:</w:t>
      </w:r>
      <w:r w:rsidDel="00000000" w:rsidR="00000000" w:rsidRPr="00000000">
        <w:rPr>
          <w:rtl w:val="0"/>
        </w:rPr>
        <w:t xml:space="preserve"> Built a production cross-lingual RAG system handling specialized multilingual datasets using OpenAI models and high-dimensional vector search.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Multimodal Conversational AI:</w:t>
      </w:r>
      <w:r w:rsidDel="00000000" w:rsidR="00000000" w:rsidRPr="00000000">
        <w:rPr>
          <w:rtl w:val="0"/>
        </w:rPr>
        <w:t xml:space="preserve"> Developed an end-to-end multimodal assistant supporting real-time text, document analysis, and dynamic voice synthesis.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Specialized LLM Conversions:</w:t>
      </w:r>
      <w:r w:rsidDel="00000000" w:rsidR="00000000" w:rsidRPr="00000000">
        <w:rPr>
          <w:rtl w:val="0"/>
        </w:rPr>
        <w:t xml:space="preserve"> Engineered QLoRA fine-tuning pipelines using Unsloth and Hugging Face to convert natural language queries directly into optimized SQL scripts.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Privacy-First Offline Applications:</w:t>
      </w:r>
      <w:r w:rsidDel="00000000" w:rsidR="00000000" w:rsidRPr="00000000">
        <w:rPr>
          <w:rtl w:val="0"/>
        </w:rPr>
        <w:t xml:space="preserve"> Built local desktop AI tools using quantized models and local vector stores for environments requiring complete data isolation.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q0cme7sfgts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Mission &amp; Vision</w:t>
      </w:r>
    </w:p>
    <w:p w:rsidR="00000000" w:rsidDel="00000000" w:rsidP="00000000" w:rsidRDefault="00000000" w:rsidRPr="00000000" w14:paraId="0000002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Mission</w:t>
      </w:r>
    </w:p>
    <w:p w:rsidR="00000000" w:rsidDel="00000000" w:rsidP="00000000" w:rsidRDefault="00000000" w:rsidRPr="00000000" w14:paraId="00000027">
      <w:pPr>
        <w:spacing w:after="240" w:lineRule="auto"/>
        <w:rPr/>
      </w:pPr>
      <w:r w:rsidDel="00000000" w:rsidR="00000000" w:rsidRPr="00000000">
        <w:rPr>
          <w:rtl w:val="0"/>
        </w:rPr>
        <w:t xml:space="preserve">To engineer scalable, accessible, and robust artificial intelligence solutions that convert complex enterprise data into actionable, automated business outcomes.</w:t>
      </w:r>
    </w:p>
    <w:p w:rsidR="00000000" w:rsidDel="00000000" w:rsidP="00000000" w:rsidRDefault="00000000" w:rsidRPr="00000000" w14:paraId="0000002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Vision</w:t>
      </w:r>
    </w:p>
    <w:p w:rsidR="00000000" w:rsidDel="00000000" w:rsidP="00000000" w:rsidRDefault="00000000" w:rsidRPr="00000000" w14:paraId="00000029">
      <w:pPr>
        <w:spacing w:after="240" w:lineRule="auto"/>
        <w:rPr/>
      </w:pPr>
      <w:r w:rsidDel="00000000" w:rsidR="00000000" w:rsidRPr="00000000">
        <w:rPr>
          <w:rtl w:val="0"/>
        </w:rPr>
        <w:t xml:space="preserve">To be a leader in practical, high-impact AI integration, setting the standard for reliable, domain-adapted machine learning systems across global industries.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