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40" w:before="0"/>
        <w:jc w:val="center"/>
      </w:pPr>
      <w:r>
        <w:rPr>
          <w:rFonts w:ascii="Calibri" w:cs="Calibri" w:eastAsia="Calibri" w:hAnsi="Calibri"/>
          <w:b/>
          <w:bCs/>
          <w:color w:val="2196F3"/>
          <w:sz w:val="22"/>
          <w:szCs w:val="22"/>
        </w:rPr>
        <w:t xml:space="preserve">MACHINE LEARNING REGRESSION REPORT</w:t>
      </w:r>
    </w:p>
    <w:p>
      <w:pPr>
        <w:pBdr>
          <w:top w:val="single" w:color="1E3A5F" w:sz="12" w:space="2"/>
          <w:bottom w:val="single" w:color="1E3A5F" w:sz="12" w:space="2"/>
        </w:pBdr>
        <w:spacing w:after="60" w:before="60"/>
        <w:jc w:val="center"/>
      </w:pPr>
      <w:r>
        <w:rPr>
          <w:sz w:val="4"/>
          <w:szCs w:val="4"/>
        </w:rPr>
        <w:t xml:space="preserve">
</w:t>
      </w:r>
      <w:r>
        <w:br/>
      </w:r>
      <w:r>
        <w:rPr>
          <w:rFonts w:ascii="Calibri" w:cs="Calibri" w:eastAsia="Calibri" w:hAnsi="Calibri"/>
          <w:b/>
          <w:bCs/>
          <w:color w:val="1E3A5F"/>
          <w:sz w:val="64"/>
          <w:szCs w:val="64"/>
        </w:rPr>
        <w:t xml:space="preserve">House Price Prediction</w:t>
      </w:r>
      <w:r>
        <w:br/>
      </w:r>
      <w:r>
        <w:rPr>
          <w:rFonts w:ascii="Calibri" w:cs="Calibri" w:eastAsia="Calibri" w:hAnsi="Calibri"/>
          <w:color w:val="2471A3"/>
          <w:sz w:val="36"/>
          <w:szCs w:val="36"/>
        </w:rPr>
        <w:t xml:space="preserve">Using Ridge Regression &amp; Random Forest</w:t>
      </w:r>
      <w:r>
        <w:br/>
      </w:r>
      <w:r>
        <w:rPr>
          <w:sz w:val="4"/>
          <w:szCs w:val="4"/>
        </w:rPr>
        <w:t xml:space="preserve">
</w:t>
      </w:r>
    </w:p>
    <w:p>
      <w:pPr>
        <w:spacing w:after="0" w:before="200"/>
      </w:pP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tblGrid>
      <w:tr>
        <w:tc>
          <w:tcPr>
            <w:tcW w:type="dxa" w:w="2400"/>
            <w:tcBorders>
              <w:top w:val="single" w:color="BDC3C7" w:sz="4"/>
              <w:left w:val="single" w:color="BDC3C7" w:sz="4"/>
              <w:bottom w:val="single" w:color="BDC3C7" w:sz="4"/>
              <w:right w:val="single" w:color="BDC3C7" w:sz="4"/>
            </w:tcBorders>
            <w:shd w:fill="EBF5FB" w:val="clear"/>
            <w:tcMar>
              <w:top w:type="dxa" w:w="80"/>
              <w:left w:type="dxa" w:w="140"/>
              <w:bottom w:type="dxa" w:w="80"/>
              <w:right w:type="dxa" w:w="140"/>
            </w:tcMar>
          </w:tcPr>
          <w:p>
            <w:r>
              <w:rPr>
                <w:rFonts w:ascii="Calibri" w:cs="Calibri" w:eastAsia="Calibri" w:hAnsi="Calibri"/>
                <w:b/>
                <w:bCs/>
                <w:color w:val="1E3A5F"/>
                <w:sz w:val="20"/>
                <w:szCs w:val="20"/>
              </w:rPr>
              <w:t xml:space="preserve">Dataset</w:t>
            </w:r>
          </w:p>
        </w:tc>
        <w:tc>
          <w:tcPr>
            <w:tcW w:type="dxa" w:w="3000"/>
            <w:tcBorders>
              <w:top w:val="single" w:color="BDC3C7" w:sz="4"/>
              <w:left w:val="single" w:color="BDC3C7" w:sz="4"/>
              <w:bottom w:val="single" w:color="BDC3C7" w:sz="4"/>
              <w:right w:val="single" w:color="BDC3C7" w:sz="4"/>
            </w:tcBorders>
            <w:tcMar>
              <w:top w:type="dxa" w:w="80"/>
              <w:left w:type="dxa" w:w="140"/>
              <w:bottom w:type="dxa" w:w="80"/>
              <w:right w:type="dxa" w:w="140"/>
            </w:tcMar>
          </w:tcPr>
          <w:p>
            <w:r>
              <w:rPr>
                <w:rFonts w:ascii="Calibri" w:cs="Calibri" w:eastAsia="Calibri" w:hAnsi="Calibri"/>
                <w:color w:val="2C3E50"/>
                <w:sz w:val="20"/>
                <w:szCs w:val="20"/>
              </w:rPr>
              <w:t xml:space="preserve">King County, WA House Sales</w:t>
            </w:r>
          </w:p>
        </w:tc>
      </w:tr>
      <w:tr>
        <w:tc>
          <w:tcPr>
            <w:tcW w:type="dxa" w:w="2400"/>
            <w:tcBorders>
              <w:top w:val="single" w:color="BDC3C7" w:sz="4"/>
              <w:left w:val="single" w:color="BDC3C7" w:sz="4"/>
              <w:bottom w:val="single" w:color="BDC3C7" w:sz="4"/>
              <w:right w:val="single" w:color="BDC3C7" w:sz="4"/>
            </w:tcBorders>
            <w:shd w:fill="EBF5FB" w:val="clear"/>
            <w:tcMar>
              <w:top w:type="dxa" w:w="80"/>
              <w:left w:type="dxa" w:w="140"/>
              <w:bottom w:type="dxa" w:w="80"/>
              <w:right w:type="dxa" w:w="140"/>
            </w:tcMar>
          </w:tcPr>
          <w:p>
            <w:r>
              <w:rPr>
                <w:rFonts w:ascii="Calibri" w:cs="Calibri" w:eastAsia="Calibri" w:hAnsi="Calibri"/>
                <w:b/>
                <w:bCs/>
                <w:color w:val="1E3A5F"/>
                <w:sz w:val="20"/>
                <w:szCs w:val="20"/>
              </w:rPr>
              <w:t xml:space="preserve">Records</w:t>
            </w:r>
          </w:p>
        </w:tc>
        <w:tc>
          <w:tcPr>
            <w:tcW w:type="dxa" w:w="3000"/>
            <w:tcBorders>
              <w:top w:val="single" w:color="BDC3C7" w:sz="4"/>
              <w:left w:val="single" w:color="BDC3C7" w:sz="4"/>
              <w:bottom w:val="single" w:color="BDC3C7" w:sz="4"/>
              <w:right w:val="single" w:color="BDC3C7" w:sz="4"/>
            </w:tcBorders>
            <w:tcMar>
              <w:top w:type="dxa" w:w="80"/>
              <w:left w:type="dxa" w:w="140"/>
              <w:bottom w:type="dxa" w:w="80"/>
              <w:right w:type="dxa" w:w="140"/>
            </w:tcMar>
          </w:tcPr>
          <w:p>
            <w:r>
              <w:rPr>
                <w:rFonts w:ascii="Calibri" w:cs="Calibri" w:eastAsia="Calibri" w:hAnsi="Calibri"/>
                <w:color w:val="2C3E50"/>
                <w:sz w:val="20"/>
                <w:szCs w:val="20"/>
              </w:rPr>
              <w:t xml:space="preserve">4,529 houses after cleaning</w:t>
            </w:r>
          </w:p>
        </w:tc>
      </w:tr>
      <w:tr>
        <w:tc>
          <w:tcPr>
            <w:tcW w:type="dxa" w:w="2400"/>
            <w:tcBorders>
              <w:top w:val="single" w:color="BDC3C7" w:sz="4"/>
              <w:left w:val="single" w:color="BDC3C7" w:sz="4"/>
              <w:bottom w:val="single" w:color="BDC3C7" w:sz="4"/>
              <w:right w:val="single" w:color="BDC3C7" w:sz="4"/>
            </w:tcBorders>
            <w:shd w:fill="EBF5FB" w:val="clear"/>
            <w:tcMar>
              <w:top w:type="dxa" w:w="80"/>
              <w:left w:type="dxa" w:w="140"/>
              <w:bottom w:type="dxa" w:w="80"/>
              <w:right w:type="dxa" w:w="140"/>
            </w:tcMar>
          </w:tcPr>
          <w:p>
            <w:r>
              <w:rPr>
                <w:rFonts w:ascii="Calibri" w:cs="Calibri" w:eastAsia="Calibri" w:hAnsi="Calibri"/>
                <w:b/>
                <w:bCs/>
                <w:color w:val="1E3A5F"/>
                <w:sz w:val="20"/>
                <w:szCs w:val="20"/>
              </w:rPr>
              <w:t xml:space="preserve">Features</w:t>
            </w:r>
          </w:p>
        </w:tc>
        <w:tc>
          <w:tcPr>
            <w:tcW w:type="dxa" w:w="3000"/>
            <w:tcBorders>
              <w:top w:val="single" w:color="BDC3C7" w:sz="4"/>
              <w:left w:val="single" w:color="BDC3C7" w:sz="4"/>
              <w:bottom w:val="single" w:color="BDC3C7" w:sz="4"/>
              <w:right w:val="single" w:color="BDC3C7" w:sz="4"/>
            </w:tcBorders>
            <w:tcMar>
              <w:top w:type="dxa" w:w="80"/>
              <w:left w:type="dxa" w:w="140"/>
              <w:bottom w:type="dxa" w:w="80"/>
              <w:right w:type="dxa" w:w="140"/>
            </w:tcMar>
          </w:tcPr>
          <w:p>
            <w:r>
              <w:rPr>
                <w:rFonts w:ascii="Calibri" w:cs="Calibri" w:eastAsia="Calibri" w:hAnsi="Calibri"/>
                <w:color w:val="2C3E50"/>
                <w:sz w:val="20"/>
                <w:szCs w:val="20"/>
              </w:rPr>
              <w:t xml:space="preserve">21 engineered features</w:t>
            </w:r>
          </w:p>
        </w:tc>
      </w:tr>
      <w:tr>
        <w:tc>
          <w:tcPr>
            <w:tcW w:type="dxa" w:w="2400"/>
            <w:tcBorders>
              <w:top w:val="single" w:color="BDC3C7" w:sz="4"/>
              <w:left w:val="single" w:color="BDC3C7" w:sz="4"/>
              <w:bottom w:val="single" w:color="BDC3C7" w:sz="4"/>
              <w:right w:val="single" w:color="BDC3C7" w:sz="4"/>
            </w:tcBorders>
            <w:shd w:fill="EBF5FB" w:val="clear"/>
            <w:tcMar>
              <w:top w:type="dxa" w:w="80"/>
              <w:left w:type="dxa" w:w="140"/>
              <w:bottom w:type="dxa" w:w="80"/>
              <w:right w:type="dxa" w:w="140"/>
            </w:tcMar>
          </w:tcPr>
          <w:p>
            <w:r>
              <w:rPr>
                <w:rFonts w:ascii="Calibri" w:cs="Calibri" w:eastAsia="Calibri" w:hAnsi="Calibri"/>
                <w:b/>
                <w:bCs/>
                <w:color w:val="1E3A5F"/>
                <w:sz w:val="20"/>
                <w:szCs w:val="20"/>
              </w:rPr>
              <w:t xml:space="preserve">Best Model</w:t>
            </w:r>
          </w:p>
        </w:tc>
        <w:tc>
          <w:tcPr>
            <w:tcW w:type="dxa" w:w="3000"/>
            <w:tcBorders>
              <w:top w:val="single" w:color="BDC3C7" w:sz="4"/>
              <w:left w:val="single" w:color="BDC3C7" w:sz="4"/>
              <w:bottom w:val="single" w:color="BDC3C7" w:sz="4"/>
              <w:right w:val="single" w:color="BDC3C7" w:sz="4"/>
            </w:tcBorders>
            <w:tcMar>
              <w:top w:type="dxa" w:w="80"/>
              <w:left w:type="dxa" w:w="140"/>
              <w:bottom w:type="dxa" w:w="80"/>
              <w:right w:type="dxa" w:w="140"/>
            </w:tcMar>
          </w:tcPr>
          <w:p>
            <w:r>
              <w:rPr>
                <w:rFonts w:ascii="Calibri" w:cs="Calibri" w:eastAsia="Calibri" w:hAnsi="Calibri"/>
                <w:b/>
                <w:bCs/>
                <w:color w:val="1E7A1E"/>
                <w:sz w:val="20"/>
                <w:szCs w:val="20"/>
              </w:rPr>
              <w:t xml:space="preserve">Random Forest (R² = 0.71)</w:t>
            </w:r>
          </w:p>
        </w:tc>
      </w:tr>
      <w:tr>
        <w:tc>
          <w:tcPr>
            <w:tcW w:type="dxa" w:w="2400"/>
            <w:tcBorders>
              <w:top w:val="single" w:color="BDC3C7" w:sz="4"/>
              <w:left w:val="single" w:color="BDC3C7" w:sz="4"/>
              <w:bottom w:val="single" w:color="BDC3C7" w:sz="4"/>
              <w:right w:val="single" w:color="BDC3C7" w:sz="4"/>
            </w:tcBorders>
            <w:shd w:fill="EBF5FB" w:val="clear"/>
            <w:tcMar>
              <w:top w:type="dxa" w:w="80"/>
              <w:left w:type="dxa" w:w="140"/>
              <w:bottom w:type="dxa" w:w="80"/>
              <w:right w:type="dxa" w:w="140"/>
            </w:tcMar>
          </w:tcPr>
          <w:p>
            <w:r>
              <w:rPr>
                <w:rFonts w:ascii="Calibri" w:cs="Calibri" w:eastAsia="Calibri" w:hAnsi="Calibri"/>
                <w:b/>
                <w:bCs/>
                <w:color w:val="1E3A5F"/>
                <w:sz w:val="20"/>
                <w:szCs w:val="20"/>
              </w:rPr>
              <w:t xml:space="preserve">Date</w:t>
            </w:r>
          </w:p>
        </w:tc>
        <w:tc>
          <w:tcPr>
            <w:tcW w:type="dxa" w:w="3000"/>
            <w:tcBorders>
              <w:top w:val="single" w:color="BDC3C7" w:sz="4"/>
              <w:left w:val="single" w:color="BDC3C7" w:sz="4"/>
              <w:bottom w:val="single" w:color="BDC3C7" w:sz="4"/>
              <w:right w:val="single" w:color="BDC3C7" w:sz="4"/>
            </w:tcBorders>
            <w:tcMar>
              <w:top w:type="dxa" w:w="80"/>
              <w:left w:type="dxa" w:w="140"/>
              <w:bottom w:type="dxa" w:w="80"/>
              <w:right w:type="dxa" w:w="140"/>
            </w:tcMar>
          </w:tcPr>
          <w:p>
            <w:r>
              <w:rPr>
                <w:rFonts w:ascii="Calibri" w:cs="Calibri" w:eastAsia="Calibri" w:hAnsi="Calibri"/>
                <w:color w:val="2C3E50"/>
                <w:sz w:val="20"/>
                <w:szCs w:val="20"/>
              </w:rPr>
              <w:t xml:space="preserve">July 2026</w:t>
            </w:r>
          </w:p>
        </w:tc>
      </w:tr>
    </w:tbl>
    <w:p>
      <w:pPr>
        <w:spacing w:after="0" w:before="400"/>
      </w:pPr>
    </w:p>
    <w:p>
      <w:pPr>
        <w:pBdr>
          <w:bottom w:val="single" w:color="1E3A5F" w:sz="4" w:space="1"/>
        </w:pBdr>
        <w:spacing w:after="60" w:before="0"/>
      </w:pPr>
    </w:p>
    <w:p>
      <w:r>
        <w:br w:type="page"/>
      </w:r>
    </w:p>
    <w:p>
      <w:pPr>
        <w:pStyle w:val="Heading1"/>
      </w:pPr>
      <w:r>
        <w:rPr>
          <w:rFonts w:ascii="Calibri" w:cs="Calibri" w:eastAsia="Calibri" w:hAnsi="Calibri"/>
          <w:b/>
          <w:bCs/>
          <w:color w:val="1E3A5F"/>
          <w:sz w:val="36"/>
          <w:szCs w:val="36"/>
        </w:rPr>
        <w:t xml:space="preserve">Executive Summary</w:t>
      </w:r>
    </w:p>
    <w:p>
      <w:pPr>
        <w:pBdr>
          <w:bottom w:val="single" w:color="2196F3" w:sz="4" w:space="1"/>
        </w:pBdr>
        <w:spacing w:after="60" w:before="0"/>
      </w:pPr>
    </w:p>
    <w:p>
      <w:pPr>
        <w:spacing w:after="80" w:before="80" w:line="360"/>
      </w:pPr>
      <w:r>
        <w:rPr>
          <w:rFonts w:ascii="Calibri" w:cs="Calibri" w:eastAsia="Calibri" w:hAnsi="Calibri"/>
          <w:b w:val="false"/>
          <w:bCs w:val="false"/>
          <w:i w:val="false"/>
          <w:iCs w:val="false"/>
          <w:color w:val="2C3E50"/>
          <w:sz w:val="24"/>
          <w:szCs w:val="24"/>
        </w:rPr>
        <w:t xml:space="preserve">Accurate house price prediction sits at the intersection of data science and everyday human decision-making. Whether a buyer is deciding what to offer on a home, a seller is setting a listing price, or a lender is assessing collateral, a reliable predictive model provides tangible financial value. This report documents a complete machine learning regression pipeline built to predict residential property sale prices in King County, Washington.</w:t>
      </w:r>
    </w:p>
    <w:p>
      <w:pPr>
        <w:spacing w:after="0" w:before="80"/>
      </w:pPr>
    </w:p>
    <w:p>
      <w:pPr>
        <w:spacing w:after="80" w:before="80" w:line="360"/>
      </w:pPr>
      <w:r>
        <w:rPr>
          <w:rFonts w:ascii="Calibri" w:cs="Calibri" w:eastAsia="Calibri" w:hAnsi="Calibri"/>
          <w:b w:val="false"/>
          <w:bCs w:val="false"/>
          <w:i w:val="false"/>
          <w:iCs w:val="false"/>
          <w:color w:val="2C3E50"/>
          <w:sz w:val="24"/>
          <w:szCs w:val="24"/>
        </w:rPr>
        <w:t xml:space="preserve">Two models were evaluated: Ridge Regression, a regularised linear approach that serves as an interpretable baseline, and Random Forest, an ensemble of decision trees capable of learning complex, non-linear pricing patterns. Both models were trained on 21 carefully engineered features drawn from structural attributes, location signals, and property history.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8"/>
              <w:left w:val="single" w:color="1E3A5F" w:sz="8"/>
              <w:bottom w:val="single" w:color="1E3A5F" w:sz="8"/>
              <w:right w:val="single" w:color="1E3A5F" w:sz="8"/>
            </w:tcBorders>
            <w:shd w:fill="EBF5FB" w:val="clear"/>
            <w:tcMar>
              <w:top w:type="dxa" w:w="140"/>
              <w:left w:type="dxa" w:w="200"/>
              <w:bottom w:type="dxa" w:w="140"/>
              <w:right w:type="dxa" w:w="200"/>
            </w:tcMar>
          </w:tcPr>
          <w:p>
            <w:pPr>
              <w:spacing w:line="340"/>
            </w:pPr>
            <w:r>
              <w:rPr>
                <w:rFonts w:ascii="Calibri" w:cs="Calibri" w:eastAsia="Calibri" w:hAnsi="Calibri"/>
                <w:i/>
                <w:iCs/>
                <w:color w:val="1A252F"/>
                <w:sz w:val="22"/>
                <w:szCs w:val="22"/>
              </w:rPr>
              <w:t xml:space="preserve">KEY FINDING: The Random Forest model achieved a Test R² of 0.71, explaining 71% of price variance on unseen data, with a mean absolute error of approximately $101,700 per prediction. This represents a meaningful 7-point R² improvement over Ridge Regression (R² = 0.64), confirming that house pricing contains non-linear dynamics that linear models cannot fully capture.</w:t>
            </w:r>
          </w:p>
        </w:tc>
      </w:tr>
    </w:tbl>
    <w:p>
      <w:pPr>
        <w:spacing w:after="0" w:before="120"/>
      </w:pPr>
    </w:p>
    <w:p>
      <w:pPr>
        <w:spacing w:after="80" w:before="80" w:line="360"/>
      </w:pPr>
      <w:r>
        <w:rPr>
          <w:rFonts w:ascii="Calibri" w:cs="Calibri" w:eastAsia="Calibri" w:hAnsi="Calibri"/>
          <w:b w:val="false"/>
          <w:bCs w:val="false"/>
          <w:i w:val="false"/>
          <w:iCs w:val="false"/>
          <w:color w:val="2C3E50"/>
          <w:sz w:val="24"/>
          <w:szCs w:val="24"/>
        </w:rPr>
        <w:t xml:space="preserve">The most influential drivers of price, in order of importance, were: interior living area (sqft_living), location expressed as city-level average pricing, above-ground square footage, zip code, and the ratio of bathrooms to bedrooms as a luxury indicator. These findings are consistent with established real estate valuation theory and provide actionable insight into what drives prices in this market.</w:t>
      </w:r>
    </w:p>
    <w:p>
      <w:r>
        <w:br w:type="page"/>
      </w:r>
    </w:p>
    <w:p>
      <w:pPr>
        <w:pStyle w:val="Heading1"/>
      </w:pPr>
      <w:r>
        <w:rPr>
          <w:rFonts w:ascii="Calibri" w:cs="Calibri" w:eastAsia="Calibri" w:hAnsi="Calibri"/>
          <w:b/>
          <w:bCs/>
          <w:color w:val="1E3A5F"/>
          <w:sz w:val="36"/>
          <w:szCs w:val="36"/>
        </w:rPr>
        <w:t xml:space="preserve">1. Introduction &amp; Background</w:t>
      </w:r>
    </w:p>
    <w:p>
      <w:pPr>
        <w:pBdr>
          <w:bottom w:val="single" w:color="2196F3" w:sz="4" w:space="1"/>
        </w:pBdr>
        <w:spacing w:after="60" w:before="0"/>
      </w:pPr>
    </w:p>
    <w:p>
      <w:pPr>
        <w:spacing w:after="80" w:before="80" w:line="360"/>
      </w:pPr>
      <w:r>
        <w:rPr>
          <w:rFonts w:ascii="Calibri" w:cs="Calibri" w:eastAsia="Calibri" w:hAnsi="Calibri"/>
          <w:b w:val="false"/>
          <w:bCs w:val="false"/>
          <w:i w:val="false"/>
          <w:iCs w:val="false"/>
          <w:color w:val="2C3E50"/>
          <w:sz w:val="24"/>
          <w:szCs w:val="24"/>
        </w:rPr>
        <w:t xml:space="preserve">The real estate market generates some of the most economically significant transactions in a household’s lifetime, yet price discovery remains opaque and inconsistent. Comparable sales analyses, appraisals, and market intuition all play a role, but they are slow, expensive, and susceptible to human bias. Machine learning offers a systematic, data-driven alternative.</w:t>
      </w:r>
    </w:p>
    <w:p>
      <w:pPr>
        <w:spacing w:after="0" w:before="80"/>
      </w:pPr>
    </w:p>
    <w:p>
      <w:pPr>
        <w:pStyle w:val="Heading2"/>
      </w:pPr>
      <w:r>
        <w:rPr>
          <w:rFonts w:ascii="Calibri" w:cs="Calibri" w:eastAsia="Calibri" w:hAnsi="Calibri"/>
          <w:b/>
          <w:bCs/>
          <w:color w:val="2471A3"/>
          <w:sz w:val="28"/>
          <w:szCs w:val="28"/>
        </w:rPr>
        <w:t xml:space="preserve">1.1 Project Objectives</w:t>
      </w:r>
    </w:p>
    <w:p>
      <w:pPr>
        <w:spacing w:after="80" w:before="80" w:line="360"/>
      </w:pPr>
      <w:r>
        <w:rPr>
          <w:rFonts w:ascii="Calibri" w:cs="Calibri" w:eastAsia="Calibri" w:hAnsi="Calibri"/>
          <w:b w:val="false"/>
          <w:bCs w:val="false"/>
          <w:i w:val="false"/>
          <w:iCs w:val="false"/>
          <w:color w:val="2C3E50"/>
          <w:sz w:val="24"/>
          <w:szCs w:val="24"/>
        </w:rPr>
        <w:t xml:space="preserve">This project was designed with four clear goals:</w:t>
      </w:r>
    </w:p>
    <w:p>
      <w:pPr>
        <w:pStyle w:val="ListParagraph"/>
        <w:numPr>
          <w:ilvl w:val="0"/>
          <w:numId w:val="2"/>
        </w:numPr>
        <w:spacing w:after="60" w:before="60" w:line="340"/>
      </w:pPr>
      <w:r>
        <w:rPr>
          <w:rFonts w:ascii="Calibri" w:cs="Calibri" w:eastAsia="Calibri" w:hAnsi="Calibri"/>
          <w:b w:val="false"/>
          <w:bCs w:val="false"/>
          <w:color w:val="2C3E50"/>
          <w:sz w:val="22"/>
          <w:szCs w:val="22"/>
        </w:rPr>
        <w:t xml:space="preserve">Build a reproducible preprocessing pipeline that cleans raw data, removes anomalies, and engineers informative features.</w:t>
      </w:r>
    </w:p>
    <w:p>
      <w:pPr>
        <w:pStyle w:val="ListParagraph"/>
        <w:numPr>
          <w:ilvl w:val="0"/>
          <w:numId w:val="2"/>
        </w:numPr>
        <w:spacing w:after="60" w:before="60" w:line="340"/>
      </w:pPr>
      <w:r>
        <w:rPr>
          <w:rFonts w:ascii="Calibri" w:cs="Calibri" w:eastAsia="Calibri" w:hAnsi="Calibri"/>
          <w:b w:val="false"/>
          <w:bCs w:val="false"/>
          <w:color w:val="2C3E50"/>
          <w:sz w:val="22"/>
          <w:szCs w:val="22"/>
        </w:rPr>
        <w:t xml:space="preserve">Perform a thorough exploratory data analysis (EDA) to understand distributions, relationships, and outliers before modelling.</w:t>
      </w:r>
    </w:p>
    <w:p>
      <w:pPr>
        <w:pStyle w:val="ListParagraph"/>
        <w:numPr>
          <w:ilvl w:val="0"/>
          <w:numId w:val="2"/>
        </w:numPr>
        <w:spacing w:after="60" w:before="60" w:line="340"/>
      </w:pPr>
      <w:r>
        <w:rPr>
          <w:rFonts w:ascii="Calibri" w:cs="Calibri" w:eastAsia="Calibri" w:hAnsi="Calibri"/>
          <w:b w:val="false"/>
          <w:bCs w:val="false"/>
          <w:color w:val="2C3E50"/>
          <w:sz w:val="22"/>
          <w:szCs w:val="22"/>
        </w:rPr>
        <w:t xml:space="preserve">Train and compare two contrasting models — one linear, one ensemble — to quantify the performance gain from modelling non-linearity.</w:t>
      </w:r>
    </w:p>
    <w:p>
      <w:pPr>
        <w:pStyle w:val="ListParagraph"/>
        <w:numPr>
          <w:ilvl w:val="0"/>
          <w:numId w:val="2"/>
        </w:numPr>
        <w:spacing w:after="60" w:before="60" w:line="340"/>
      </w:pPr>
      <w:r>
        <w:rPr>
          <w:rFonts w:ascii="Calibri" w:cs="Calibri" w:eastAsia="Calibri" w:hAnsi="Calibri"/>
          <w:b w:val="false"/>
          <w:bCs w:val="false"/>
          <w:color w:val="2C3E50"/>
          <w:sz w:val="22"/>
          <w:szCs w:val="22"/>
        </w:rPr>
        <w:t xml:space="preserve">Evaluate both models rigorously using held-out test data and report metrics that matter in practice: R², MAE, and RMSE.</w:t>
      </w:r>
    </w:p>
    <w:p>
      <w:pPr>
        <w:spacing w:after="0" w:before="80"/>
      </w:pPr>
    </w:p>
    <w:p>
      <w:pPr>
        <w:pStyle w:val="Heading2"/>
      </w:pPr>
      <w:r>
        <w:rPr>
          <w:rFonts w:ascii="Calibri" w:cs="Calibri" w:eastAsia="Calibri" w:hAnsi="Calibri"/>
          <w:b/>
          <w:bCs/>
          <w:color w:val="2471A3"/>
          <w:sz w:val="28"/>
          <w:szCs w:val="28"/>
        </w:rPr>
        <w:t xml:space="preserve">1.2 Scope &amp; Limitations</w:t>
      </w:r>
    </w:p>
    <w:p>
      <w:pPr>
        <w:spacing w:after="80" w:before="80" w:line="360"/>
      </w:pPr>
      <w:r>
        <w:rPr>
          <w:rFonts w:ascii="Calibri" w:cs="Calibri" w:eastAsia="Calibri" w:hAnsi="Calibri"/>
          <w:b w:val="false"/>
          <w:bCs w:val="false"/>
          <w:i w:val="false"/>
          <w:iCs w:val="false"/>
          <w:color w:val="2C3E50"/>
          <w:sz w:val="24"/>
          <w:szCs w:val="24"/>
        </w:rPr>
        <w:t xml:space="preserve">The dataset covers 4,600 property sales in the King County, WA area. It is worth noting upfront that this version of the dataset does not include geographic coordinates (latitude and longitude), which are among the strongest predictors in the classic King County benchmark. Location is instead proxied through city-level target encoding and zip codes. This imposes a realistic ceiling on achievable R², and the results should be interpreted in that context.</w:t>
      </w:r>
    </w:p>
    <w:p>
      <w:r>
        <w:br w:type="page"/>
      </w:r>
    </w:p>
    <w:p>
      <w:pPr>
        <w:pStyle w:val="Heading1"/>
      </w:pPr>
      <w:r>
        <w:rPr>
          <w:rFonts w:ascii="Calibri" w:cs="Calibri" w:eastAsia="Calibri" w:hAnsi="Calibri"/>
          <w:b/>
          <w:bCs/>
          <w:color w:val="1E3A5F"/>
          <w:sz w:val="36"/>
          <w:szCs w:val="36"/>
        </w:rPr>
        <w:t xml:space="preserve">2. Dataset Overview</w:t>
      </w:r>
    </w:p>
    <w:p>
      <w:pPr>
        <w:pBdr>
          <w:bottom w:val="single" w:color="2196F3" w:sz="4" w:space="1"/>
        </w:pBdr>
        <w:spacing w:after="60" w:before="0"/>
      </w:pPr>
    </w:p>
    <w:p>
      <w:pPr>
        <w:spacing w:after="80" w:before="80" w:line="360"/>
      </w:pPr>
      <w:r>
        <w:rPr>
          <w:rFonts w:ascii="Calibri" w:cs="Calibri" w:eastAsia="Calibri" w:hAnsi="Calibri"/>
          <w:b w:val="false"/>
          <w:bCs w:val="false"/>
          <w:i w:val="false"/>
          <w:iCs w:val="false"/>
          <w:color w:val="2C3E50"/>
          <w:sz w:val="24"/>
          <w:szCs w:val="24"/>
        </w:rPr>
        <w:t xml:space="preserve">The dataset was sourced from Kaggle and contains residential property sale records from King County, Washington, covering sales from May 2014 through July 2014. Each row represents a single property transaction and includes 18 original columns spanning physical attributes, condition ratings, and address information.</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2196F3" w:sz="6"/>
              <w:left w:val="single" w:color="2196F3" w:sz="6"/>
              <w:bottom w:val="single" w:color="2196F3" w:sz="6"/>
              <w:right w:val="single" w:color="2196F3" w:sz="6"/>
            </w:tcBorders>
            <w:shd w:fill="1E3A5F"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Column</w:t>
            </w:r>
          </w:p>
        </w:tc>
        <w:tc>
          <w:tcPr>
            <w:tcW w:type="dxa" w:w="3400"/>
            <w:tcBorders>
              <w:top w:val="single" w:color="2196F3" w:sz="6"/>
              <w:left w:val="single" w:color="2196F3" w:sz="6"/>
              <w:bottom w:val="single" w:color="2196F3" w:sz="6"/>
              <w:right w:val="single" w:color="2196F3" w:sz="6"/>
            </w:tcBorders>
            <w:shd w:fill="1E3A5F"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Type</w:t>
            </w:r>
          </w:p>
        </w:tc>
        <w:tc>
          <w:tcPr>
            <w:tcW w:type="dxa" w:w="3760"/>
            <w:tcBorders>
              <w:top w:val="single" w:color="2196F3" w:sz="6"/>
              <w:left w:val="single" w:color="2196F3" w:sz="6"/>
              <w:bottom w:val="single" w:color="2196F3" w:sz="6"/>
              <w:right w:val="single" w:color="2196F3" w:sz="6"/>
            </w:tcBorders>
            <w:shd w:fill="1E3A5F"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Description</w:t>
            </w:r>
          </w:p>
        </w:tc>
      </w:tr>
      <w:tr>
        <w:tc>
          <w:tcPr>
            <w:tcW w:type="dxa" w:w="2200"/>
            <w:tcBorders>
              <w:top w:val="single" w:color="BDC3C7" w:sz="4"/>
              <w:left w:val="single" w:color="BDC3C7" w:sz="4"/>
              <w:bottom w:val="single" w:color="BDC3C7" w:sz="4"/>
              <w:right w:val="single" w:color="BDC3C7" w:sz="4"/>
            </w:tcBorders>
            <w:shd w:fill="F8FBFF" w:val="clear"/>
            <w:tcMar>
              <w:top w:type="dxa" w:w="80"/>
              <w:left w:type="dxa" w:w="140"/>
              <w:bottom w:type="dxa" w:w="80"/>
              <w:right w:type="dxa" w:w="140"/>
            </w:tcMar>
            <w:vAlign w:val="center"/>
          </w:tcPr>
          <w:p>
            <w:pPr>
              <w:jc w:val="left"/>
            </w:pPr>
            <w:r>
              <w:rPr>
                <w:rFonts w:ascii="Calibri" w:cs="Calibri" w:eastAsia="Calibri" w:hAnsi="Calibri"/>
                <w:b/>
                <w:bCs/>
                <w:color w:val="2C3E50"/>
                <w:sz w:val="20"/>
                <w:szCs w:val="20"/>
              </w:rPr>
              <w:t xml:space="preserve">date</w:t>
            </w:r>
          </w:p>
        </w:tc>
        <w:tc>
          <w:tcPr>
            <w:tcW w:type="dxa" w:w="3400"/>
            <w:tcBorders>
              <w:top w:val="single" w:color="BDC3C7" w:sz="4"/>
              <w:left w:val="single" w:color="BDC3C7" w:sz="4"/>
              <w:bottom w:val="single" w:color="BDC3C7" w:sz="4"/>
              <w:right w:val="single" w:color="BDC3C7" w:sz="4"/>
            </w:tcBorders>
            <w:shd w:fill="F8FBFF" w:val="clear"/>
            <w:tcMar>
              <w:top w:type="dxa" w:w="80"/>
              <w:left w:type="dxa" w:w="140"/>
              <w:bottom w:type="dxa" w:w="80"/>
              <w:right w:type="dxa" w:w="140"/>
            </w:tcMar>
            <w:vAlign w:val="center"/>
          </w:tcPr>
          <w:p>
            <w:pPr>
              <w:jc w:val="left"/>
            </w:pPr>
            <w:r>
              <w:rPr>
                <w:rFonts w:ascii="Calibri" w:cs="Calibri" w:eastAsia="Calibri" w:hAnsi="Calibri"/>
                <w:b w:val="false"/>
                <w:bCs w:val="false"/>
                <w:color w:val="2471A3"/>
                <w:sz w:val="20"/>
                <w:szCs w:val="20"/>
              </w:rPr>
              <w:t xml:space="preserve">DateTime</w:t>
            </w:r>
          </w:p>
        </w:tc>
        <w:tc>
          <w:tcPr>
            <w:tcW w:type="dxa" w:w="3760"/>
            <w:tcBorders>
              <w:top w:val="single" w:color="BDC3C7" w:sz="4"/>
              <w:left w:val="single" w:color="BDC3C7" w:sz="4"/>
              <w:bottom w:val="single" w:color="BDC3C7" w:sz="4"/>
              <w:right w:val="single" w:color="BDC3C7" w:sz="4"/>
            </w:tcBorders>
            <w:shd w:fill="F8FBFF" w:val="clear"/>
            <w:tcMar>
              <w:top w:type="dxa" w:w="80"/>
              <w:left w:type="dxa" w:w="140"/>
              <w:bottom w:type="dxa" w:w="80"/>
              <w:right w:type="dxa" w:w="140"/>
            </w:tcMar>
            <w:vAlign w:val="center"/>
          </w:tcPr>
          <w:p>
            <w:pPr>
              <w:jc w:val="left"/>
            </w:pPr>
            <w:r>
              <w:rPr>
                <w:rFonts w:ascii="Calibri" w:cs="Calibri" w:eastAsia="Calibri" w:hAnsi="Calibri"/>
                <w:b w:val="false"/>
                <w:bCs w:val="false"/>
                <w:color w:val="2C3E50"/>
                <w:sz w:val="20"/>
                <w:szCs w:val="20"/>
              </w:rPr>
              <w:t xml:space="preserve">Date the house was sold</w:t>
            </w:r>
          </w:p>
        </w:tc>
      </w:tr>
      <w:tr>
        <w:tc>
          <w:tcPr>
            <w:tcW w:type="dxa" w:w="2200"/>
            <w:tcBorders>
              <w:top w:val="single" w:color="BDC3C7" w:sz="4"/>
              <w:left w:val="single" w:color="BDC3C7" w:sz="4"/>
              <w:bottom w:val="single" w:color="BDC3C7" w:sz="4"/>
              <w:right w:val="single" w:color="BDC3C7" w:sz="4"/>
            </w:tcBorders>
            <w:tcMar>
              <w:top w:type="dxa" w:w="80"/>
              <w:left w:type="dxa" w:w="140"/>
              <w:bottom w:type="dxa" w:w="80"/>
              <w:right w:type="dxa" w:w="140"/>
            </w:tcMar>
            <w:vAlign w:val="center"/>
          </w:tcPr>
          <w:p>
            <w:pPr>
              <w:jc w:val="left"/>
            </w:pPr>
            <w:r>
              <w:rPr>
                <w:rFonts w:ascii="Calibri" w:cs="Calibri" w:eastAsia="Calibri" w:hAnsi="Calibri"/>
                <w:b/>
                <w:bCs/>
                <w:color w:val="2C3E50"/>
                <w:sz w:val="20"/>
                <w:szCs w:val="20"/>
              </w:rPr>
              <w:t xml:space="preserve">price</w:t>
            </w:r>
          </w:p>
        </w:tc>
        <w:tc>
          <w:tcPr>
            <w:tcW w:type="dxa" w:w="3400"/>
            <w:tcBorders>
              <w:top w:val="single" w:color="BDC3C7" w:sz="4"/>
              <w:left w:val="single" w:color="BDC3C7" w:sz="4"/>
              <w:bottom w:val="single" w:color="BDC3C7" w:sz="4"/>
              <w:right w:val="single" w:color="BDC3C7" w:sz="4"/>
            </w:tcBorders>
            <w:tcMar>
              <w:top w:type="dxa" w:w="80"/>
              <w:left w:type="dxa" w:w="140"/>
              <w:bottom w:type="dxa" w:w="80"/>
              <w:right w:type="dxa" w:w="140"/>
            </w:tcMar>
            <w:vAlign w:val="center"/>
          </w:tcPr>
          <w:p>
            <w:pPr>
              <w:jc w:val="left"/>
            </w:pPr>
            <w:r>
              <w:rPr>
                <w:rFonts w:ascii="Calibri" w:cs="Calibri" w:eastAsia="Calibri" w:hAnsi="Calibri"/>
                <w:b w:val="false"/>
                <w:bCs w:val="false"/>
                <w:color w:val="2471A3"/>
                <w:sz w:val="20"/>
                <w:szCs w:val="20"/>
              </w:rPr>
              <w:t xml:space="preserve">Float (Target)</w:t>
            </w:r>
          </w:p>
        </w:tc>
        <w:tc>
          <w:tcPr>
            <w:tcW w:type="dxa" w:w="3760"/>
            <w:tcBorders>
              <w:top w:val="single" w:color="BDC3C7" w:sz="4"/>
              <w:left w:val="single" w:color="BDC3C7" w:sz="4"/>
              <w:bottom w:val="single" w:color="BDC3C7" w:sz="4"/>
              <w:right w:val="single" w:color="BDC3C7" w:sz="4"/>
            </w:tcBorders>
            <w:tcMar>
              <w:top w:type="dxa" w:w="80"/>
              <w:left w:type="dxa" w:w="140"/>
              <w:bottom w:type="dxa" w:w="80"/>
              <w:right w:type="dxa" w:w="140"/>
            </w:tcMar>
            <w:vAlign w:val="center"/>
          </w:tcPr>
          <w:p>
            <w:pPr>
              <w:jc w:val="left"/>
            </w:pPr>
            <w:r>
              <w:rPr>
                <w:rFonts w:ascii="Calibri" w:cs="Calibri" w:eastAsia="Calibri" w:hAnsi="Calibri"/>
                <w:b w:val="false"/>
                <w:bCs w:val="false"/>
                <w:color w:val="2C3E50"/>
                <w:sz w:val="20"/>
                <w:szCs w:val="20"/>
              </w:rPr>
              <w:t xml:space="preserve">Sale price in USD — what we predict</w:t>
            </w:r>
          </w:p>
        </w:tc>
      </w:tr>
      <w:tr>
        <w:tc>
          <w:tcPr>
            <w:tcW w:type="dxa" w:w="2200"/>
            <w:tcBorders>
              <w:top w:val="single" w:color="BDC3C7" w:sz="4"/>
              <w:left w:val="single" w:color="BDC3C7" w:sz="4"/>
              <w:bottom w:val="single" w:color="BDC3C7" w:sz="4"/>
              <w:right w:val="single" w:color="BDC3C7" w:sz="4"/>
            </w:tcBorders>
            <w:shd w:fill="F8FBFF" w:val="clear"/>
            <w:tcMar>
              <w:top w:type="dxa" w:w="80"/>
              <w:left w:type="dxa" w:w="140"/>
              <w:bottom w:type="dxa" w:w="80"/>
              <w:right w:type="dxa" w:w="140"/>
            </w:tcMar>
            <w:vAlign w:val="center"/>
          </w:tcPr>
          <w:p>
            <w:pPr>
              <w:jc w:val="left"/>
            </w:pPr>
            <w:r>
              <w:rPr>
                <w:rFonts w:ascii="Calibri" w:cs="Calibri" w:eastAsia="Calibri" w:hAnsi="Calibri"/>
                <w:b/>
                <w:bCs/>
                <w:color w:val="2C3E50"/>
                <w:sz w:val="20"/>
                <w:szCs w:val="20"/>
              </w:rPr>
              <w:t xml:space="preserve">bedrooms</w:t>
            </w:r>
          </w:p>
        </w:tc>
        <w:tc>
          <w:tcPr>
            <w:tcW w:type="dxa" w:w="3400"/>
            <w:tcBorders>
              <w:top w:val="single" w:color="BDC3C7" w:sz="4"/>
              <w:left w:val="single" w:color="BDC3C7" w:sz="4"/>
              <w:bottom w:val="single" w:color="BDC3C7" w:sz="4"/>
              <w:right w:val="single" w:color="BDC3C7" w:sz="4"/>
            </w:tcBorders>
            <w:shd w:fill="F8FBFF" w:val="clear"/>
            <w:tcMar>
              <w:top w:type="dxa" w:w="80"/>
              <w:left w:type="dxa" w:w="140"/>
              <w:bottom w:type="dxa" w:w="80"/>
              <w:right w:type="dxa" w:w="140"/>
            </w:tcMar>
            <w:vAlign w:val="center"/>
          </w:tcPr>
          <w:p>
            <w:pPr>
              <w:jc w:val="left"/>
            </w:pPr>
            <w:r>
              <w:rPr>
                <w:rFonts w:ascii="Calibri" w:cs="Calibri" w:eastAsia="Calibri" w:hAnsi="Calibri"/>
                <w:b w:val="false"/>
                <w:bCs w:val="false"/>
                <w:color w:val="2471A3"/>
                <w:sz w:val="20"/>
                <w:szCs w:val="20"/>
              </w:rPr>
              <w:t xml:space="preserve">Numeric</w:t>
            </w:r>
          </w:p>
        </w:tc>
        <w:tc>
          <w:tcPr>
            <w:tcW w:type="dxa" w:w="3760"/>
            <w:tcBorders>
              <w:top w:val="single" w:color="BDC3C7" w:sz="4"/>
              <w:left w:val="single" w:color="BDC3C7" w:sz="4"/>
              <w:bottom w:val="single" w:color="BDC3C7" w:sz="4"/>
              <w:right w:val="single" w:color="BDC3C7" w:sz="4"/>
            </w:tcBorders>
            <w:shd w:fill="F8FBFF" w:val="clear"/>
            <w:tcMar>
              <w:top w:type="dxa" w:w="80"/>
              <w:left w:type="dxa" w:w="140"/>
              <w:bottom w:type="dxa" w:w="80"/>
              <w:right w:type="dxa" w:w="140"/>
            </w:tcMar>
            <w:vAlign w:val="center"/>
          </w:tcPr>
          <w:p>
            <w:pPr>
              <w:jc w:val="left"/>
            </w:pPr>
            <w:r>
              <w:rPr>
                <w:rFonts w:ascii="Calibri" w:cs="Calibri" w:eastAsia="Calibri" w:hAnsi="Calibri"/>
                <w:b w:val="false"/>
                <w:bCs w:val="false"/>
                <w:color w:val="2C3E50"/>
                <w:sz w:val="20"/>
                <w:szCs w:val="20"/>
              </w:rPr>
              <w:t xml:space="preserve">Number of bedrooms</w:t>
            </w:r>
          </w:p>
        </w:tc>
      </w:tr>
      <w:tr>
        <w:tc>
          <w:tcPr>
            <w:tcW w:type="dxa" w:w="2200"/>
            <w:tcBorders>
              <w:top w:val="single" w:color="BDC3C7" w:sz="4"/>
              <w:left w:val="single" w:color="BDC3C7" w:sz="4"/>
              <w:bottom w:val="single" w:color="BDC3C7" w:sz="4"/>
              <w:right w:val="single" w:color="BDC3C7" w:sz="4"/>
            </w:tcBorders>
            <w:tcMar>
              <w:top w:type="dxa" w:w="80"/>
              <w:left w:type="dxa" w:w="140"/>
              <w:bottom w:type="dxa" w:w="80"/>
              <w:right w:type="dxa" w:w="140"/>
            </w:tcMar>
            <w:vAlign w:val="center"/>
          </w:tcPr>
          <w:p>
            <w:pPr>
              <w:jc w:val="left"/>
            </w:pPr>
            <w:r>
              <w:rPr>
                <w:rFonts w:ascii="Calibri" w:cs="Calibri" w:eastAsia="Calibri" w:hAnsi="Calibri"/>
                <w:b/>
                <w:bCs/>
                <w:color w:val="2C3E50"/>
                <w:sz w:val="20"/>
                <w:szCs w:val="20"/>
              </w:rPr>
              <w:t xml:space="preserve">bathrooms</w:t>
            </w:r>
          </w:p>
        </w:tc>
        <w:tc>
          <w:tcPr>
            <w:tcW w:type="dxa" w:w="3400"/>
            <w:tcBorders>
              <w:top w:val="single" w:color="BDC3C7" w:sz="4"/>
              <w:left w:val="single" w:color="BDC3C7" w:sz="4"/>
              <w:bottom w:val="single" w:color="BDC3C7" w:sz="4"/>
              <w:right w:val="single" w:color="BDC3C7" w:sz="4"/>
            </w:tcBorders>
            <w:tcMar>
              <w:top w:type="dxa" w:w="80"/>
              <w:left w:type="dxa" w:w="140"/>
              <w:bottom w:type="dxa" w:w="80"/>
              <w:right w:type="dxa" w:w="140"/>
            </w:tcMar>
            <w:vAlign w:val="center"/>
          </w:tcPr>
          <w:p>
            <w:pPr>
              <w:jc w:val="left"/>
            </w:pPr>
            <w:r>
              <w:rPr>
                <w:rFonts w:ascii="Calibri" w:cs="Calibri" w:eastAsia="Calibri" w:hAnsi="Calibri"/>
                <w:b w:val="false"/>
                <w:bCs w:val="false"/>
                <w:color w:val="2471A3"/>
                <w:sz w:val="20"/>
                <w:szCs w:val="20"/>
              </w:rPr>
              <w:t xml:space="preserve">Numeric</w:t>
            </w:r>
          </w:p>
        </w:tc>
        <w:tc>
          <w:tcPr>
            <w:tcW w:type="dxa" w:w="3760"/>
            <w:tcBorders>
              <w:top w:val="single" w:color="BDC3C7" w:sz="4"/>
              <w:left w:val="single" w:color="BDC3C7" w:sz="4"/>
              <w:bottom w:val="single" w:color="BDC3C7" w:sz="4"/>
              <w:right w:val="single" w:color="BDC3C7" w:sz="4"/>
            </w:tcBorders>
            <w:tcMar>
              <w:top w:type="dxa" w:w="80"/>
              <w:left w:type="dxa" w:w="140"/>
              <w:bottom w:type="dxa" w:w="80"/>
              <w:right w:type="dxa" w:w="140"/>
            </w:tcMar>
            <w:vAlign w:val="center"/>
          </w:tcPr>
          <w:p>
            <w:pPr>
              <w:jc w:val="left"/>
            </w:pPr>
            <w:r>
              <w:rPr>
                <w:rFonts w:ascii="Calibri" w:cs="Calibri" w:eastAsia="Calibri" w:hAnsi="Calibri"/>
                <w:b w:val="false"/>
                <w:bCs w:val="false"/>
                <w:color w:val="2C3E50"/>
                <w:sz w:val="20"/>
                <w:szCs w:val="20"/>
              </w:rPr>
              <w:t xml:space="preserve">Number of bathrooms (fractions for half-baths)</w:t>
            </w:r>
          </w:p>
        </w:tc>
      </w:tr>
      <w:tr>
        <w:tc>
          <w:tcPr>
            <w:tcW w:type="dxa" w:w="2200"/>
            <w:tcBorders>
              <w:top w:val="single" w:color="BDC3C7" w:sz="4"/>
              <w:left w:val="single" w:color="BDC3C7" w:sz="4"/>
              <w:bottom w:val="single" w:color="BDC3C7" w:sz="4"/>
              <w:right w:val="single" w:color="BDC3C7" w:sz="4"/>
            </w:tcBorders>
            <w:shd w:fill="F8FBFF" w:val="clear"/>
            <w:tcMar>
              <w:top w:type="dxa" w:w="80"/>
              <w:left w:type="dxa" w:w="140"/>
              <w:bottom w:type="dxa" w:w="80"/>
              <w:right w:type="dxa" w:w="140"/>
            </w:tcMar>
            <w:vAlign w:val="center"/>
          </w:tcPr>
          <w:p>
            <w:pPr>
              <w:jc w:val="left"/>
            </w:pPr>
            <w:r>
              <w:rPr>
                <w:rFonts w:ascii="Calibri" w:cs="Calibri" w:eastAsia="Calibri" w:hAnsi="Calibri"/>
                <w:b/>
                <w:bCs/>
                <w:color w:val="2C3E50"/>
                <w:sz w:val="20"/>
                <w:szCs w:val="20"/>
              </w:rPr>
              <w:t xml:space="preserve">sqft_living</w:t>
            </w:r>
          </w:p>
        </w:tc>
        <w:tc>
          <w:tcPr>
            <w:tcW w:type="dxa" w:w="3400"/>
            <w:tcBorders>
              <w:top w:val="single" w:color="BDC3C7" w:sz="4"/>
              <w:left w:val="single" w:color="BDC3C7" w:sz="4"/>
              <w:bottom w:val="single" w:color="BDC3C7" w:sz="4"/>
              <w:right w:val="single" w:color="BDC3C7" w:sz="4"/>
            </w:tcBorders>
            <w:shd w:fill="F8FBFF" w:val="clear"/>
            <w:tcMar>
              <w:top w:type="dxa" w:w="80"/>
              <w:left w:type="dxa" w:w="140"/>
              <w:bottom w:type="dxa" w:w="80"/>
              <w:right w:type="dxa" w:w="140"/>
            </w:tcMar>
            <w:vAlign w:val="center"/>
          </w:tcPr>
          <w:p>
            <w:pPr>
              <w:jc w:val="left"/>
            </w:pPr>
            <w:r>
              <w:rPr>
                <w:rFonts w:ascii="Calibri" w:cs="Calibri" w:eastAsia="Calibri" w:hAnsi="Calibri"/>
                <w:b w:val="false"/>
                <w:bCs w:val="false"/>
                <w:color w:val="2471A3"/>
                <w:sz w:val="20"/>
                <w:szCs w:val="20"/>
              </w:rPr>
              <w:t xml:space="preserve">Numeric</w:t>
            </w:r>
          </w:p>
        </w:tc>
        <w:tc>
          <w:tcPr>
            <w:tcW w:type="dxa" w:w="3760"/>
            <w:tcBorders>
              <w:top w:val="single" w:color="BDC3C7" w:sz="4"/>
              <w:left w:val="single" w:color="BDC3C7" w:sz="4"/>
              <w:bottom w:val="single" w:color="BDC3C7" w:sz="4"/>
              <w:right w:val="single" w:color="BDC3C7" w:sz="4"/>
            </w:tcBorders>
            <w:shd w:fill="F8FBFF" w:val="clear"/>
            <w:tcMar>
              <w:top w:type="dxa" w:w="80"/>
              <w:left w:type="dxa" w:w="140"/>
              <w:bottom w:type="dxa" w:w="80"/>
              <w:right w:type="dxa" w:w="140"/>
            </w:tcMar>
            <w:vAlign w:val="center"/>
          </w:tcPr>
          <w:p>
            <w:pPr>
              <w:jc w:val="left"/>
            </w:pPr>
            <w:r>
              <w:rPr>
                <w:rFonts w:ascii="Calibri" w:cs="Calibri" w:eastAsia="Calibri" w:hAnsi="Calibri"/>
                <w:b w:val="false"/>
                <w:bCs w:val="false"/>
                <w:color w:val="2C3E50"/>
                <w:sz w:val="20"/>
                <w:szCs w:val="20"/>
              </w:rPr>
              <w:t xml:space="preserve">Square footage of interior living space</w:t>
            </w:r>
          </w:p>
        </w:tc>
      </w:tr>
      <w:tr>
        <w:tc>
          <w:tcPr>
            <w:tcW w:type="dxa" w:w="2200"/>
            <w:tcBorders>
              <w:top w:val="single" w:color="BDC3C7" w:sz="4"/>
              <w:left w:val="single" w:color="BDC3C7" w:sz="4"/>
              <w:bottom w:val="single" w:color="BDC3C7" w:sz="4"/>
              <w:right w:val="single" w:color="BDC3C7" w:sz="4"/>
            </w:tcBorders>
            <w:tcMar>
              <w:top w:type="dxa" w:w="80"/>
              <w:left w:type="dxa" w:w="140"/>
              <w:bottom w:type="dxa" w:w="80"/>
              <w:right w:type="dxa" w:w="140"/>
            </w:tcMar>
            <w:vAlign w:val="center"/>
          </w:tcPr>
          <w:p>
            <w:pPr>
              <w:jc w:val="left"/>
            </w:pPr>
            <w:r>
              <w:rPr>
                <w:rFonts w:ascii="Calibri" w:cs="Calibri" w:eastAsia="Calibri" w:hAnsi="Calibri"/>
                <w:b/>
                <w:bCs/>
                <w:color w:val="2C3E50"/>
                <w:sz w:val="20"/>
                <w:szCs w:val="20"/>
              </w:rPr>
              <w:t xml:space="preserve">sqft_lot</w:t>
            </w:r>
          </w:p>
        </w:tc>
        <w:tc>
          <w:tcPr>
            <w:tcW w:type="dxa" w:w="3400"/>
            <w:tcBorders>
              <w:top w:val="single" w:color="BDC3C7" w:sz="4"/>
              <w:left w:val="single" w:color="BDC3C7" w:sz="4"/>
              <w:bottom w:val="single" w:color="BDC3C7" w:sz="4"/>
              <w:right w:val="single" w:color="BDC3C7" w:sz="4"/>
            </w:tcBorders>
            <w:tcMar>
              <w:top w:type="dxa" w:w="80"/>
              <w:left w:type="dxa" w:w="140"/>
              <w:bottom w:type="dxa" w:w="80"/>
              <w:right w:type="dxa" w:w="140"/>
            </w:tcMar>
            <w:vAlign w:val="center"/>
          </w:tcPr>
          <w:p>
            <w:pPr>
              <w:jc w:val="left"/>
            </w:pPr>
            <w:r>
              <w:rPr>
                <w:rFonts w:ascii="Calibri" w:cs="Calibri" w:eastAsia="Calibri" w:hAnsi="Calibri"/>
                <w:b w:val="false"/>
                <w:bCs w:val="false"/>
                <w:color w:val="2471A3"/>
                <w:sz w:val="20"/>
                <w:szCs w:val="20"/>
              </w:rPr>
              <w:t xml:space="preserve">Numeric</w:t>
            </w:r>
          </w:p>
        </w:tc>
        <w:tc>
          <w:tcPr>
            <w:tcW w:type="dxa" w:w="3760"/>
            <w:tcBorders>
              <w:top w:val="single" w:color="BDC3C7" w:sz="4"/>
              <w:left w:val="single" w:color="BDC3C7" w:sz="4"/>
              <w:bottom w:val="single" w:color="BDC3C7" w:sz="4"/>
              <w:right w:val="single" w:color="BDC3C7" w:sz="4"/>
            </w:tcBorders>
            <w:tcMar>
              <w:top w:type="dxa" w:w="80"/>
              <w:left w:type="dxa" w:w="140"/>
              <w:bottom w:type="dxa" w:w="80"/>
              <w:right w:type="dxa" w:w="140"/>
            </w:tcMar>
            <w:vAlign w:val="center"/>
          </w:tcPr>
          <w:p>
            <w:pPr>
              <w:jc w:val="left"/>
            </w:pPr>
            <w:r>
              <w:rPr>
                <w:rFonts w:ascii="Calibri" w:cs="Calibri" w:eastAsia="Calibri" w:hAnsi="Calibri"/>
                <w:b w:val="false"/>
                <w:bCs w:val="false"/>
                <w:color w:val="2C3E50"/>
                <w:sz w:val="20"/>
                <w:szCs w:val="20"/>
              </w:rPr>
              <w:t xml:space="preserve">Square footage of the land lot</w:t>
            </w:r>
          </w:p>
        </w:tc>
      </w:tr>
      <w:tr>
        <w:tc>
          <w:tcPr>
            <w:tcW w:type="dxa" w:w="2200"/>
            <w:tcBorders>
              <w:top w:val="single" w:color="BDC3C7" w:sz="4"/>
              <w:left w:val="single" w:color="BDC3C7" w:sz="4"/>
              <w:bottom w:val="single" w:color="BDC3C7" w:sz="4"/>
              <w:right w:val="single" w:color="BDC3C7" w:sz="4"/>
            </w:tcBorders>
            <w:shd w:fill="F8FBFF" w:val="clear"/>
            <w:tcMar>
              <w:top w:type="dxa" w:w="80"/>
              <w:left w:type="dxa" w:w="140"/>
              <w:bottom w:type="dxa" w:w="80"/>
              <w:right w:type="dxa" w:w="140"/>
            </w:tcMar>
            <w:vAlign w:val="center"/>
          </w:tcPr>
          <w:p>
            <w:pPr>
              <w:jc w:val="left"/>
            </w:pPr>
            <w:r>
              <w:rPr>
                <w:rFonts w:ascii="Calibri" w:cs="Calibri" w:eastAsia="Calibri" w:hAnsi="Calibri"/>
                <w:b/>
                <w:bCs/>
                <w:color w:val="2C3E50"/>
                <w:sz w:val="20"/>
                <w:szCs w:val="20"/>
              </w:rPr>
              <w:t xml:space="preserve">floors</w:t>
            </w:r>
          </w:p>
        </w:tc>
        <w:tc>
          <w:tcPr>
            <w:tcW w:type="dxa" w:w="3400"/>
            <w:tcBorders>
              <w:top w:val="single" w:color="BDC3C7" w:sz="4"/>
              <w:left w:val="single" w:color="BDC3C7" w:sz="4"/>
              <w:bottom w:val="single" w:color="BDC3C7" w:sz="4"/>
              <w:right w:val="single" w:color="BDC3C7" w:sz="4"/>
            </w:tcBorders>
            <w:shd w:fill="F8FBFF" w:val="clear"/>
            <w:tcMar>
              <w:top w:type="dxa" w:w="80"/>
              <w:left w:type="dxa" w:w="140"/>
              <w:bottom w:type="dxa" w:w="80"/>
              <w:right w:type="dxa" w:w="140"/>
            </w:tcMar>
            <w:vAlign w:val="center"/>
          </w:tcPr>
          <w:p>
            <w:pPr>
              <w:jc w:val="left"/>
            </w:pPr>
            <w:r>
              <w:rPr>
                <w:rFonts w:ascii="Calibri" w:cs="Calibri" w:eastAsia="Calibri" w:hAnsi="Calibri"/>
                <w:b w:val="false"/>
                <w:bCs w:val="false"/>
                <w:color w:val="2471A3"/>
                <w:sz w:val="20"/>
                <w:szCs w:val="20"/>
              </w:rPr>
              <w:t xml:space="preserve">Numeric</w:t>
            </w:r>
          </w:p>
        </w:tc>
        <w:tc>
          <w:tcPr>
            <w:tcW w:type="dxa" w:w="3760"/>
            <w:tcBorders>
              <w:top w:val="single" w:color="BDC3C7" w:sz="4"/>
              <w:left w:val="single" w:color="BDC3C7" w:sz="4"/>
              <w:bottom w:val="single" w:color="BDC3C7" w:sz="4"/>
              <w:right w:val="single" w:color="BDC3C7" w:sz="4"/>
            </w:tcBorders>
            <w:shd w:fill="F8FBFF" w:val="clear"/>
            <w:tcMar>
              <w:top w:type="dxa" w:w="80"/>
              <w:left w:type="dxa" w:w="140"/>
              <w:bottom w:type="dxa" w:w="80"/>
              <w:right w:type="dxa" w:w="140"/>
            </w:tcMar>
            <w:vAlign w:val="center"/>
          </w:tcPr>
          <w:p>
            <w:pPr>
              <w:jc w:val="left"/>
            </w:pPr>
            <w:r>
              <w:rPr>
                <w:rFonts w:ascii="Calibri" w:cs="Calibri" w:eastAsia="Calibri" w:hAnsi="Calibri"/>
                <w:b w:val="false"/>
                <w:bCs w:val="false"/>
                <w:color w:val="2C3E50"/>
                <w:sz w:val="20"/>
                <w:szCs w:val="20"/>
              </w:rPr>
              <w:t xml:space="preserve">Number of floors in the house</w:t>
            </w:r>
          </w:p>
        </w:tc>
      </w:tr>
      <w:tr>
        <w:tc>
          <w:tcPr>
            <w:tcW w:type="dxa" w:w="2200"/>
            <w:tcBorders>
              <w:top w:val="single" w:color="BDC3C7" w:sz="4"/>
              <w:left w:val="single" w:color="BDC3C7" w:sz="4"/>
              <w:bottom w:val="single" w:color="BDC3C7" w:sz="4"/>
              <w:right w:val="single" w:color="BDC3C7" w:sz="4"/>
            </w:tcBorders>
            <w:tcMar>
              <w:top w:type="dxa" w:w="80"/>
              <w:left w:type="dxa" w:w="140"/>
              <w:bottom w:type="dxa" w:w="80"/>
              <w:right w:type="dxa" w:w="140"/>
            </w:tcMar>
            <w:vAlign w:val="center"/>
          </w:tcPr>
          <w:p>
            <w:pPr>
              <w:jc w:val="left"/>
            </w:pPr>
            <w:r>
              <w:rPr>
                <w:rFonts w:ascii="Calibri" w:cs="Calibri" w:eastAsia="Calibri" w:hAnsi="Calibri"/>
                <w:b/>
                <w:bCs/>
                <w:color w:val="2C3E50"/>
                <w:sz w:val="20"/>
                <w:szCs w:val="20"/>
              </w:rPr>
              <w:t xml:space="preserve">waterfront</w:t>
            </w:r>
          </w:p>
        </w:tc>
        <w:tc>
          <w:tcPr>
            <w:tcW w:type="dxa" w:w="3400"/>
            <w:tcBorders>
              <w:top w:val="single" w:color="BDC3C7" w:sz="4"/>
              <w:left w:val="single" w:color="BDC3C7" w:sz="4"/>
              <w:bottom w:val="single" w:color="BDC3C7" w:sz="4"/>
              <w:right w:val="single" w:color="BDC3C7" w:sz="4"/>
            </w:tcBorders>
            <w:tcMar>
              <w:top w:type="dxa" w:w="80"/>
              <w:left w:type="dxa" w:w="140"/>
              <w:bottom w:type="dxa" w:w="80"/>
              <w:right w:type="dxa" w:w="140"/>
            </w:tcMar>
            <w:vAlign w:val="center"/>
          </w:tcPr>
          <w:p>
            <w:pPr>
              <w:jc w:val="left"/>
            </w:pPr>
            <w:r>
              <w:rPr>
                <w:rFonts w:ascii="Calibri" w:cs="Calibri" w:eastAsia="Calibri" w:hAnsi="Calibri"/>
                <w:b w:val="false"/>
                <w:bCs w:val="false"/>
                <w:color w:val="2471A3"/>
                <w:sz w:val="20"/>
                <w:szCs w:val="20"/>
              </w:rPr>
              <w:t xml:space="preserve">Binary</w:t>
            </w:r>
          </w:p>
        </w:tc>
        <w:tc>
          <w:tcPr>
            <w:tcW w:type="dxa" w:w="3760"/>
            <w:tcBorders>
              <w:top w:val="single" w:color="BDC3C7" w:sz="4"/>
              <w:left w:val="single" w:color="BDC3C7" w:sz="4"/>
              <w:bottom w:val="single" w:color="BDC3C7" w:sz="4"/>
              <w:right w:val="single" w:color="BDC3C7" w:sz="4"/>
            </w:tcBorders>
            <w:tcMar>
              <w:top w:type="dxa" w:w="80"/>
              <w:left w:type="dxa" w:w="140"/>
              <w:bottom w:type="dxa" w:w="80"/>
              <w:right w:type="dxa" w:w="140"/>
            </w:tcMar>
            <w:vAlign w:val="center"/>
          </w:tcPr>
          <w:p>
            <w:pPr>
              <w:jc w:val="left"/>
            </w:pPr>
            <w:r>
              <w:rPr>
                <w:rFonts w:ascii="Calibri" w:cs="Calibri" w:eastAsia="Calibri" w:hAnsi="Calibri"/>
                <w:b w:val="false"/>
                <w:bCs w:val="false"/>
                <w:color w:val="2C3E50"/>
                <w:sz w:val="20"/>
                <w:szCs w:val="20"/>
              </w:rPr>
              <w:t xml:space="preserve">Whether the property has a waterfront view</w:t>
            </w:r>
          </w:p>
        </w:tc>
      </w:tr>
      <w:tr>
        <w:tc>
          <w:tcPr>
            <w:tcW w:type="dxa" w:w="2200"/>
            <w:tcBorders>
              <w:top w:val="single" w:color="BDC3C7" w:sz="4"/>
              <w:left w:val="single" w:color="BDC3C7" w:sz="4"/>
              <w:bottom w:val="single" w:color="BDC3C7" w:sz="4"/>
              <w:right w:val="single" w:color="BDC3C7" w:sz="4"/>
            </w:tcBorders>
            <w:shd w:fill="F8FBFF" w:val="clear"/>
            <w:tcMar>
              <w:top w:type="dxa" w:w="80"/>
              <w:left w:type="dxa" w:w="140"/>
              <w:bottom w:type="dxa" w:w="80"/>
              <w:right w:type="dxa" w:w="140"/>
            </w:tcMar>
            <w:vAlign w:val="center"/>
          </w:tcPr>
          <w:p>
            <w:pPr>
              <w:jc w:val="left"/>
            </w:pPr>
            <w:r>
              <w:rPr>
                <w:rFonts w:ascii="Calibri" w:cs="Calibri" w:eastAsia="Calibri" w:hAnsi="Calibri"/>
                <w:b/>
                <w:bCs/>
                <w:color w:val="2C3E50"/>
                <w:sz w:val="20"/>
                <w:szCs w:val="20"/>
              </w:rPr>
              <w:t xml:space="preserve">view</w:t>
            </w:r>
          </w:p>
        </w:tc>
        <w:tc>
          <w:tcPr>
            <w:tcW w:type="dxa" w:w="3400"/>
            <w:tcBorders>
              <w:top w:val="single" w:color="BDC3C7" w:sz="4"/>
              <w:left w:val="single" w:color="BDC3C7" w:sz="4"/>
              <w:bottom w:val="single" w:color="BDC3C7" w:sz="4"/>
              <w:right w:val="single" w:color="BDC3C7" w:sz="4"/>
            </w:tcBorders>
            <w:shd w:fill="F8FBFF" w:val="clear"/>
            <w:tcMar>
              <w:top w:type="dxa" w:w="80"/>
              <w:left w:type="dxa" w:w="140"/>
              <w:bottom w:type="dxa" w:w="80"/>
              <w:right w:type="dxa" w:w="140"/>
            </w:tcMar>
            <w:vAlign w:val="center"/>
          </w:tcPr>
          <w:p>
            <w:pPr>
              <w:jc w:val="left"/>
            </w:pPr>
            <w:r>
              <w:rPr>
                <w:rFonts w:ascii="Calibri" w:cs="Calibri" w:eastAsia="Calibri" w:hAnsi="Calibri"/>
                <w:b w:val="false"/>
                <w:bCs w:val="false"/>
                <w:color w:val="2471A3"/>
                <w:sz w:val="20"/>
                <w:szCs w:val="20"/>
              </w:rPr>
              <w:t xml:space="preserve">Ordinal 0–4</w:t>
            </w:r>
          </w:p>
        </w:tc>
        <w:tc>
          <w:tcPr>
            <w:tcW w:type="dxa" w:w="3760"/>
            <w:tcBorders>
              <w:top w:val="single" w:color="BDC3C7" w:sz="4"/>
              <w:left w:val="single" w:color="BDC3C7" w:sz="4"/>
              <w:bottom w:val="single" w:color="BDC3C7" w:sz="4"/>
              <w:right w:val="single" w:color="BDC3C7" w:sz="4"/>
            </w:tcBorders>
            <w:shd w:fill="F8FBFF" w:val="clear"/>
            <w:tcMar>
              <w:top w:type="dxa" w:w="80"/>
              <w:left w:type="dxa" w:w="140"/>
              <w:bottom w:type="dxa" w:w="80"/>
              <w:right w:type="dxa" w:w="140"/>
            </w:tcMar>
            <w:vAlign w:val="center"/>
          </w:tcPr>
          <w:p>
            <w:pPr>
              <w:jc w:val="left"/>
            </w:pPr>
            <w:r>
              <w:rPr>
                <w:rFonts w:ascii="Calibri" w:cs="Calibri" w:eastAsia="Calibri" w:hAnsi="Calibri"/>
                <w:b w:val="false"/>
                <w:bCs w:val="false"/>
                <w:color w:val="2C3E50"/>
                <w:sz w:val="20"/>
                <w:szCs w:val="20"/>
              </w:rPr>
              <w:t xml:space="preserve">Quality rating of the view</w:t>
            </w:r>
          </w:p>
        </w:tc>
      </w:tr>
      <w:tr>
        <w:tc>
          <w:tcPr>
            <w:tcW w:type="dxa" w:w="2200"/>
            <w:tcBorders>
              <w:top w:val="single" w:color="BDC3C7" w:sz="4"/>
              <w:left w:val="single" w:color="BDC3C7" w:sz="4"/>
              <w:bottom w:val="single" w:color="BDC3C7" w:sz="4"/>
              <w:right w:val="single" w:color="BDC3C7" w:sz="4"/>
            </w:tcBorders>
            <w:tcMar>
              <w:top w:type="dxa" w:w="80"/>
              <w:left w:type="dxa" w:w="140"/>
              <w:bottom w:type="dxa" w:w="80"/>
              <w:right w:type="dxa" w:w="140"/>
            </w:tcMar>
            <w:vAlign w:val="center"/>
          </w:tcPr>
          <w:p>
            <w:pPr>
              <w:jc w:val="left"/>
            </w:pPr>
            <w:r>
              <w:rPr>
                <w:rFonts w:ascii="Calibri" w:cs="Calibri" w:eastAsia="Calibri" w:hAnsi="Calibri"/>
                <w:b/>
                <w:bCs/>
                <w:color w:val="2C3E50"/>
                <w:sz w:val="20"/>
                <w:szCs w:val="20"/>
              </w:rPr>
              <w:t xml:space="preserve">condition</w:t>
            </w:r>
          </w:p>
        </w:tc>
        <w:tc>
          <w:tcPr>
            <w:tcW w:type="dxa" w:w="3400"/>
            <w:tcBorders>
              <w:top w:val="single" w:color="BDC3C7" w:sz="4"/>
              <w:left w:val="single" w:color="BDC3C7" w:sz="4"/>
              <w:bottom w:val="single" w:color="BDC3C7" w:sz="4"/>
              <w:right w:val="single" w:color="BDC3C7" w:sz="4"/>
            </w:tcBorders>
            <w:tcMar>
              <w:top w:type="dxa" w:w="80"/>
              <w:left w:type="dxa" w:w="140"/>
              <w:bottom w:type="dxa" w:w="80"/>
              <w:right w:type="dxa" w:w="140"/>
            </w:tcMar>
            <w:vAlign w:val="center"/>
          </w:tcPr>
          <w:p>
            <w:pPr>
              <w:jc w:val="left"/>
            </w:pPr>
            <w:r>
              <w:rPr>
                <w:rFonts w:ascii="Calibri" w:cs="Calibri" w:eastAsia="Calibri" w:hAnsi="Calibri"/>
                <w:b w:val="false"/>
                <w:bCs w:val="false"/>
                <w:color w:val="2471A3"/>
                <w:sz w:val="20"/>
                <w:szCs w:val="20"/>
              </w:rPr>
              <w:t xml:space="preserve">Ordinal 1–5</w:t>
            </w:r>
          </w:p>
        </w:tc>
        <w:tc>
          <w:tcPr>
            <w:tcW w:type="dxa" w:w="3760"/>
            <w:tcBorders>
              <w:top w:val="single" w:color="BDC3C7" w:sz="4"/>
              <w:left w:val="single" w:color="BDC3C7" w:sz="4"/>
              <w:bottom w:val="single" w:color="BDC3C7" w:sz="4"/>
              <w:right w:val="single" w:color="BDC3C7" w:sz="4"/>
            </w:tcBorders>
            <w:tcMar>
              <w:top w:type="dxa" w:w="80"/>
              <w:left w:type="dxa" w:w="140"/>
              <w:bottom w:type="dxa" w:w="80"/>
              <w:right w:type="dxa" w:w="140"/>
            </w:tcMar>
            <w:vAlign w:val="center"/>
          </w:tcPr>
          <w:p>
            <w:pPr>
              <w:jc w:val="left"/>
            </w:pPr>
            <w:r>
              <w:rPr>
                <w:rFonts w:ascii="Calibri" w:cs="Calibri" w:eastAsia="Calibri" w:hAnsi="Calibri"/>
                <w:b w:val="false"/>
                <w:bCs w:val="false"/>
                <w:color w:val="2C3E50"/>
                <w:sz w:val="20"/>
                <w:szCs w:val="20"/>
              </w:rPr>
              <w:t xml:space="preserve">Overall condition rating</w:t>
            </w:r>
          </w:p>
        </w:tc>
      </w:tr>
      <w:tr>
        <w:tc>
          <w:tcPr>
            <w:tcW w:type="dxa" w:w="2200"/>
            <w:tcBorders>
              <w:top w:val="single" w:color="BDC3C7" w:sz="4"/>
              <w:left w:val="single" w:color="BDC3C7" w:sz="4"/>
              <w:bottom w:val="single" w:color="BDC3C7" w:sz="4"/>
              <w:right w:val="single" w:color="BDC3C7" w:sz="4"/>
            </w:tcBorders>
            <w:shd w:fill="F8FBFF" w:val="clear"/>
            <w:tcMar>
              <w:top w:type="dxa" w:w="80"/>
              <w:left w:type="dxa" w:w="140"/>
              <w:bottom w:type="dxa" w:w="80"/>
              <w:right w:type="dxa" w:w="140"/>
            </w:tcMar>
            <w:vAlign w:val="center"/>
          </w:tcPr>
          <w:p>
            <w:pPr>
              <w:jc w:val="left"/>
            </w:pPr>
            <w:r>
              <w:rPr>
                <w:rFonts w:ascii="Calibri" w:cs="Calibri" w:eastAsia="Calibri" w:hAnsi="Calibri"/>
                <w:b/>
                <w:bCs/>
                <w:color w:val="2C3E50"/>
                <w:sz w:val="20"/>
                <w:szCs w:val="20"/>
              </w:rPr>
              <w:t xml:space="preserve">sqft_above</w:t>
            </w:r>
          </w:p>
        </w:tc>
        <w:tc>
          <w:tcPr>
            <w:tcW w:type="dxa" w:w="3400"/>
            <w:tcBorders>
              <w:top w:val="single" w:color="BDC3C7" w:sz="4"/>
              <w:left w:val="single" w:color="BDC3C7" w:sz="4"/>
              <w:bottom w:val="single" w:color="BDC3C7" w:sz="4"/>
              <w:right w:val="single" w:color="BDC3C7" w:sz="4"/>
            </w:tcBorders>
            <w:shd w:fill="F8FBFF" w:val="clear"/>
            <w:tcMar>
              <w:top w:type="dxa" w:w="80"/>
              <w:left w:type="dxa" w:w="140"/>
              <w:bottom w:type="dxa" w:w="80"/>
              <w:right w:type="dxa" w:w="140"/>
            </w:tcMar>
            <w:vAlign w:val="center"/>
          </w:tcPr>
          <w:p>
            <w:pPr>
              <w:jc w:val="left"/>
            </w:pPr>
            <w:r>
              <w:rPr>
                <w:rFonts w:ascii="Calibri" w:cs="Calibri" w:eastAsia="Calibri" w:hAnsi="Calibri"/>
                <w:b w:val="false"/>
                <w:bCs w:val="false"/>
                <w:color w:val="2471A3"/>
                <w:sz w:val="20"/>
                <w:szCs w:val="20"/>
              </w:rPr>
              <w:t xml:space="preserve">Numeric</w:t>
            </w:r>
          </w:p>
        </w:tc>
        <w:tc>
          <w:tcPr>
            <w:tcW w:type="dxa" w:w="3760"/>
            <w:tcBorders>
              <w:top w:val="single" w:color="BDC3C7" w:sz="4"/>
              <w:left w:val="single" w:color="BDC3C7" w:sz="4"/>
              <w:bottom w:val="single" w:color="BDC3C7" w:sz="4"/>
              <w:right w:val="single" w:color="BDC3C7" w:sz="4"/>
            </w:tcBorders>
            <w:shd w:fill="F8FBFF" w:val="clear"/>
            <w:tcMar>
              <w:top w:type="dxa" w:w="80"/>
              <w:left w:type="dxa" w:w="140"/>
              <w:bottom w:type="dxa" w:w="80"/>
              <w:right w:type="dxa" w:w="140"/>
            </w:tcMar>
            <w:vAlign w:val="center"/>
          </w:tcPr>
          <w:p>
            <w:pPr>
              <w:jc w:val="left"/>
            </w:pPr>
            <w:r>
              <w:rPr>
                <w:rFonts w:ascii="Calibri" w:cs="Calibri" w:eastAsia="Calibri" w:hAnsi="Calibri"/>
                <w:b w:val="false"/>
                <w:bCs w:val="false"/>
                <w:color w:val="2C3E50"/>
                <w:sz w:val="20"/>
                <w:szCs w:val="20"/>
              </w:rPr>
              <w:t xml:space="preserve">Square footage above ground (excl. basement)</w:t>
            </w:r>
          </w:p>
        </w:tc>
      </w:tr>
      <w:tr>
        <w:tc>
          <w:tcPr>
            <w:tcW w:type="dxa" w:w="2200"/>
            <w:tcBorders>
              <w:top w:val="single" w:color="BDC3C7" w:sz="4"/>
              <w:left w:val="single" w:color="BDC3C7" w:sz="4"/>
              <w:bottom w:val="single" w:color="BDC3C7" w:sz="4"/>
              <w:right w:val="single" w:color="BDC3C7" w:sz="4"/>
            </w:tcBorders>
            <w:tcMar>
              <w:top w:type="dxa" w:w="80"/>
              <w:left w:type="dxa" w:w="140"/>
              <w:bottom w:type="dxa" w:w="80"/>
              <w:right w:type="dxa" w:w="140"/>
            </w:tcMar>
            <w:vAlign w:val="center"/>
          </w:tcPr>
          <w:p>
            <w:pPr>
              <w:jc w:val="left"/>
            </w:pPr>
            <w:r>
              <w:rPr>
                <w:rFonts w:ascii="Calibri" w:cs="Calibri" w:eastAsia="Calibri" w:hAnsi="Calibri"/>
                <w:b/>
                <w:bCs/>
                <w:color w:val="2C3E50"/>
                <w:sz w:val="20"/>
                <w:szCs w:val="20"/>
              </w:rPr>
              <w:t xml:space="preserve">sqft_basement</w:t>
            </w:r>
          </w:p>
        </w:tc>
        <w:tc>
          <w:tcPr>
            <w:tcW w:type="dxa" w:w="3400"/>
            <w:tcBorders>
              <w:top w:val="single" w:color="BDC3C7" w:sz="4"/>
              <w:left w:val="single" w:color="BDC3C7" w:sz="4"/>
              <w:bottom w:val="single" w:color="BDC3C7" w:sz="4"/>
              <w:right w:val="single" w:color="BDC3C7" w:sz="4"/>
            </w:tcBorders>
            <w:tcMar>
              <w:top w:type="dxa" w:w="80"/>
              <w:left w:type="dxa" w:w="140"/>
              <w:bottom w:type="dxa" w:w="80"/>
              <w:right w:type="dxa" w:w="140"/>
            </w:tcMar>
            <w:vAlign w:val="center"/>
          </w:tcPr>
          <w:p>
            <w:pPr>
              <w:jc w:val="left"/>
            </w:pPr>
            <w:r>
              <w:rPr>
                <w:rFonts w:ascii="Calibri" w:cs="Calibri" w:eastAsia="Calibri" w:hAnsi="Calibri"/>
                <w:b w:val="false"/>
                <w:bCs w:val="false"/>
                <w:color w:val="2471A3"/>
                <w:sz w:val="20"/>
                <w:szCs w:val="20"/>
              </w:rPr>
              <w:t xml:space="preserve">Numeric</w:t>
            </w:r>
          </w:p>
        </w:tc>
        <w:tc>
          <w:tcPr>
            <w:tcW w:type="dxa" w:w="3760"/>
            <w:tcBorders>
              <w:top w:val="single" w:color="BDC3C7" w:sz="4"/>
              <w:left w:val="single" w:color="BDC3C7" w:sz="4"/>
              <w:bottom w:val="single" w:color="BDC3C7" w:sz="4"/>
              <w:right w:val="single" w:color="BDC3C7" w:sz="4"/>
            </w:tcBorders>
            <w:tcMar>
              <w:top w:type="dxa" w:w="80"/>
              <w:left w:type="dxa" w:w="140"/>
              <w:bottom w:type="dxa" w:w="80"/>
              <w:right w:type="dxa" w:w="140"/>
            </w:tcMar>
            <w:vAlign w:val="center"/>
          </w:tcPr>
          <w:p>
            <w:pPr>
              <w:jc w:val="left"/>
            </w:pPr>
            <w:r>
              <w:rPr>
                <w:rFonts w:ascii="Calibri" w:cs="Calibri" w:eastAsia="Calibri" w:hAnsi="Calibri"/>
                <w:b w:val="false"/>
                <w:bCs w:val="false"/>
                <w:color w:val="2C3E50"/>
                <w:sz w:val="20"/>
                <w:szCs w:val="20"/>
              </w:rPr>
              <w:t xml:space="preserve">Square footage of the basement</w:t>
            </w:r>
          </w:p>
        </w:tc>
      </w:tr>
      <w:tr>
        <w:tc>
          <w:tcPr>
            <w:tcW w:type="dxa" w:w="2200"/>
            <w:tcBorders>
              <w:top w:val="single" w:color="BDC3C7" w:sz="4"/>
              <w:left w:val="single" w:color="BDC3C7" w:sz="4"/>
              <w:bottom w:val="single" w:color="BDC3C7" w:sz="4"/>
              <w:right w:val="single" w:color="BDC3C7" w:sz="4"/>
            </w:tcBorders>
            <w:shd w:fill="F8FBFF" w:val="clear"/>
            <w:tcMar>
              <w:top w:type="dxa" w:w="80"/>
              <w:left w:type="dxa" w:w="140"/>
              <w:bottom w:type="dxa" w:w="80"/>
              <w:right w:type="dxa" w:w="140"/>
            </w:tcMar>
            <w:vAlign w:val="center"/>
          </w:tcPr>
          <w:p>
            <w:pPr>
              <w:jc w:val="left"/>
            </w:pPr>
            <w:r>
              <w:rPr>
                <w:rFonts w:ascii="Calibri" w:cs="Calibri" w:eastAsia="Calibri" w:hAnsi="Calibri"/>
                <w:b/>
                <w:bCs/>
                <w:color w:val="2C3E50"/>
                <w:sz w:val="20"/>
                <w:szCs w:val="20"/>
              </w:rPr>
              <w:t xml:space="preserve">yr_built</w:t>
            </w:r>
          </w:p>
        </w:tc>
        <w:tc>
          <w:tcPr>
            <w:tcW w:type="dxa" w:w="3400"/>
            <w:tcBorders>
              <w:top w:val="single" w:color="BDC3C7" w:sz="4"/>
              <w:left w:val="single" w:color="BDC3C7" w:sz="4"/>
              <w:bottom w:val="single" w:color="BDC3C7" w:sz="4"/>
              <w:right w:val="single" w:color="BDC3C7" w:sz="4"/>
            </w:tcBorders>
            <w:shd w:fill="F8FBFF" w:val="clear"/>
            <w:tcMar>
              <w:top w:type="dxa" w:w="80"/>
              <w:left w:type="dxa" w:w="140"/>
              <w:bottom w:type="dxa" w:w="80"/>
              <w:right w:type="dxa" w:w="140"/>
            </w:tcMar>
            <w:vAlign w:val="center"/>
          </w:tcPr>
          <w:p>
            <w:pPr>
              <w:jc w:val="left"/>
            </w:pPr>
            <w:r>
              <w:rPr>
                <w:rFonts w:ascii="Calibri" w:cs="Calibri" w:eastAsia="Calibri" w:hAnsi="Calibri"/>
                <w:b w:val="false"/>
                <w:bCs w:val="false"/>
                <w:color w:val="2471A3"/>
                <w:sz w:val="20"/>
                <w:szCs w:val="20"/>
              </w:rPr>
              <w:t xml:space="preserve">Integer</w:t>
            </w:r>
          </w:p>
        </w:tc>
        <w:tc>
          <w:tcPr>
            <w:tcW w:type="dxa" w:w="3760"/>
            <w:tcBorders>
              <w:top w:val="single" w:color="BDC3C7" w:sz="4"/>
              <w:left w:val="single" w:color="BDC3C7" w:sz="4"/>
              <w:bottom w:val="single" w:color="BDC3C7" w:sz="4"/>
              <w:right w:val="single" w:color="BDC3C7" w:sz="4"/>
            </w:tcBorders>
            <w:shd w:fill="F8FBFF" w:val="clear"/>
            <w:tcMar>
              <w:top w:type="dxa" w:w="80"/>
              <w:left w:type="dxa" w:w="140"/>
              <w:bottom w:type="dxa" w:w="80"/>
              <w:right w:type="dxa" w:w="140"/>
            </w:tcMar>
            <w:vAlign w:val="center"/>
          </w:tcPr>
          <w:p>
            <w:pPr>
              <w:jc w:val="left"/>
            </w:pPr>
            <w:r>
              <w:rPr>
                <w:rFonts w:ascii="Calibri" w:cs="Calibri" w:eastAsia="Calibri" w:hAnsi="Calibri"/>
                <w:b w:val="false"/>
                <w:bCs w:val="false"/>
                <w:color w:val="2C3E50"/>
                <w:sz w:val="20"/>
                <w:szCs w:val="20"/>
              </w:rPr>
              <w:t xml:space="preserve">Year the house was originally built</w:t>
            </w:r>
          </w:p>
        </w:tc>
      </w:tr>
      <w:tr>
        <w:tc>
          <w:tcPr>
            <w:tcW w:type="dxa" w:w="2200"/>
            <w:tcBorders>
              <w:top w:val="single" w:color="BDC3C7" w:sz="4"/>
              <w:left w:val="single" w:color="BDC3C7" w:sz="4"/>
              <w:bottom w:val="single" w:color="BDC3C7" w:sz="4"/>
              <w:right w:val="single" w:color="BDC3C7" w:sz="4"/>
            </w:tcBorders>
            <w:tcMar>
              <w:top w:type="dxa" w:w="80"/>
              <w:left w:type="dxa" w:w="140"/>
              <w:bottom w:type="dxa" w:w="80"/>
              <w:right w:type="dxa" w:w="140"/>
            </w:tcMar>
            <w:vAlign w:val="center"/>
          </w:tcPr>
          <w:p>
            <w:pPr>
              <w:jc w:val="left"/>
            </w:pPr>
            <w:r>
              <w:rPr>
                <w:rFonts w:ascii="Calibri" w:cs="Calibri" w:eastAsia="Calibri" w:hAnsi="Calibri"/>
                <w:b/>
                <w:bCs/>
                <w:color w:val="2C3E50"/>
                <w:sz w:val="20"/>
                <w:szCs w:val="20"/>
              </w:rPr>
              <w:t xml:space="preserve">yr_renovated</w:t>
            </w:r>
          </w:p>
        </w:tc>
        <w:tc>
          <w:tcPr>
            <w:tcW w:type="dxa" w:w="3400"/>
            <w:tcBorders>
              <w:top w:val="single" w:color="BDC3C7" w:sz="4"/>
              <w:left w:val="single" w:color="BDC3C7" w:sz="4"/>
              <w:bottom w:val="single" w:color="BDC3C7" w:sz="4"/>
              <w:right w:val="single" w:color="BDC3C7" w:sz="4"/>
            </w:tcBorders>
            <w:tcMar>
              <w:top w:type="dxa" w:w="80"/>
              <w:left w:type="dxa" w:w="140"/>
              <w:bottom w:type="dxa" w:w="80"/>
              <w:right w:type="dxa" w:w="140"/>
            </w:tcMar>
            <w:vAlign w:val="center"/>
          </w:tcPr>
          <w:p>
            <w:pPr>
              <w:jc w:val="left"/>
            </w:pPr>
            <w:r>
              <w:rPr>
                <w:rFonts w:ascii="Calibri" w:cs="Calibri" w:eastAsia="Calibri" w:hAnsi="Calibri"/>
                <w:b w:val="false"/>
                <w:bCs w:val="false"/>
                <w:color w:val="2471A3"/>
                <w:sz w:val="20"/>
                <w:szCs w:val="20"/>
              </w:rPr>
              <w:t xml:space="preserve">Integer</w:t>
            </w:r>
          </w:p>
        </w:tc>
        <w:tc>
          <w:tcPr>
            <w:tcW w:type="dxa" w:w="3760"/>
            <w:tcBorders>
              <w:top w:val="single" w:color="BDC3C7" w:sz="4"/>
              <w:left w:val="single" w:color="BDC3C7" w:sz="4"/>
              <w:bottom w:val="single" w:color="BDC3C7" w:sz="4"/>
              <w:right w:val="single" w:color="BDC3C7" w:sz="4"/>
            </w:tcBorders>
            <w:tcMar>
              <w:top w:type="dxa" w:w="80"/>
              <w:left w:type="dxa" w:w="140"/>
              <w:bottom w:type="dxa" w:w="80"/>
              <w:right w:type="dxa" w:w="140"/>
            </w:tcMar>
            <w:vAlign w:val="center"/>
          </w:tcPr>
          <w:p>
            <w:pPr>
              <w:jc w:val="left"/>
            </w:pPr>
            <w:r>
              <w:rPr>
                <w:rFonts w:ascii="Calibri" w:cs="Calibri" w:eastAsia="Calibri" w:hAnsi="Calibri"/>
                <w:b w:val="false"/>
                <w:bCs w:val="false"/>
                <w:color w:val="2C3E50"/>
                <w:sz w:val="20"/>
                <w:szCs w:val="20"/>
              </w:rPr>
              <w:t xml:space="preserve">Year of last renovation (0 = never renovated)</w:t>
            </w:r>
          </w:p>
        </w:tc>
      </w:tr>
      <w:tr>
        <w:tc>
          <w:tcPr>
            <w:tcW w:type="dxa" w:w="2200"/>
            <w:tcBorders>
              <w:top w:val="single" w:color="BDC3C7" w:sz="4"/>
              <w:left w:val="single" w:color="BDC3C7" w:sz="4"/>
              <w:bottom w:val="single" w:color="BDC3C7" w:sz="4"/>
              <w:right w:val="single" w:color="BDC3C7" w:sz="4"/>
            </w:tcBorders>
            <w:shd w:fill="F8FBFF" w:val="clear"/>
            <w:tcMar>
              <w:top w:type="dxa" w:w="80"/>
              <w:left w:type="dxa" w:w="140"/>
              <w:bottom w:type="dxa" w:w="80"/>
              <w:right w:type="dxa" w:w="140"/>
            </w:tcMar>
            <w:vAlign w:val="center"/>
          </w:tcPr>
          <w:p>
            <w:pPr>
              <w:jc w:val="left"/>
            </w:pPr>
            <w:r>
              <w:rPr>
                <w:rFonts w:ascii="Calibri" w:cs="Calibri" w:eastAsia="Calibri" w:hAnsi="Calibri"/>
                <w:b/>
                <w:bCs/>
                <w:color w:val="2C3E50"/>
                <w:sz w:val="20"/>
                <w:szCs w:val="20"/>
              </w:rPr>
              <w:t xml:space="preserve">city</w:t>
            </w:r>
          </w:p>
        </w:tc>
        <w:tc>
          <w:tcPr>
            <w:tcW w:type="dxa" w:w="3400"/>
            <w:tcBorders>
              <w:top w:val="single" w:color="BDC3C7" w:sz="4"/>
              <w:left w:val="single" w:color="BDC3C7" w:sz="4"/>
              <w:bottom w:val="single" w:color="BDC3C7" w:sz="4"/>
              <w:right w:val="single" w:color="BDC3C7" w:sz="4"/>
            </w:tcBorders>
            <w:shd w:fill="F8FBFF" w:val="clear"/>
            <w:tcMar>
              <w:top w:type="dxa" w:w="80"/>
              <w:left w:type="dxa" w:w="140"/>
              <w:bottom w:type="dxa" w:w="80"/>
              <w:right w:type="dxa" w:w="140"/>
            </w:tcMar>
            <w:vAlign w:val="center"/>
          </w:tcPr>
          <w:p>
            <w:pPr>
              <w:jc w:val="left"/>
            </w:pPr>
            <w:r>
              <w:rPr>
                <w:rFonts w:ascii="Calibri" w:cs="Calibri" w:eastAsia="Calibri" w:hAnsi="Calibri"/>
                <w:b w:val="false"/>
                <w:bCs w:val="false"/>
                <w:color w:val="2471A3"/>
                <w:sz w:val="20"/>
                <w:szCs w:val="20"/>
              </w:rPr>
              <w:t xml:space="preserve">Categorical</w:t>
            </w:r>
          </w:p>
        </w:tc>
        <w:tc>
          <w:tcPr>
            <w:tcW w:type="dxa" w:w="3760"/>
            <w:tcBorders>
              <w:top w:val="single" w:color="BDC3C7" w:sz="4"/>
              <w:left w:val="single" w:color="BDC3C7" w:sz="4"/>
              <w:bottom w:val="single" w:color="BDC3C7" w:sz="4"/>
              <w:right w:val="single" w:color="BDC3C7" w:sz="4"/>
            </w:tcBorders>
            <w:shd w:fill="F8FBFF" w:val="clear"/>
            <w:tcMar>
              <w:top w:type="dxa" w:w="80"/>
              <w:left w:type="dxa" w:w="140"/>
              <w:bottom w:type="dxa" w:w="80"/>
              <w:right w:type="dxa" w:w="140"/>
            </w:tcMar>
            <w:vAlign w:val="center"/>
          </w:tcPr>
          <w:p>
            <w:pPr>
              <w:jc w:val="left"/>
            </w:pPr>
            <w:r>
              <w:rPr>
                <w:rFonts w:ascii="Calibri" w:cs="Calibri" w:eastAsia="Calibri" w:hAnsi="Calibri"/>
                <w:b w:val="false"/>
                <w:bCs w:val="false"/>
                <w:color w:val="2C3E50"/>
                <w:sz w:val="20"/>
                <w:szCs w:val="20"/>
              </w:rPr>
              <w:t xml:space="preserve">City name within King County</w:t>
            </w:r>
          </w:p>
        </w:tc>
      </w:tr>
      <w:tr>
        <w:tc>
          <w:tcPr>
            <w:tcW w:type="dxa" w:w="2200"/>
            <w:tcBorders>
              <w:top w:val="single" w:color="BDC3C7" w:sz="4"/>
              <w:left w:val="single" w:color="BDC3C7" w:sz="4"/>
              <w:bottom w:val="single" w:color="BDC3C7" w:sz="4"/>
              <w:right w:val="single" w:color="BDC3C7" w:sz="4"/>
            </w:tcBorders>
            <w:tcMar>
              <w:top w:type="dxa" w:w="80"/>
              <w:left w:type="dxa" w:w="140"/>
              <w:bottom w:type="dxa" w:w="80"/>
              <w:right w:type="dxa" w:w="140"/>
            </w:tcMar>
            <w:vAlign w:val="center"/>
          </w:tcPr>
          <w:p>
            <w:pPr>
              <w:jc w:val="left"/>
            </w:pPr>
            <w:r>
              <w:rPr>
                <w:rFonts w:ascii="Calibri" w:cs="Calibri" w:eastAsia="Calibri" w:hAnsi="Calibri"/>
                <w:b/>
                <w:bCs/>
                <w:color w:val="2C3E50"/>
                <w:sz w:val="20"/>
                <w:szCs w:val="20"/>
              </w:rPr>
              <w:t xml:space="preserve">statezip</w:t>
            </w:r>
          </w:p>
        </w:tc>
        <w:tc>
          <w:tcPr>
            <w:tcW w:type="dxa" w:w="3400"/>
            <w:tcBorders>
              <w:top w:val="single" w:color="BDC3C7" w:sz="4"/>
              <w:left w:val="single" w:color="BDC3C7" w:sz="4"/>
              <w:bottom w:val="single" w:color="BDC3C7" w:sz="4"/>
              <w:right w:val="single" w:color="BDC3C7" w:sz="4"/>
            </w:tcBorders>
            <w:tcMar>
              <w:top w:type="dxa" w:w="80"/>
              <w:left w:type="dxa" w:w="140"/>
              <w:bottom w:type="dxa" w:w="80"/>
              <w:right w:type="dxa" w:w="140"/>
            </w:tcMar>
            <w:vAlign w:val="center"/>
          </w:tcPr>
          <w:p>
            <w:pPr>
              <w:jc w:val="left"/>
            </w:pPr>
            <w:r>
              <w:rPr>
                <w:rFonts w:ascii="Calibri" w:cs="Calibri" w:eastAsia="Calibri" w:hAnsi="Calibri"/>
                <w:b w:val="false"/>
                <w:bCs w:val="false"/>
                <w:color w:val="2471A3"/>
                <w:sz w:val="20"/>
                <w:szCs w:val="20"/>
              </w:rPr>
              <w:t xml:space="preserve">String</w:t>
            </w:r>
          </w:p>
        </w:tc>
        <w:tc>
          <w:tcPr>
            <w:tcW w:type="dxa" w:w="3760"/>
            <w:tcBorders>
              <w:top w:val="single" w:color="BDC3C7" w:sz="4"/>
              <w:left w:val="single" w:color="BDC3C7" w:sz="4"/>
              <w:bottom w:val="single" w:color="BDC3C7" w:sz="4"/>
              <w:right w:val="single" w:color="BDC3C7" w:sz="4"/>
            </w:tcBorders>
            <w:tcMar>
              <w:top w:type="dxa" w:w="80"/>
              <w:left w:type="dxa" w:w="140"/>
              <w:bottom w:type="dxa" w:w="80"/>
              <w:right w:type="dxa" w:w="140"/>
            </w:tcMar>
            <w:vAlign w:val="center"/>
          </w:tcPr>
          <w:p>
            <w:pPr>
              <w:jc w:val="left"/>
            </w:pPr>
            <w:r>
              <w:rPr>
                <w:rFonts w:ascii="Calibri" w:cs="Calibri" w:eastAsia="Calibri" w:hAnsi="Calibri"/>
                <w:b w:val="false"/>
                <w:bCs w:val="false"/>
                <w:color w:val="2C3E50"/>
                <w:sz w:val="20"/>
                <w:szCs w:val="20"/>
              </w:rPr>
              <w:t xml:space="preserve">State and zip code (e.g. WA 98133)</w:t>
            </w:r>
          </w:p>
        </w:tc>
      </w:tr>
    </w:tbl>
    <w:p>
      <w:pPr>
        <w:spacing w:after="0" w:before="80"/>
      </w:pPr>
    </w:p>
    <w:p>
      <w:pPr>
        <w:spacing w:after="160" w:before="40"/>
        <w:jc w:val="center"/>
      </w:pPr>
      <w:r>
        <w:rPr>
          <w:rFonts w:ascii="Calibri" w:cs="Calibri" w:eastAsia="Calibri" w:hAnsi="Calibri"/>
          <w:i/>
          <w:iCs/>
          <w:color w:val="7F8C8D"/>
          <w:sz w:val="19"/>
          <w:szCs w:val="19"/>
        </w:rPr>
        <w:t xml:space="preserve">Table 1: Original dataset columns with types and descriptions.</w:t>
      </w:r>
    </w:p>
    <w:p>
      <w:pPr>
        <w:spacing w:after="0" w:before="160"/>
      </w:pPr>
    </w:p>
    <w:p>
      <w:pPr>
        <w:spacing w:after="80" w:before="80" w:line="360"/>
      </w:pPr>
      <w:r>
        <w:rPr>
          <w:rFonts w:ascii="Calibri" w:cs="Calibri" w:eastAsia="Calibri" w:hAnsi="Calibri"/>
          <w:b w:val="false"/>
          <w:bCs w:val="false"/>
          <w:i w:val="false"/>
          <w:iCs w:val="false"/>
          <w:color w:val="2C3E50"/>
          <w:sz w:val="24"/>
          <w:szCs w:val="24"/>
        </w:rPr>
        <w:t xml:space="preserve">After loading, the raw dataset contained 4,600 records. A small but impactful subset of these required removal before any modelling could begin, specifically: 49 records with a price of zero, a handful of anomalous listings above $2.4 million (top 0.5%), and 6 records with implausible bedroom counts above 15. The cleaned dataset used for all analysis contains 4,529 records.</w:t>
      </w:r>
    </w:p>
    <w:p>
      <w:r>
        <w:br w:type="page"/>
      </w:r>
    </w:p>
    <w:p>
      <w:pPr>
        <w:pStyle w:val="Heading1"/>
      </w:pPr>
      <w:r>
        <w:rPr>
          <w:rFonts w:ascii="Calibri" w:cs="Calibri" w:eastAsia="Calibri" w:hAnsi="Calibri"/>
          <w:b/>
          <w:bCs/>
          <w:color w:val="1E3A5F"/>
          <w:sz w:val="36"/>
          <w:szCs w:val="36"/>
        </w:rPr>
        <w:t xml:space="preserve">3. Exploratory Data Analysis</w:t>
      </w:r>
    </w:p>
    <w:p>
      <w:pPr>
        <w:pBdr>
          <w:bottom w:val="single" w:color="2196F3" w:sz="4" w:space="1"/>
        </w:pBdr>
        <w:spacing w:after="60" w:before="0"/>
      </w:pPr>
    </w:p>
    <w:p>
      <w:pPr>
        <w:spacing w:after="80" w:before="80" w:line="360"/>
      </w:pPr>
      <w:r>
        <w:rPr>
          <w:rFonts w:ascii="Calibri" w:cs="Calibri" w:eastAsia="Calibri" w:hAnsi="Calibri"/>
          <w:b w:val="false"/>
          <w:bCs w:val="false"/>
          <w:i w:val="false"/>
          <w:iCs w:val="false"/>
          <w:color w:val="2C3E50"/>
          <w:sz w:val="24"/>
          <w:szCs w:val="24"/>
        </w:rPr>
        <w:t xml:space="preserve">Before building any model, it is essential to understand the data deeply: its distributions, its quirks, and the relationships between features and the target variable. The following sections present key findings from the EDA phase.</w:t>
      </w:r>
    </w:p>
    <w:p>
      <w:pPr>
        <w:pStyle w:val="Heading2"/>
      </w:pPr>
      <w:r>
        <w:rPr>
          <w:rFonts w:ascii="Calibri" w:cs="Calibri" w:eastAsia="Calibri" w:hAnsi="Calibri"/>
          <w:b/>
          <w:bCs/>
          <w:color w:val="2471A3"/>
          <w:sz w:val="28"/>
          <w:szCs w:val="28"/>
        </w:rPr>
        <w:t xml:space="preserve">3.1 Target Variable: House Price Distribution</w:t>
      </w:r>
    </w:p>
    <w:p>
      <w:pPr>
        <w:spacing w:after="120" w:before="120"/>
        <w:jc w:val="center"/>
      </w:pPr>
      <w:r>
        <w:drawing>
          <wp:inline distT="0" distB="0" distL="0" distR="0">
            <wp:extent cx="5905500" cy="2181225"/>
            <wp:effectExtent t="0" r="0" b="0" l="0"/>
            <wp:docPr id="1" name="price_distribution.png" descr="price_distribution.png" title="price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181225"/>
                    </a:xfrm>
                    <a:prstGeom prst="rect">
                      <a:avLst/>
                    </a:prstGeom>
                  </pic:spPr>
                </pic:pic>
              </a:graphicData>
            </a:graphic>
          </wp:inline>
        </w:drawing>
      </w:r>
    </w:p>
    <w:p>
      <w:pPr>
        <w:spacing w:after="160" w:before="40"/>
        <w:jc w:val="center"/>
      </w:pPr>
      <w:r>
        <w:rPr>
          <w:rFonts w:ascii="Calibri" w:cs="Calibri" w:eastAsia="Calibri" w:hAnsi="Calibri"/>
          <w:i/>
          <w:iCs/>
          <w:color w:val="7F8C8D"/>
          <w:sz w:val="19"/>
          <w:szCs w:val="19"/>
        </w:rPr>
        <w:t xml:space="preserve">Figure 1: Left — raw price distribution showing extreme right skew. Right — log-transformed prices, which are far more symmetric and suitable for analysis.</w:t>
      </w:r>
    </w:p>
    <w:p>
      <w:pPr>
        <w:spacing w:after="80" w:before="80" w:line="360"/>
      </w:pPr>
      <w:r>
        <w:rPr>
          <w:rFonts w:ascii="Calibri" w:cs="Calibri" w:eastAsia="Calibri" w:hAnsi="Calibri"/>
          <w:b w:val="false"/>
          <w:bCs w:val="false"/>
          <w:i w:val="false"/>
          <w:iCs w:val="false"/>
          <w:color w:val="2C3E50"/>
          <w:sz w:val="24"/>
          <w:szCs w:val="24"/>
        </w:rPr>
        <w:t xml:space="preserve">The first and most important thing to understand about the target variable is that house prices do not follow a normal distribution. The raw distribution (left chart) is heavily right-skewed, with a long tail extending toward $2 million. The median price of $460,944 is considerably lower than the mean of $551,963, which is being pulled upward by the small number of high-value properties at the tail.</w:t>
      </w:r>
    </w:p>
    <w:p>
      <w:pPr>
        <w:spacing w:after="0" w:before="80"/>
      </w:pPr>
    </w:p>
    <w:p>
      <w:pPr>
        <w:spacing w:after="80" w:before="80" w:line="360"/>
      </w:pPr>
      <w:r>
        <w:rPr>
          <w:rFonts w:ascii="Calibri" w:cs="Calibri" w:eastAsia="Calibri" w:hAnsi="Calibri"/>
          <w:b w:val="false"/>
          <w:bCs w:val="false"/>
          <w:i w:val="false"/>
          <w:iCs w:val="false"/>
          <w:color w:val="2C3E50"/>
          <w:sz w:val="24"/>
          <w:szCs w:val="24"/>
        </w:rPr>
        <w:t xml:space="preserve">This skewness is not just a statistical curiosity — it has practical consequences for model training. A model optimised on raw prices will disproportionately focus its error minimisation on expensive houses (because large price errors carry much more weight in mean squared error), at the expense of accuracy for the typical mid-range home. Examining the log-transformed distribution confirms that log(price) is near-normal, which is why we monitored log-space metrics alongside the raw price metrics during evaluation.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8"/>
              <w:left w:val="single" w:color="1E3A5F" w:sz="8"/>
              <w:bottom w:val="single" w:color="1E3A5F" w:sz="8"/>
              <w:right w:val="single" w:color="1E3A5F" w:sz="8"/>
            </w:tcBorders>
            <w:shd w:fill="EBF5FB" w:val="clear"/>
            <w:tcMar>
              <w:top w:type="dxa" w:w="140"/>
              <w:left w:type="dxa" w:w="200"/>
              <w:bottom w:type="dxa" w:w="140"/>
              <w:right w:type="dxa" w:w="200"/>
            </w:tcMar>
          </w:tcPr>
          <w:p>
            <w:pPr>
              <w:spacing w:line="340"/>
            </w:pPr>
            <w:r>
              <w:rPr>
                <w:rFonts w:ascii="Calibri" w:cs="Calibri" w:eastAsia="Calibri" w:hAnsi="Calibri"/>
                <w:i/>
                <w:iCs/>
                <w:color w:val="1A252F"/>
                <w:sz w:val="22"/>
                <w:szCs w:val="22"/>
              </w:rPr>
              <w:t xml:space="preserve">MARKET INSIGHT: The price distribution shows that approximately 90% of King County homes in this dataset sold for between $200,000 and $1,000,000. This broad spread reflects the socioeconomic diversity of the region, from modest single-family homes in outlying suburbs to premium properties in waterfront neighbourhoods near Seattle.</w:t>
            </w:r>
          </w:p>
        </w:tc>
      </w:tr>
    </w:tbl>
    <w:p>
      <w:pPr>
        <w:pStyle w:val="Heading2"/>
      </w:pPr>
      <w:r>
        <w:rPr>
          <w:rFonts w:ascii="Calibri" w:cs="Calibri" w:eastAsia="Calibri" w:hAnsi="Calibri"/>
          <w:b/>
          <w:bCs/>
          <w:color w:val="2471A3"/>
          <w:sz w:val="28"/>
          <w:szCs w:val="28"/>
        </w:rPr>
        <w:t xml:space="preserve">3.2 Feature Distributions</w:t>
      </w:r>
    </w:p>
    <w:p>
      <w:pPr>
        <w:spacing w:after="120" w:before="120"/>
        <w:jc w:val="center"/>
      </w:pPr>
      <w:r>
        <w:drawing>
          <wp:inline distT="0" distB="0" distL="0" distR="0">
            <wp:extent cx="5905500" cy="3400425"/>
            <wp:effectExtent t="0" r="0" b="0" l="0"/>
            <wp:docPr id="1" name="categorical_distributions.png" descr="categorical_distributions.png" title="categorical_distribu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400425"/>
                    </a:xfrm>
                    <a:prstGeom prst="rect">
                      <a:avLst/>
                    </a:prstGeom>
                  </pic:spPr>
                </pic:pic>
              </a:graphicData>
            </a:graphic>
          </wp:inline>
        </w:drawing>
      </w:r>
    </w:p>
    <w:p>
      <w:pPr>
        <w:spacing w:after="160" w:before="40"/>
        <w:jc w:val="center"/>
      </w:pPr>
      <w:r>
        <w:rPr>
          <w:rFonts w:ascii="Calibri" w:cs="Calibri" w:eastAsia="Calibri" w:hAnsi="Calibri"/>
          <w:i/>
          <w:iCs/>
          <w:color w:val="7F8C8D"/>
          <w:sz w:val="19"/>
          <w:szCs w:val="19"/>
        </w:rPr>
        <w:t xml:space="preserve">Figure 2: Distributions of the six key categorical and discrete features across all listings.</w:t>
      </w:r>
    </w:p>
    <w:p>
      <w:pPr>
        <w:spacing w:after="80" w:before="80" w:line="360"/>
      </w:pPr>
      <w:r>
        <w:rPr>
          <w:rFonts w:ascii="Calibri" w:cs="Calibri" w:eastAsia="Calibri" w:hAnsi="Calibri"/>
          <w:b w:val="false"/>
          <w:bCs w:val="false"/>
          <w:i w:val="false"/>
          <w:iCs w:val="false"/>
          <w:color w:val="2C3E50"/>
          <w:sz w:val="24"/>
          <w:szCs w:val="24"/>
        </w:rPr>
        <w:t xml:space="preserve">Several immediately useful observations emerge from the feature distributions:</w:t>
      </w:r>
    </w:p>
    <w:p>
      <w:pPr>
        <w:pStyle w:val="ListParagraph"/>
        <w:numPr>
          <w:ilvl w:val="0"/>
          <w:numId w:val="2"/>
        </w:numPr>
        <w:spacing w:after="60" w:before="60" w:line="340"/>
      </w:pPr>
      <w:r>
        <w:rPr>
          <w:rFonts w:ascii="Calibri" w:cs="Calibri" w:eastAsia="Calibri" w:hAnsi="Calibri"/>
          <w:b w:val="false"/>
          <w:bCs w:val="false"/>
          <w:color w:val="2C3E50"/>
          <w:sz w:val="22"/>
          <w:szCs w:val="22"/>
        </w:rPr>
        <w:t xml:space="preserve">Bedrooms: The overwhelming majority of homes have 3 or 4 bedrooms, which is consistent with typical suburban family housing stock. Very few homes have more than 5 bedrooms, and those that do tend to command significant price premiums.</w:t>
      </w:r>
    </w:p>
    <w:p>
      <w:pPr>
        <w:pStyle w:val="ListParagraph"/>
        <w:numPr>
          <w:ilvl w:val="0"/>
          <w:numId w:val="2"/>
        </w:numPr>
        <w:spacing w:after="60" w:before="60" w:line="340"/>
      </w:pPr>
      <w:r>
        <w:rPr>
          <w:rFonts w:ascii="Calibri" w:cs="Calibri" w:eastAsia="Calibri" w:hAnsi="Calibri"/>
          <w:b w:val="false"/>
          <w:bCs w:val="false"/>
          <w:color w:val="2C3E50"/>
          <w:sz w:val="22"/>
          <w:szCs w:val="22"/>
        </w:rPr>
        <w:t xml:space="preserve">Bathrooms: Most homes cluster around 1.5 to 2.5 bathrooms. The fractional values reflect American conventions for counting half-bathrooms (toilet and sink only, no shower).</w:t>
      </w:r>
    </w:p>
    <w:p>
      <w:pPr>
        <w:pStyle w:val="ListParagraph"/>
        <w:numPr>
          <w:ilvl w:val="0"/>
          <w:numId w:val="2"/>
        </w:numPr>
        <w:spacing w:after="60" w:before="60" w:line="340"/>
      </w:pPr>
      <w:r>
        <w:rPr>
          <w:rFonts w:ascii="Calibri" w:cs="Calibri" w:eastAsia="Calibri" w:hAnsi="Calibri"/>
          <w:b w:val="false"/>
          <w:bCs w:val="false"/>
          <w:color w:val="2C3E50"/>
          <w:sz w:val="22"/>
          <w:szCs w:val="22"/>
        </w:rPr>
        <w:t xml:space="preserve">Floors: Single and two-storey homes dominate the market, with 1.5-storey homes (typically a partially finished upper level) also common in the area.</w:t>
      </w:r>
    </w:p>
    <w:p>
      <w:pPr>
        <w:pStyle w:val="ListParagraph"/>
        <w:numPr>
          <w:ilvl w:val="0"/>
          <w:numId w:val="2"/>
        </w:numPr>
        <w:spacing w:after="60" w:before="60" w:line="340"/>
      </w:pPr>
      <w:r>
        <w:rPr>
          <w:rFonts w:ascii="Calibri" w:cs="Calibri" w:eastAsia="Calibri" w:hAnsi="Calibri"/>
          <w:b w:val="false"/>
          <w:bCs w:val="false"/>
          <w:color w:val="2C3E50"/>
          <w:sz w:val="22"/>
          <w:szCs w:val="22"/>
        </w:rPr>
        <w:t xml:space="preserve">Condition: Properties are overwhelmingly rated 3 or 4 out of 5, suggesting a market of well-maintained but not exceptional homes. Very few properties achieve the top condition rating of 5.</w:t>
      </w:r>
    </w:p>
    <w:p>
      <w:pPr>
        <w:pStyle w:val="ListParagraph"/>
        <w:numPr>
          <w:ilvl w:val="0"/>
          <w:numId w:val="2"/>
        </w:numPr>
        <w:spacing w:after="60" w:before="60" w:line="340"/>
      </w:pPr>
      <w:r>
        <w:rPr>
          <w:rFonts w:ascii="Calibri" w:cs="Calibri" w:eastAsia="Calibri" w:hAnsi="Calibri"/>
          <w:b w:val="false"/>
          <w:bCs w:val="false"/>
          <w:color w:val="2C3E50"/>
          <w:sz w:val="22"/>
          <w:szCs w:val="22"/>
        </w:rPr>
        <w:t xml:space="preserve">Waterfront: Waterfront properties are rare (fewer than 1% of listings) but command outsized price premiums, making this binary feature highly informative.</w:t>
      </w:r>
    </w:p>
    <w:p>
      <w:pPr>
        <w:pStyle w:val="ListParagraph"/>
        <w:numPr>
          <w:ilvl w:val="0"/>
          <w:numId w:val="2"/>
        </w:numPr>
        <w:spacing w:after="60" w:before="60" w:line="340"/>
      </w:pPr>
      <w:r>
        <w:rPr>
          <w:rFonts w:ascii="Calibri" w:cs="Calibri" w:eastAsia="Calibri" w:hAnsi="Calibri"/>
          <w:b w:val="false"/>
          <w:bCs w:val="false"/>
          <w:color w:val="2C3E50"/>
          <w:sz w:val="22"/>
          <w:szCs w:val="22"/>
        </w:rPr>
        <w:t xml:space="preserve">View: Similarly, the vast majority of homes have no notable view (rating = 0), but those with a view of 3 or 4 are typically priced substantially higher.</w:t>
      </w:r>
    </w:p>
    <w:p>
      <w:pPr>
        <w:pStyle w:val="Heading2"/>
      </w:pPr>
      <w:r>
        <w:rPr>
          <w:rFonts w:ascii="Calibri" w:cs="Calibri" w:eastAsia="Calibri" w:hAnsi="Calibri"/>
          <w:b/>
          <w:bCs/>
          <w:color w:val="2471A3"/>
          <w:sz w:val="28"/>
          <w:szCs w:val="28"/>
        </w:rPr>
        <w:t xml:space="preserve">3.3 Correlation Analysis</w:t>
      </w:r>
    </w:p>
    <w:p>
      <w:pPr>
        <w:spacing w:after="120" w:before="120"/>
        <w:jc w:val="center"/>
      </w:pPr>
      <w:r>
        <w:drawing>
          <wp:inline distT="0" distB="0" distL="0" distR="0">
            <wp:extent cx="5524500" cy="4514850"/>
            <wp:effectExtent t="0" r="0" b="0" l="0"/>
            <wp:docPr id="1" name="correlation_heatmap.png" descr="correlation_heatmap.png" title="correlation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4514850"/>
                    </a:xfrm>
                    <a:prstGeom prst="rect">
                      <a:avLst/>
                    </a:prstGeom>
                  </pic:spPr>
                </pic:pic>
              </a:graphicData>
            </a:graphic>
          </wp:inline>
        </w:drawing>
      </w:r>
    </w:p>
    <w:p>
      <w:pPr>
        <w:spacing w:after="160" w:before="40"/>
        <w:jc w:val="center"/>
      </w:pPr>
      <w:r>
        <w:rPr>
          <w:rFonts w:ascii="Calibri" w:cs="Calibri" w:eastAsia="Calibri" w:hAnsi="Calibri"/>
          <w:i/>
          <w:iCs/>
          <w:color w:val="7F8C8D"/>
          <w:sz w:val="19"/>
          <w:szCs w:val="19"/>
        </w:rPr>
        <w:t xml:space="preserve">Figure 3: Lower-triangle correlation matrix. Green = positive correlation, Red = negative. Values close to ±1.0 indicate strong linear relationships.</w:t>
      </w:r>
    </w:p>
    <w:p>
      <w:pPr>
        <w:spacing w:after="80" w:before="80" w:line="360"/>
      </w:pPr>
      <w:r>
        <w:rPr>
          <w:rFonts w:ascii="Calibri" w:cs="Calibri" w:eastAsia="Calibri" w:hAnsi="Calibri"/>
          <w:b w:val="false"/>
          <w:bCs w:val="false"/>
          <w:i w:val="false"/>
          <w:iCs w:val="false"/>
          <w:color w:val="2C3E50"/>
          <w:sz w:val="24"/>
          <w:szCs w:val="24"/>
        </w:rPr>
        <w:t xml:space="preserve">The correlation heatmap reveals several important structural relationships in the data. sqft_living has the highest linear correlation with price (r ≈ 0.70), followed by sqft_above (r ≈ 0.61) and bathrooms (r ≈ 0.53). These three features alone would give a linear model a reasonable starting point.</w:t>
      </w:r>
    </w:p>
    <w:p>
      <w:pPr>
        <w:spacing w:after="0" w:before="80"/>
      </w:pPr>
    </w:p>
    <w:p>
      <w:pPr>
        <w:spacing w:after="80" w:before="80" w:line="360"/>
      </w:pPr>
      <w:r>
        <w:rPr>
          <w:rFonts w:ascii="Calibri" w:cs="Calibri" w:eastAsia="Calibri" w:hAnsi="Calibri"/>
          <w:b w:val="false"/>
          <w:bCs w:val="false"/>
          <w:i w:val="false"/>
          <w:iCs w:val="false"/>
          <w:color w:val="2C3E50"/>
          <w:sz w:val="24"/>
          <w:szCs w:val="24"/>
        </w:rPr>
        <w:t xml:space="preserve">Notably, sqft_living and sqft_above are themselves highly correlated (r ≈ 0.88), which is expected — homes with large living areas typically have large above-ground spaces. This collinearity is one reason Ridge Regression (which applies L2 regularisation to shrink correlated coefficients) is preferred over ordinary linear regression in this context.</w:t>
      </w:r>
    </w:p>
    <w:p>
      <w:pPr>
        <w:spacing w:after="0" w:before="80"/>
      </w:pPr>
    </w:p>
    <w:p>
      <w:pPr>
        <w:spacing w:after="80" w:before="80" w:line="360"/>
      </w:pPr>
      <w:r>
        <w:rPr>
          <w:rFonts w:ascii="Calibri" w:cs="Calibri" w:eastAsia="Calibri" w:hAnsi="Calibri"/>
          <w:b w:val="false"/>
          <w:bCs w:val="false"/>
          <w:i w:val="false"/>
          <w:iCs w:val="false"/>
          <w:color w:val="2C3E50"/>
          <w:sz w:val="24"/>
          <w:szCs w:val="24"/>
        </w:rPr>
        <w:t xml:space="preserve">Interestingly, yr_built shows a weak negative correlation with price, suggesting that older homes are marginally cheaper on average — but this relationship is noisy, as many older homes in desirable areas have been renovated and command premium prices. The house_age feature we engineer later captures this more precisely.</w:t>
      </w:r>
    </w:p>
    <w:p>
      <w:pPr>
        <w:pStyle w:val="Heading2"/>
      </w:pPr>
      <w:r>
        <w:rPr>
          <w:rFonts w:ascii="Calibri" w:cs="Calibri" w:eastAsia="Calibri" w:hAnsi="Calibri"/>
          <w:b/>
          <w:bCs/>
          <w:color w:val="2471A3"/>
          <w:sz w:val="28"/>
          <w:szCs w:val="28"/>
        </w:rPr>
        <w:t xml:space="preserve">3.4 Price vs. Key Structural Features</w:t>
      </w:r>
    </w:p>
    <w:p>
      <w:pPr>
        <w:spacing w:after="120" w:before="120"/>
        <w:jc w:val="center"/>
      </w:pPr>
      <w:r>
        <w:drawing>
          <wp:inline distT="0" distB="0" distL="0" distR="0">
            <wp:extent cx="5524500" cy="4038600"/>
            <wp:effectExtent t="0" r="0" b="0" l="0"/>
            <wp:docPr id="1" name="price_vs_features.png" descr="price_vs_features.png" title="price_vs_featu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4038600"/>
                    </a:xfrm>
                    <a:prstGeom prst="rect">
                      <a:avLst/>
                    </a:prstGeom>
                  </pic:spPr>
                </pic:pic>
              </a:graphicData>
            </a:graphic>
          </wp:inline>
        </w:drawing>
      </w:r>
    </w:p>
    <w:p>
      <w:pPr>
        <w:spacing w:after="160" w:before="40"/>
        <w:jc w:val="center"/>
      </w:pPr>
      <w:r>
        <w:rPr>
          <w:rFonts w:ascii="Calibri" w:cs="Calibri" w:eastAsia="Calibri" w:hAnsi="Calibri"/>
          <w:i/>
          <w:iCs/>
          <w:color w:val="7F8C8D"/>
          <w:sz w:val="19"/>
          <w:szCs w:val="19"/>
        </w:rPr>
        <w:t xml:space="preserve">Figure 4: Scatter plots of price against the four most structurally informative features.</w:t>
      </w:r>
    </w:p>
    <w:p>
      <w:pPr>
        <w:spacing w:after="80" w:before="80" w:line="360"/>
      </w:pPr>
      <w:r>
        <w:rPr>
          <w:rFonts w:ascii="Calibri" w:cs="Calibri" w:eastAsia="Calibri" w:hAnsi="Calibri"/>
          <w:b w:val="false"/>
          <w:bCs w:val="false"/>
          <w:i w:val="false"/>
          <w:iCs w:val="false"/>
          <w:color w:val="2C3E50"/>
          <w:sz w:val="24"/>
          <w:szCs w:val="24"/>
        </w:rPr>
        <w:t xml:space="preserve">The scatter plots illuminate the non-linear nature of house pricing. The relationship between sqft_living and price is broadly positive, but the scatter is wide and heteroscedastic: larger homes have not only higher prices but also much greater price variability. A 3,000 sq ft home might sell anywhere from $500K to $2M+ depending on location and quality, whereas a 1,000 sq ft home has a much narrower range.</w:t>
      </w:r>
    </w:p>
    <w:p>
      <w:pPr>
        <w:spacing w:after="0" w:before="80"/>
      </w:pPr>
    </w:p>
    <w:p>
      <w:pPr>
        <w:spacing w:after="80" w:before="80" w:line="360"/>
      </w:pPr>
      <w:r>
        <w:rPr>
          <w:rFonts w:ascii="Calibri" w:cs="Calibri" w:eastAsia="Calibri" w:hAnsi="Calibri"/>
          <w:b w:val="false"/>
          <w:bCs w:val="false"/>
          <w:i w:val="false"/>
          <w:iCs w:val="false"/>
          <w:color w:val="2C3E50"/>
          <w:sz w:val="24"/>
          <w:szCs w:val="24"/>
        </w:rPr>
        <w:t xml:space="preserve">The condition rating plot (bottom right) shows a staircase-like pattern rather than a smooth line, confirming that condition acts more like a categorical premium than a continuous linear driver. Homes in condition 5 show a notable jump above condition 4, likely because a top-condition rating attracts a specific buyer segment willing to pay for move-in-ready quality.</w:t>
      </w:r>
    </w:p>
    <w:p>
      <w:pPr>
        <w:pStyle w:val="Heading2"/>
      </w:pPr>
      <w:r>
        <w:rPr>
          <w:rFonts w:ascii="Calibri" w:cs="Calibri" w:eastAsia="Calibri" w:hAnsi="Calibri"/>
          <w:b/>
          <w:bCs/>
          <w:color w:val="2471A3"/>
          <w:sz w:val="28"/>
          <w:szCs w:val="28"/>
        </w:rPr>
        <w:t xml:space="preserve">3.5 Geographic Price Variation</w:t>
      </w:r>
    </w:p>
    <w:p>
      <w:pPr>
        <w:spacing w:after="120" w:before="120"/>
        <w:jc w:val="center"/>
      </w:pPr>
      <w:r>
        <w:drawing>
          <wp:inline distT="0" distB="0" distL="0" distR="0">
            <wp:extent cx="5905500" cy="2228850"/>
            <wp:effectExtent t="0" r="0" b="0" l="0"/>
            <wp:docPr id="1" name="avg_price_by_city.png" descr="avg_price_by_city.png" title="avg_price_by_c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228850"/>
                    </a:xfrm>
                    <a:prstGeom prst="rect">
                      <a:avLst/>
                    </a:prstGeom>
                  </pic:spPr>
                </pic:pic>
              </a:graphicData>
            </a:graphic>
          </wp:inline>
        </w:drawing>
      </w:r>
    </w:p>
    <w:p>
      <w:pPr>
        <w:spacing w:after="160" w:before="40"/>
        <w:jc w:val="center"/>
      </w:pPr>
      <w:r>
        <w:rPr>
          <w:rFonts w:ascii="Calibri" w:cs="Calibri" w:eastAsia="Calibri" w:hAnsi="Calibri"/>
          <w:i/>
          <w:iCs/>
          <w:color w:val="7F8C8D"/>
          <w:sz w:val="19"/>
          <w:szCs w:val="19"/>
        </w:rPr>
        <w:t xml:space="preserve">Figure 5: Average house price by city, restricted to cities with at least 10 listings. Only the 15 highest-priced cities are shown.</w:t>
      </w:r>
    </w:p>
    <w:p>
      <w:pPr>
        <w:spacing w:after="80" w:before="80" w:line="360"/>
      </w:pPr>
      <w:r>
        <w:rPr>
          <w:rFonts w:ascii="Calibri" w:cs="Calibri" w:eastAsia="Calibri" w:hAnsi="Calibri"/>
          <w:b w:val="false"/>
          <w:bCs w:val="false"/>
          <w:i w:val="false"/>
          <w:iCs w:val="false"/>
          <w:color w:val="2C3E50"/>
          <w:sz w:val="24"/>
          <w:szCs w:val="24"/>
        </w:rPr>
        <w:t xml:space="preserve">Location is, as the saying goes, everything in real estate. The average price by city chart makes this concrete: Medina, the home of several technology industry billionaires, commands average prices near or above $2 million, while cities like Federal Way and Auburn at the outer edges of the county average under $350K. That is a factor of five difference driven entirely by address.</w:t>
      </w:r>
    </w:p>
    <w:p>
      <w:pPr>
        <w:spacing w:after="0" w:before="80"/>
      </w:pPr>
    </w:p>
    <w:p>
      <w:pPr>
        <w:spacing w:after="80" w:before="80" w:line="360"/>
      </w:pPr>
      <w:r>
        <w:rPr>
          <w:rFonts w:ascii="Calibri" w:cs="Calibri" w:eastAsia="Calibri" w:hAnsi="Calibri"/>
          <w:b w:val="false"/>
          <w:bCs w:val="false"/>
          <w:i w:val="false"/>
          <w:iCs w:val="false"/>
          <w:color w:val="2C3E50"/>
          <w:sz w:val="24"/>
          <w:szCs w:val="24"/>
        </w:rPr>
        <w:t xml:space="preserve">This extreme geographic variation is precisely why location encoding is the most critical feature engineering step in this project. Simply knowing which city a house is in conveys enormous predictive information, and the target encoding strategy we employ (replacing each city with its average training-set price) is specifically designed to transfer this signal into the model in a numerically useful form.</w:t>
      </w:r>
    </w:p>
    <w:p>
      <w:pPr>
        <w:pStyle w:val="Heading2"/>
      </w:pPr>
      <w:r>
        <w:rPr>
          <w:rFonts w:ascii="Calibri" w:cs="Calibri" w:eastAsia="Calibri" w:hAnsi="Calibri"/>
          <w:b/>
          <w:bCs/>
          <w:color w:val="2471A3"/>
          <w:sz w:val="28"/>
          <w:szCs w:val="28"/>
        </w:rPr>
        <w:t xml:space="preserve">3.6 Price by Bedroom Count</w:t>
      </w:r>
    </w:p>
    <w:p>
      <w:pPr>
        <w:spacing w:after="120" w:before="120"/>
        <w:jc w:val="center"/>
      </w:pPr>
      <w:r>
        <w:drawing>
          <wp:inline distT="0" distB="0" distL="0" distR="0">
            <wp:extent cx="5715000" cy="2705100"/>
            <wp:effectExtent t="0" r="0" b="0" l="0"/>
            <wp:docPr id="1" name="price_by_bedrooms.png" descr="price_by_bedrooms.png" title="price_by_bedroo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705100"/>
                    </a:xfrm>
                    <a:prstGeom prst="rect">
                      <a:avLst/>
                    </a:prstGeom>
                  </pic:spPr>
                </pic:pic>
              </a:graphicData>
            </a:graphic>
          </wp:inline>
        </w:drawing>
      </w:r>
    </w:p>
    <w:p>
      <w:pPr>
        <w:spacing w:after="160" w:before="40"/>
        <w:jc w:val="center"/>
      </w:pPr>
      <w:r>
        <w:rPr>
          <w:rFonts w:ascii="Calibri" w:cs="Calibri" w:eastAsia="Calibri" w:hAnsi="Calibri"/>
          <w:i/>
          <w:iCs/>
          <w:color w:val="7F8C8D"/>
          <w:sz w:val="19"/>
          <w:szCs w:val="19"/>
        </w:rPr>
        <w:t xml:space="preserve">Figure 6: Box plot of price distribution for homes with 1 to 8 bedrooms (&gt;50K price filter applied). Red horizontal lines show medians.</w:t>
      </w:r>
    </w:p>
    <w:p>
      <w:pPr>
        <w:spacing w:after="80" w:before="80" w:line="360"/>
      </w:pPr>
      <w:r>
        <w:rPr>
          <w:rFonts w:ascii="Calibri" w:cs="Calibri" w:eastAsia="Calibri" w:hAnsi="Calibri"/>
          <w:b w:val="false"/>
          <w:bCs w:val="false"/>
          <w:i w:val="false"/>
          <w:iCs w:val="false"/>
          <w:color w:val="2C3E50"/>
          <w:sz w:val="24"/>
          <w:szCs w:val="24"/>
        </w:rPr>
        <w:t xml:space="preserve">The bedroom box plots reveal a subtler story than one might expect. While the median price does generally increase from 1 to 5 bedrooms, the relationship is non-monotonic: 6 and 7 bedroom homes show lower medians than 5-bedroom homes. This counterintuitive pattern likely reflects the fact that very large homes in this price range are located in less desirable suburban areas where lot value is lower, whereas a 5-bedroom home might be a premium property in a sought-after neighbourhood.</w:t>
      </w:r>
    </w:p>
    <w:p>
      <w:pPr>
        <w:spacing w:after="0" w:before="80"/>
      </w:pPr>
    </w:p>
    <w:p>
      <w:pPr>
        <w:spacing w:after="80" w:before="80" w:line="360"/>
      </w:pPr>
      <w:r>
        <w:rPr>
          <w:rFonts w:ascii="Calibri" w:cs="Calibri" w:eastAsia="Calibri" w:hAnsi="Calibri"/>
          <w:b w:val="false"/>
          <w:bCs w:val="false"/>
          <w:i w:val="false"/>
          <w:iCs w:val="false"/>
          <w:color w:val="2C3E50"/>
          <w:sz w:val="24"/>
          <w:szCs w:val="24"/>
        </w:rPr>
        <w:t xml:space="preserve">The box plots also highlight the growing dispersion at higher bedroom counts: 4 and 5-bedroom homes have wide interquartile ranges, reflecting the high location sensitivity of properties in that size class. This variability is exactly the kind of pattern that decision trees (and by extension, Random Forest) are well-suited to model.</w:t>
      </w:r>
    </w:p>
    <w:p>
      <w:r>
        <w:br w:type="page"/>
      </w:r>
    </w:p>
    <w:p>
      <w:pPr>
        <w:pStyle w:val="Heading1"/>
      </w:pPr>
      <w:r>
        <w:rPr>
          <w:rFonts w:ascii="Calibri" w:cs="Calibri" w:eastAsia="Calibri" w:hAnsi="Calibri"/>
          <w:b/>
          <w:bCs/>
          <w:color w:val="1E3A5F"/>
          <w:sz w:val="36"/>
          <w:szCs w:val="36"/>
        </w:rPr>
        <w:t xml:space="preserve">4. Data Preprocessing &amp; Feature Engineering</w:t>
      </w:r>
    </w:p>
    <w:p>
      <w:pPr>
        <w:pBdr>
          <w:bottom w:val="single" w:color="2196F3" w:sz="4" w:space="1"/>
        </w:pBdr>
        <w:spacing w:after="60" w:before="0"/>
      </w:pPr>
    </w:p>
    <w:p>
      <w:pPr>
        <w:spacing w:after="80" w:before="80" w:line="360"/>
      </w:pPr>
      <w:r>
        <w:rPr>
          <w:rFonts w:ascii="Calibri" w:cs="Calibri" w:eastAsia="Calibri" w:hAnsi="Calibri"/>
          <w:b w:val="false"/>
          <w:bCs w:val="false"/>
          <w:i w:val="false"/>
          <w:iCs w:val="false"/>
          <w:color w:val="2C3E50"/>
          <w:sz w:val="24"/>
          <w:szCs w:val="24"/>
        </w:rPr>
        <w:t xml:space="preserve">Raw data rarely arrives in a form ready for machine learning. This section describes the systematic steps taken to prepare the King County dataset for modelling.</w:t>
      </w:r>
    </w:p>
    <w:p>
      <w:pPr>
        <w:pStyle w:val="Heading2"/>
      </w:pPr>
      <w:r>
        <w:rPr>
          <w:rFonts w:ascii="Calibri" w:cs="Calibri" w:eastAsia="Calibri" w:hAnsi="Calibri"/>
          <w:b/>
          <w:bCs/>
          <w:color w:val="2471A3"/>
          <w:sz w:val="28"/>
          <w:szCs w:val="28"/>
        </w:rPr>
        <w:t xml:space="preserve">4.1 Data Cleaning</w:t>
      </w:r>
    </w:p>
    <w:p>
      <w:pPr>
        <w:spacing w:after="80" w:before="80" w:line="360"/>
      </w:pPr>
      <w:r>
        <w:rPr>
          <w:rFonts w:ascii="Calibri" w:cs="Calibri" w:eastAsia="Calibri" w:hAnsi="Calibri"/>
          <w:b w:val="false"/>
          <w:bCs w:val="false"/>
          <w:i w:val="false"/>
          <w:iCs w:val="false"/>
          <w:color w:val="2C3E50"/>
          <w:sz w:val="24"/>
          <w:szCs w:val="24"/>
        </w:rPr>
        <w:t xml:space="preserve">Three categories of problematic records were identified and removed:</w:t>
      </w:r>
    </w:p>
    <w:p>
      <w:pPr>
        <w:pStyle w:val="ListParagraph"/>
        <w:numPr>
          <w:ilvl w:val="0"/>
          <w:numId w:val="2"/>
        </w:numPr>
        <w:spacing w:after="60" w:before="60" w:line="340"/>
      </w:pPr>
      <w:r>
        <w:rPr>
          <w:rFonts w:ascii="Calibri" w:cs="Calibri" w:eastAsia="Calibri" w:hAnsi="Calibri"/>
          <w:b w:val="false"/>
          <w:bCs w:val="false"/>
          <w:color w:val="2C3E50"/>
          <w:sz w:val="22"/>
          <w:szCs w:val="22"/>
        </w:rPr>
        <w:t xml:space="preserve">Zero-price listings (49 records): Properties recorded with a price of $0 are clearly data entry errors or non-arm’s-length transfers. Including them would introduce severe noise into the target distribution.</w:t>
      </w:r>
    </w:p>
    <w:p>
      <w:pPr>
        <w:pStyle w:val="ListParagraph"/>
        <w:numPr>
          <w:ilvl w:val="0"/>
          <w:numId w:val="2"/>
        </w:numPr>
        <w:spacing w:after="60" w:before="60" w:line="340"/>
      </w:pPr>
      <w:r>
        <w:rPr>
          <w:rFonts w:ascii="Calibri" w:cs="Calibri" w:eastAsia="Calibri" w:hAnsi="Calibri"/>
          <w:b w:val="false"/>
          <w:bCs w:val="false"/>
          <w:color w:val="2C3E50"/>
          <w:sz w:val="22"/>
          <w:szCs w:val="22"/>
        </w:rPr>
        <w:t xml:space="preserve">Extreme high-price outliers (top 0.5%): Prices above approximately $2.4 million represent an extremely thin slice of the market with unique characteristics. These outliers would inflate RMSE significantly and distort gradient calculations.</w:t>
      </w:r>
    </w:p>
    <w:p>
      <w:pPr>
        <w:pStyle w:val="ListParagraph"/>
        <w:numPr>
          <w:ilvl w:val="0"/>
          <w:numId w:val="2"/>
        </w:numPr>
        <w:spacing w:after="60" w:before="60" w:line="340"/>
      </w:pPr>
      <w:r>
        <w:rPr>
          <w:rFonts w:ascii="Calibri" w:cs="Calibri" w:eastAsia="Calibri" w:hAnsi="Calibri"/>
          <w:b w:val="false"/>
          <w:bCs w:val="false"/>
          <w:color w:val="2C3E50"/>
          <w:sz w:val="22"/>
          <w:szCs w:val="22"/>
        </w:rPr>
        <w:t xml:space="preserve">Anomalous bedroom counts (6 records): Properties recorded with more than 15 bedrooms are almost certainly commercial listings or data entry errors.</w:t>
      </w:r>
    </w:p>
    <w:p>
      <w:pPr>
        <w:spacing w:after="80" w:before="80" w:line="360"/>
      </w:pPr>
      <w:r>
        <w:rPr>
          <w:rFonts w:ascii="Calibri" w:cs="Calibri" w:eastAsia="Calibri" w:hAnsi="Calibri"/>
          <w:b w:val="false"/>
          <w:bCs w:val="false"/>
          <w:i w:val="false"/>
          <w:iCs w:val="false"/>
          <w:color w:val="2C3E50"/>
          <w:sz w:val="24"/>
          <w:szCs w:val="24"/>
        </w:rPr>
        <w:t xml:space="preserve">After cleaning, 4,529 records remain — a 98.5% retention rate, meaning the vast majority of the dataset was preserved intact.</w:t>
      </w:r>
    </w:p>
    <w:p>
      <w:pPr>
        <w:pStyle w:val="Heading2"/>
      </w:pPr>
      <w:r>
        <w:rPr>
          <w:rFonts w:ascii="Calibri" w:cs="Calibri" w:eastAsia="Calibri" w:hAnsi="Calibri"/>
          <w:b/>
          <w:bCs/>
          <w:color w:val="2471A3"/>
          <w:sz w:val="28"/>
          <w:szCs w:val="28"/>
        </w:rPr>
        <w:t xml:space="preserve">4.2 Engineered Features</w:t>
      </w:r>
    </w:p>
    <w:p>
      <w:pPr>
        <w:spacing w:after="80" w:before="80" w:line="360"/>
      </w:pPr>
      <w:r>
        <w:rPr>
          <w:rFonts w:ascii="Calibri" w:cs="Calibri" w:eastAsia="Calibri" w:hAnsi="Calibri"/>
          <w:b w:val="false"/>
          <w:bCs w:val="false"/>
          <w:i w:val="false"/>
          <w:iCs w:val="false"/>
          <w:color w:val="2C3E50"/>
          <w:sz w:val="24"/>
          <w:szCs w:val="24"/>
        </w:rPr>
        <w:t xml:space="preserve">Eleven new features were derived from the original columns to provide the models with richer, more directly meaningful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2196F3" w:sz="6"/>
              <w:left w:val="single" w:color="2196F3" w:sz="6"/>
              <w:bottom w:val="single" w:color="2196F3" w:sz="6"/>
              <w:right w:val="single" w:color="2196F3" w:sz="6"/>
            </w:tcBorders>
            <w:shd w:fill="1E3A5F"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Feature</w:t>
            </w:r>
          </w:p>
        </w:tc>
        <w:tc>
          <w:tcPr>
            <w:tcW w:type="dxa" w:w="3200"/>
            <w:tcBorders>
              <w:top w:val="single" w:color="2196F3" w:sz="6"/>
              <w:left w:val="single" w:color="2196F3" w:sz="6"/>
              <w:bottom w:val="single" w:color="2196F3" w:sz="6"/>
              <w:right w:val="single" w:color="2196F3" w:sz="6"/>
            </w:tcBorders>
            <w:shd w:fill="1E3A5F"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Formula / Source</w:t>
            </w:r>
          </w:p>
        </w:tc>
        <w:tc>
          <w:tcPr>
            <w:tcW w:type="dxa" w:w="3760"/>
            <w:tcBorders>
              <w:top w:val="single" w:color="2196F3" w:sz="6"/>
              <w:left w:val="single" w:color="2196F3" w:sz="6"/>
              <w:bottom w:val="single" w:color="2196F3" w:sz="6"/>
              <w:right w:val="single" w:color="2196F3" w:sz="6"/>
            </w:tcBorders>
            <w:shd w:fill="1E3A5F"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Why It Helps</w:t>
            </w:r>
          </w:p>
        </w:tc>
      </w:tr>
      <w:tr>
        <w:tc>
          <w:tcPr>
            <w:tcW w:type="dxa" w:w="2400"/>
            <w:tcBorders>
              <w:top w:val="single" w:color="BDC3C7" w:sz="4"/>
              <w:left w:val="single" w:color="BDC3C7" w:sz="4"/>
              <w:bottom w:val="single" w:color="BDC3C7" w:sz="4"/>
              <w:right w:val="single" w:color="BDC3C7" w:sz="4"/>
            </w:tcBorders>
            <w:shd w:fill="F8FBFF" w:val="clear"/>
            <w:tcMar>
              <w:top w:type="dxa" w:w="80"/>
              <w:left w:type="dxa" w:w="140"/>
              <w:bottom w:type="dxa" w:w="80"/>
              <w:right w:type="dxa" w:w="140"/>
            </w:tcMar>
            <w:vAlign w:val="center"/>
          </w:tcPr>
          <w:p>
            <w:pPr>
              <w:jc w:val="left"/>
            </w:pPr>
            <w:r>
              <w:rPr>
                <w:rFonts w:ascii="Calibri" w:cs="Calibri" w:eastAsia="Calibri" w:hAnsi="Calibri"/>
                <w:b/>
                <w:bCs/>
                <w:color w:val="2C3E50"/>
                <w:sz w:val="20"/>
                <w:szCs w:val="20"/>
              </w:rPr>
              <w:t xml:space="preserve">house_age</w:t>
            </w:r>
          </w:p>
        </w:tc>
        <w:tc>
          <w:tcPr>
            <w:tcW w:type="dxa" w:w="3200"/>
            <w:tcBorders>
              <w:top w:val="single" w:color="BDC3C7" w:sz="4"/>
              <w:left w:val="single" w:color="BDC3C7" w:sz="4"/>
              <w:bottom w:val="single" w:color="BDC3C7" w:sz="4"/>
              <w:right w:val="single" w:color="BDC3C7" w:sz="4"/>
            </w:tcBorders>
            <w:shd w:fill="F8FBFF" w:val="clear"/>
            <w:tcMar>
              <w:top w:type="dxa" w:w="80"/>
              <w:left w:type="dxa" w:w="140"/>
              <w:bottom w:type="dxa" w:w="80"/>
              <w:right w:type="dxa" w:w="140"/>
            </w:tcMar>
            <w:vAlign w:val="center"/>
          </w:tcPr>
          <w:p>
            <w:pPr>
              <w:jc w:val="left"/>
            </w:pPr>
            <w:r>
              <w:rPr>
                <w:rFonts w:ascii="Calibri" w:cs="Calibri" w:eastAsia="Calibri" w:hAnsi="Calibri"/>
                <w:b w:val="false"/>
                <w:bCs w:val="false"/>
                <w:color w:val="2471A3"/>
                <w:sz w:val="20"/>
                <w:szCs w:val="20"/>
              </w:rPr>
              <w:t xml:space="preserve">sale_year − yr_built</w:t>
            </w:r>
          </w:p>
        </w:tc>
        <w:tc>
          <w:tcPr>
            <w:tcW w:type="dxa" w:w="3760"/>
            <w:tcBorders>
              <w:top w:val="single" w:color="BDC3C7" w:sz="4"/>
              <w:left w:val="single" w:color="BDC3C7" w:sz="4"/>
              <w:bottom w:val="single" w:color="BDC3C7" w:sz="4"/>
              <w:right w:val="single" w:color="BDC3C7" w:sz="4"/>
            </w:tcBorders>
            <w:shd w:fill="F8FBFF" w:val="clear"/>
            <w:tcMar>
              <w:top w:type="dxa" w:w="80"/>
              <w:left w:type="dxa" w:w="140"/>
              <w:bottom w:type="dxa" w:w="80"/>
              <w:right w:type="dxa" w:w="140"/>
            </w:tcMar>
            <w:vAlign w:val="center"/>
          </w:tcPr>
          <w:p>
            <w:pPr>
              <w:jc w:val="left"/>
            </w:pPr>
            <w:r>
              <w:rPr>
                <w:rFonts w:ascii="Calibri" w:cs="Calibri" w:eastAsia="Calibri" w:hAnsi="Calibri"/>
                <w:b w:val="false"/>
                <w:bCs w:val="false"/>
                <w:color w:val="2C3E50"/>
                <w:sz w:val="20"/>
                <w:szCs w:val="20"/>
              </w:rPr>
              <w:t xml:space="preserve">Direct measure of depreciation</w:t>
            </w:r>
          </w:p>
        </w:tc>
      </w:tr>
      <w:tr>
        <w:tc>
          <w:tcPr>
            <w:tcW w:type="dxa" w:w="2400"/>
            <w:tcBorders>
              <w:top w:val="single" w:color="BDC3C7" w:sz="4"/>
              <w:left w:val="single" w:color="BDC3C7" w:sz="4"/>
              <w:bottom w:val="single" w:color="BDC3C7" w:sz="4"/>
              <w:right w:val="single" w:color="BDC3C7" w:sz="4"/>
            </w:tcBorders>
            <w:tcMar>
              <w:top w:type="dxa" w:w="80"/>
              <w:left w:type="dxa" w:w="140"/>
              <w:bottom w:type="dxa" w:w="80"/>
              <w:right w:type="dxa" w:w="140"/>
            </w:tcMar>
            <w:vAlign w:val="center"/>
          </w:tcPr>
          <w:p>
            <w:pPr>
              <w:jc w:val="left"/>
            </w:pPr>
            <w:r>
              <w:rPr>
                <w:rFonts w:ascii="Calibri" w:cs="Calibri" w:eastAsia="Calibri" w:hAnsi="Calibri"/>
                <w:b/>
                <w:bCs/>
                <w:color w:val="2C3E50"/>
                <w:sz w:val="20"/>
                <w:szCs w:val="20"/>
              </w:rPr>
              <w:t xml:space="preserve">is_renovated</w:t>
            </w:r>
          </w:p>
        </w:tc>
        <w:tc>
          <w:tcPr>
            <w:tcW w:type="dxa" w:w="3200"/>
            <w:tcBorders>
              <w:top w:val="single" w:color="BDC3C7" w:sz="4"/>
              <w:left w:val="single" w:color="BDC3C7" w:sz="4"/>
              <w:bottom w:val="single" w:color="BDC3C7" w:sz="4"/>
              <w:right w:val="single" w:color="BDC3C7" w:sz="4"/>
            </w:tcBorders>
            <w:tcMar>
              <w:top w:type="dxa" w:w="80"/>
              <w:left w:type="dxa" w:w="140"/>
              <w:bottom w:type="dxa" w:w="80"/>
              <w:right w:type="dxa" w:w="140"/>
            </w:tcMar>
            <w:vAlign w:val="center"/>
          </w:tcPr>
          <w:p>
            <w:pPr>
              <w:jc w:val="left"/>
            </w:pPr>
            <w:r>
              <w:rPr>
                <w:rFonts w:ascii="Calibri" w:cs="Calibri" w:eastAsia="Calibri" w:hAnsi="Calibri"/>
                <w:b w:val="false"/>
                <w:bCs w:val="false"/>
                <w:color w:val="2471A3"/>
                <w:sz w:val="20"/>
                <w:szCs w:val="20"/>
              </w:rPr>
              <w:t xml:space="preserve">1 if yr_renovated &gt; 0</w:t>
            </w:r>
          </w:p>
        </w:tc>
        <w:tc>
          <w:tcPr>
            <w:tcW w:type="dxa" w:w="3760"/>
            <w:tcBorders>
              <w:top w:val="single" w:color="BDC3C7" w:sz="4"/>
              <w:left w:val="single" w:color="BDC3C7" w:sz="4"/>
              <w:bottom w:val="single" w:color="BDC3C7" w:sz="4"/>
              <w:right w:val="single" w:color="BDC3C7" w:sz="4"/>
            </w:tcBorders>
            <w:tcMar>
              <w:top w:type="dxa" w:w="80"/>
              <w:left w:type="dxa" w:w="140"/>
              <w:bottom w:type="dxa" w:w="80"/>
              <w:right w:type="dxa" w:w="140"/>
            </w:tcMar>
            <w:vAlign w:val="center"/>
          </w:tcPr>
          <w:p>
            <w:pPr>
              <w:jc w:val="left"/>
            </w:pPr>
            <w:r>
              <w:rPr>
                <w:rFonts w:ascii="Calibri" w:cs="Calibri" w:eastAsia="Calibri" w:hAnsi="Calibri"/>
                <w:b w:val="false"/>
                <w:bCs w:val="false"/>
                <w:color w:val="2C3E50"/>
                <w:sz w:val="20"/>
                <w:szCs w:val="20"/>
              </w:rPr>
              <w:t xml:space="preserve">Binary flag: modernised interior</w:t>
            </w:r>
          </w:p>
        </w:tc>
      </w:tr>
      <w:tr>
        <w:tc>
          <w:tcPr>
            <w:tcW w:type="dxa" w:w="2400"/>
            <w:tcBorders>
              <w:top w:val="single" w:color="BDC3C7" w:sz="4"/>
              <w:left w:val="single" w:color="BDC3C7" w:sz="4"/>
              <w:bottom w:val="single" w:color="BDC3C7" w:sz="4"/>
              <w:right w:val="single" w:color="BDC3C7" w:sz="4"/>
            </w:tcBorders>
            <w:shd w:fill="F8FBFF" w:val="clear"/>
            <w:tcMar>
              <w:top w:type="dxa" w:w="80"/>
              <w:left w:type="dxa" w:w="140"/>
              <w:bottom w:type="dxa" w:w="80"/>
              <w:right w:type="dxa" w:w="140"/>
            </w:tcMar>
            <w:vAlign w:val="center"/>
          </w:tcPr>
          <w:p>
            <w:pPr>
              <w:jc w:val="left"/>
            </w:pPr>
            <w:r>
              <w:rPr>
                <w:rFonts w:ascii="Calibri" w:cs="Calibri" w:eastAsia="Calibri" w:hAnsi="Calibri"/>
                <w:b/>
                <w:bCs/>
                <w:color w:val="2C3E50"/>
                <w:sz w:val="20"/>
                <w:szCs w:val="20"/>
              </w:rPr>
              <w:t xml:space="preserve">years_since_reno</w:t>
            </w:r>
          </w:p>
        </w:tc>
        <w:tc>
          <w:tcPr>
            <w:tcW w:type="dxa" w:w="3200"/>
            <w:tcBorders>
              <w:top w:val="single" w:color="BDC3C7" w:sz="4"/>
              <w:left w:val="single" w:color="BDC3C7" w:sz="4"/>
              <w:bottom w:val="single" w:color="BDC3C7" w:sz="4"/>
              <w:right w:val="single" w:color="BDC3C7" w:sz="4"/>
            </w:tcBorders>
            <w:shd w:fill="F8FBFF" w:val="clear"/>
            <w:tcMar>
              <w:top w:type="dxa" w:w="80"/>
              <w:left w:type="dxa" w:w="140"/>
              <w:bottom w:type="dxa" w:w="80"/>
              <w:right w:type="dxa" w:w="140"/>
            </w:tcMar>
            <w:vAlign w:val="center"/>
          </w:tcPr>
          <w:p>
            <w:pPr>
              <w:jc w:val="left"/>
            </w:pPr>
            <w:r>
              <w:rPr>
                <w:rFonts w:ascii="Calibri" w:cs="Calibri" w:eastAsia="Calibri" w:hAnsi="Calibri"/>
                <w:b w:val="false"/>
                <w:bCs w:val="false"/>
                <w:color w:val="2471A3"/>
                <w:sz w:val="20"/>
                <w:szCs w:val="20"/>
              </w:rPr>
              <w:t xml:space="preserve">sale_year − yr_renovated</w:t>
            </w:r>
          </w:p>
        </w:tc>
        <w:tc>
          <w:tcPr>
            <w:tcW w:type="dxa" w:w="3760"/>
            <w:tcBorders>
              <w:top w:val="single" w:color="BDC3C7" w:sz="4"/>
              <w:left w:val="single" w:color="BDC3C7" w:sz="4"/>
              <w:bottom w:val="single" w:color="BDC3C7" w:sz="4"/>
              <w:right w:val="single" w:color="BDC3C7" w:sz="4"/>
            </w:tcBorders>
            <w:shd w:fill="F8FBFF" w:val="clear"/>
            <w:tcMar>
              <w:top w:type="dxa" w:w="80"/>
              <w:left w:type="dxa" w:w="140"/>
              <w:bottom w:type="dxa" w:w="80"/>
              <w:right w:type="dxa" w:w="140"/>
            </w:tcMar>
            <w:vAlign w:val="center"/>
          </w:tcPr>
          <w:p>
            <w:pPr>
              <w:jc w:val="left"/>
            </w:pPr>
            <w:r>
              <w:rPr>
                <w:rFonts w:ascii="Calibri" w:cs="Calibri" w:eastAsia="Calibri" w:hAnsi="Calibri"/>
                <w:b w:val="false"/>
                <w:bCs w:val="false"/>
                <w:color w:val="2C3E50"/>
                <w:sz w:val="20"/>
                <w:szCs w:val="20"/>
              </w:rPr>
              <w:t xml:space="preserve">Recency of renovation</w:t>
            </w:r>
          </w:p>
        </w:tc>
      </w:tr>
      <w:tr>
        <w:tc>
          <w:tcPr>
            <w:tcW w:type="dxa" w:w="2400"/>
            <w:tcBorders>
              <w:top w:val="single" w:color="BDC3C7" w:sz="4"/>
              <w:left w:val="single" w:color="BDC3C7" w:sz="4"/>
              <w:bottom w:val="single" w:color="BDC3C7" w:sz="4"/>
              <w:right w:val="single" w:color="BDC3C7" w:sz="4"/>
            </w:tcBorders>
            <w:tcMar>
              <w:top w:type="dxa" w:w="80"/>
              <w:left w:type="dxa" w:w="140"/>
              <w:bottom w:type="dxa" w:w="80"/>
              <w:right w:type="dxa" w:w="140"/>
            </w:tcMar>
            <w:vAlign w:val="center"/>
          </w:tcPr>
          <w:p>
            <w:pPr>
              <w:jc w:val="left"/>
            </w:pPr>
            <w:r>
              <w:rPr>
                <w:rFonts w:ascii="Calibri" w:cs="Calibri" w:eastAsia="Calibri" w:hAnsi="Calibri"/>
                <w:b/>
                <w:bCs/>
                <w:color w:val="2C3E50"/>
                <w:sz w:val="20"/>
                <w:szCs w:val="20"/>
              </w:rPr>
              <w:t xml:space="preserve">total_sqft</w:t>
            </w:r>
          </w:p>
        </w:tc>
        <w:tc>
          <w:tcPr>
            <w:tcW w:type="dxa" w:w="3200"/>
            <w:tcBorders>
              <w:top w:val="single" w:color="BDC3C7" w:sz="4"/>
              <w:left w:val="single" w:color="BDC3C7" w:sz="4"/>
              <w:bottom w:val="single" w:color="BDC3C7" w:sz="4"/>
              <w:right w:val="single" w:color="BDC3C7" w:sz="4"/>
            </w:tcBorders>
            <w:tcMar>
              <w:top w:type="dxa" w:w="80"/>
              <w:left w:type="dxa" w:w="140"/>
              <w:bottom w:type="dxa" w:w="80"/>
              <w:right w:type="dxa" w:w="140"/>
            </w:tcMar>
            <w:vAlign w:val="center"/>
          </w:tcPr>
          <w:p>
            <w:pPr>
              <w:jc w:val="left"/>
            </w:pPr>
            <w:r>
              <w:rPr>
                <w:rFonts w:ascii="Calibri" w:cs="Calibri" w:eastAsia="Calibri" w:hAnsi="Calibri"/>
                <w:b w:val="false"/>
                <w:bCs w:val="false"/>
                <w:color w:val="2471A3"/>
                <w:sz w:val="20"/>
                <w:szCs w:val="20"/>
              </w:rPr>
              <w:t xml:space="preserve">sqft_living + sqft_lot</w:t>
            </w:r>
          </w:p>
        </w:tc>
        <w:tc>
          <w:tcPr>
            <w:tcW w:type="dxa" w:w="3760"/>
            <w:tcBorders>
              <w:top w:val="single" w:color="BDC3C7" w:sz="4"/>
              <w:left w:val="single" w:color="BDC3C7" w:sz="4"/>
              <w:bottom w:val="single" w:color="BDC3C7" w:sz="4"/>
              <w:right w:val="single" w:color="BDC3C7" w:sz="4"/>
            </w:tcBorders>
            <w:tcMar>
              <w:top w:type="dxa" w:w="80"/>
              <w:left w:type="dxa" w:w="140"/>
              <w:bottom w:type="dxa" w:w="80"/>
              <w:right w:type="dxa" w:w="140"/>
            </w:tcMar>
            <w:vAlign w:val="center"/>
          </w:tcPr>
          <w:p>
            <w:pPr>
              <w:jc w:val="left"/>
            </w:pPr>
            <w:r>
              <w:rPr>
                <w:rFonts w:ascii="Calibri" w:cs="Calibri" w:eastAsia="Calibri" w:hAnsi="Calibri"/>
                <w:b w:val="false"/>
                <w:bCs w:val="false"/>
                <w:color w:val="2C3E50"/>
                <w:sz w:val="20"/>
                <w:szCs w:val="20"/>
              </w:rPr>
              <w:t xml:space="preserve">Combined sense of overall scale</w:t>
            </w:r>
          </w:p>
        </w:tc>
      </w:tr>
      <w:tr>
        <w:tc>
          <w:tcPr>
            <w:tcW w:type="dxa" w:w="2400"/>
            <w:tcBorders>
              <w:top w:val="single" w:color="BDC3C7" w:sz="4"/>
              <w:left w:val="single" w:color="BDC3C7" w:sz="4"/>
              <w:bottom w:val="single" w:color="BDC3C7" w:sz="4"/>
              <w:right w:val="single" w:color="BDC3C7" w:sz="4"/>
            </w:tcBorders>
            <w:shd w:fill="F8FBFF" w:val="clear"/>
            <w:tcMar>
              <w:top w:type="dxa" w:w="80"/>
              <w:left w:type="dxa" w:w="140"/>
              <w:bottom w:type="dxa" w:w="80"/>
              <w:right w:type="dxa" w:w="140"/>
            </w:tcMar>
            <w:vAlign w:val="center"/>
          </w:tcPr>
          <w:p>
            <w:pPr>
              <w:jc w:val="left"/>
            </w:pPr>
            <w:r>
              <w:rPr>
                <w:rFonts w:ascii="Calibri" w:cs="Calibri" w:eastAsia="Calibri" w:hAnsi="Calibri"/>
                <w:b/>
                <w:bCs/>
                <w:color w:val="2C3E50"/>
                <w:sz w:val="20"/>
                <w:szCs w:val="20"/>
              </w:rPr>
              <w:t xml:space="preserve">living_lot_ratio</w:t>
            </w:r>
          </w:p>
        </w:tc>
        <w:tc>
          <w:tcPr>
            <w:tcW w:type="dxa" w:w="3200"/>
            <w:tcBorders>
              <w:top w:val="single" w:color="BDC3C7" w:sz="4"/>
              <w:left w:val="single" w:color="BDC3C7" w:sz="4"/>
              <w:bottom w:val="single" w:color="BDC3C7" w:sz="4"/>
              <w:right w:val="single" w:color="BDC3C7" w:sz="4"/>
            </w:tcBorders>
            <w:shd w:fill="F8FBFF" w:val="clear"/>
            <w:tcMar>
              <w:top w:type="dxa" w:w="80"/>
              <w:left w:type="dxa" w:w="140"/>
              <w:bottom w:type="dxa" w:w="80"/>
              <w:right w:type="dxa" w:w="140"/>
            </w:tcMar>
            <w:vAlign w:val="center"/>
          </w:tcPr>
          <w:p>
            <w:pPr>
              <w:jc w:val="left"/>
            </w:pPr>
            <w:r>
              <w:rPr>
                <w:rFonts w:ascii="Calibri" w:cs="Calibri" w:eastAsia="Calibri" w:hAnsi="Calibri"/>
                <w:b w:val="false"/>
                <w:bCs w:val="false"/>
                <w:color w:val="2471A3"/>
                <w:sz w:val="20"/>
                <w:szCs w:val="20"/>
              </w:rPr>
              <w:t xml:space="preserve">sqft_living ÷ sqft_lot</w:t>
            </w:r>
          </w:p>
        </w:tc>
        <w:tc>
          <w:tcPr>
            <w:tcW w:type="dxa" w:w="3760"/>
            <w:tcBorders>
              <w:top w:val="single" w:color="BDC3C7" w:sz="4"/>
              <w:left w:val="single" w:color="BDC3C7" w:sz="4"/>
              <w:bottom w:val="single" w:color="BDC3C7" w:sz="4"/>
              <w:right w:val="single" w:color="BDC3C7" w:sz="4"/>
            </w:tcBorders>
            <w:shd w:fill="F8FBFF" w:val="clear"/>
            <w:tcMar>
              <w:top w:type="dxa" w:w="80"/>
              <w:left w:type="dxa" w:w="140"/>
              <w:bottom w:type="dxa" w:w="80"/>
              <w:right w:type="dxa" w:w="140"/>
            </w:tcMar>
            <w:vAlign w:val="center"/>
          </w:tcPr>
          <w:p>
            <w:pPr>
              <w:jc w:val="left"/>
            </w:pPr>
            <w:r>
              <w:rPr>
                <w:rFonts w:ascii="Calibri" w:cs="Calibri" w:eastAsia="Calibri" w:hAnsi="Calibri"/>
                <w:b w:val="false"/>
                <w:bCs w:val="false"/>
                <w:color w:val="2C3E50"/>
                <w:sz w:val="20"/>
                <w:szCs w:val="20"/>
              </w:rPr>
              <w:t xml:space="preserve">Density: building-to-land ratio</w:t>
            </w:r>
          </w:p>
        </w:tc>
      </w:tr>
      <w:tr>
        <w:tc>
          <w:tcPr>
            <w:tcW w:type="dxa" w:w="2400"/>
            <w:tcBorders>
              <w:top w:val="single" w:color="BDC3C7" w:sz="4"/>
              <w:left w:val="single" w:color="BDC3C7" w:sz="4"/>
              <w:bottom w:val="single" w:color="BDC3C7" w:sz="4"/>
              <w:right w:val="single" w:color="BDC3C7" w:sz="4"/>
            </w:tcBorders>
            <w:tcMar>
              <w:top w:type="dxa" w:w="80"/>
              <w:left w:type="dxa" w:w="140"/>
              <w:bottom w:type="dxa" w:w="80"/>
              <w:right w:type="dxa" w:w="140"/>
            </w:tcMar>
            <w:vAlign w:val="center"/>
          </w:tcPr>
          <w:p>
            <w:pPr>
              <w:jc w:val="left"/>
            </w:pPr>
            <w:r>
              <w:rPr>
                <w:rFonts w:ascii="Calibri" w:cs="Calibri" w:eastAsia="Calibri" w:hAnsi="Calibri"/>
                <w:b/>
                <w:bCs/>
                <w:color w:val="2C3E50"/>
                <w:sz w:val="20"/>
                <w:szCs w:val="20"/>
              </w:rPr>
              <w:t xml:space="preserve">basement_flag</w:t>
            </w:r>
          </w:p>
        </w:tc>
        <w:tc>
          <w:tcPr>
            <w:tcW w:type="dxa" w:w="3200"/>
            <w:tcBorders>
              <w:top w:val="single" w:color="BDC3C7" w:sz="4"/>
              <w:left w:val="single" w:color="BDC3C7" w:sz="4"/>
              <w:bottom w:val="single" w:color="BDC3C7" w:sz="4"/>
              <w:right w:val="single" w:color="BDC3C7" w:sz="4"/>
            </w:tcBorders>
            <w:tcMar>
              <w:top w:type="dxa" w:w="80"/>
              <w:left w:type="dxa" w:w="140"/>
              <w:bottom w:type="dxa" w:w="80"/>
              <w:right w:type="dxa" w:w="140"/>
            </w:tcMar>
            <w:vAlign w:val="center"/>
          </w:tcPr>
          <w:p>
            <w:pPr>
              <w:jc w:val="left"/>
            </w:pPr>
            <w:r>
              <w:rPr>
                <w:rFonts w:ascii="Calibri" w:cs="Calibri" w:eastAsia="Calibri" w:hAnsi="Calibri"/>
                <w:b w:val="false"/>
                <w:bCs w:val="false"/>
                <w:color w:val="2471A3"/>
                <w:sz w:val="20"/>
                <w:szCs w:val="20"/>
              </w:rPr>
              <w:t xml:space="preserve">1 if sqft_basement &gt; 0</w:t>
            </w:r>
          </w:p>
        </w:tc>
        <w:tc>
          <w:tcPr>
            <w:tcW w:type="dxa" w:w="3760"/>
            <w:tcBorders>
              <w:top w:val="single" w:color="BDC3C7" w:sz="4"/>
              <w:left w:val="single" w:color="BDC3C7" w:sz="4"/>
              <w:bottom w:val="single" w:color="BDC3C7" w:sz="4"/>
              <w:right w:val="single" w:color="BDC3C7" w:sz="4"/>
            </w:tcBorders>
            <w:tcMar>
              <w:top w:type="dxa" w:w="80"/>
              <w:left w:type="dxa" w:w="140"/>
              <w:bottom w:type="dxa" w:w="80"/>
              <w:right w:type="dxa" w:w="140"/>
            </w:tcMar>
            <w:vAlign w:val="center"/>
          </w:tcPr>
          <w:p>
            <w:pPr>
              <w:jc w:val="left"/>
            </w:pPr>
            <w:r>
              <w:rPr>
                <w:rFonts w:ascii="Calibri" w:cs="Calibri" w:eastAsia="Calibri" w:hAnsi="Calibri"/>
                <w:b w:val="false"/>
                <w:bCs w:val="false"/>
                <w:color w:val="2C3E50"/>
                <w:sz w:val="20"/>
                <w:szCs w:val="20"/>
              </w:rPr>
              <w:t xml:space="preserve">Extra usable space indicator</w:t>
            </w:r>
          </w:p>
        </w:tc>
      </w:tr>
      <w:tr>
        <w:tc>
          <w:tcPr>
            <w:tcW w:type="dxa" w:w="2400"/>
            <w:tcBorders>
              <w:top w:val="single" w:color="BDC3C7" w:sz="4"/>
              <w:left w:val="single" w:color="BDC3C7" w:sz="4"/>
              <w:bottom w:val="single" w:color="BDC3C7" w:sz="4"/>
              <w:right w:val="single" w:color="BDC3C7" w:sz="4"/>
            </w:tcBorders>
            <w:shd w:fill="F8FBFF" w:val="clear"/>
            <w:tcMar>
              <w:top w:type="dxa" w:w="80"/>
              <w:left w:type="dxa" w:w="140"/>
              <w:bottom w:type="dxa" w:w="80"/>
              <w:right w:type="dxa" w:w="140"/>
            </w:tcMar>
            <w:vAlign w:val="center"/>
          </w:tcPr>
          <w:p>
            <w:pPr>
              <w:jc w:val="left"/>
            </w:pPr>
            <w:r>
              <w:rPr>
                <w:rFonts w:ascii="Calibri" w:cs="Calibri" w:eastAsia="Calibri" w:hAnsi="Calibri"/>
                <w:b/>
                <w:bCs/>
                <w:color w:val="2C3E50"/>
                <w:sz w:val="20"/>
                <w:szCs w:val="20"/>
              </w:rPr>
              <w:t xml:space="preserve">sqft_per_bedroom</w:t>
            </w:r>
          </w:p>
        </w:tc>
        <w:tc>
          <w:tcPr>
            <w:tcW w:type="dxa" w:w="3200"/>
            <w:tcBorders>
              <w:top w:val="single" w:color="BDC3C7" w:sz="4"/>
              <w:left w:val="single" w:color="BDC3C7" w:sz="4"/>
              <w:bottom w:val="single" w:color="BDC3C7" w:sz="4"/>
              <w:right w:val="single" w:color="BDC3C7" w:sz="4"/>
            </w:tcBorders>
            <w:shd w:fill="F8FBFF" w:val="clear"/>
            <w:tcMar>
              <w:top w:type="dxa" w:w="80"/>
              <w:left w:type="dxa" w:w="140"/>
              <w:bottom w:type="dxa" w:w="80"/>
              <w:right w:type="dxa" w:w="140"/>
            </w:tcMar>
            <w:vAlign w:val="center"/>
          </w:tcPr>
          <w:p>
            <w:pPr>
              <w:jc w:val="left"/>
            </w:pPr>
            <w:r>
              <w:rPr>
                <w:rFonts w:ascii="Calibri" w:cs="Calibri" w:eastAsia="Calibri" w:hAnsi="Calibri"/>
                <w:b w:val="false"/>
                <w:bCs w:val="false"/>
                <w:color w:val="2471A3"/>
                <w:sz w:val="20"/>
                <w:szCs w:val="20"/>
              </w:rPr>
              <w:t xml:space="preserve">sqft_living ÷ (bedrooms + 1)</w:t>
            </w:r>
          </w:p>
        </w:tc>
        <w:tc>
          <w:tcPr>
            <w:tcW w:type="dxa" w:w="3760"/>
            <w:tcBorders>
              <w:top w:val="single" w:color="BDC3C7" w:sz="4"/>
              <w:left w:val="single" w:color="BDC3C7" w:sz="4"/>
              <w:bottom w:val="single" w:color="BDC3C7" w:sz="4"/>
              <w:right w:val="single" w:color="BDC3C7" w:sz="4"/>
            </w:tcBorders>
            <w:shd w:fill="F8FBFF" w:val="clear"/>
            <w:tcMar>
              <w:top w:type="dxa" w:w="80"/>
              <w:left w:type="dxa" w:w="140"/>
              <w:bottom w:type="dxa" w:w="80"/>
              <w:right w:type="dxa" w:w="140"/>
            </w:tcMar>
            <w:vAlign w:val="center"/>
          </w:tcPr>
          <w:p>
            <w:pPr>
              <w:jc w:val="left"/>
            </w:pPr>
            <w:r>
              <w:rPr>
                <w:rFonts w:ascii="Calibri" w:cs="Calibri" w:eastAsia="Calibri" w:hAnsi="Calibri"/>
                <w:b w:val="false"/>
                <w:bCs w:val="false"/>
                <w:color w:val="2C3E50"/>
                <w:sz w:val="20"/>
                <w:szCs w:val="20"/>
              </w:rPr>
              <w:t xml:space="preserve">Space quality per room</w:t>
            </w:r>
          </w:p>
        </w:tc>
      </w:tr>
      <w:tr>
        <w:tc>
          <w:tcPr>
            <w:tcW w:type="dxa" w:w="2400"/>
            <w:tcBorders>
              <w:top w:val="single" w:color="BDC3C7" w:sz="4"/>
              <w:left w:val="single" w:color="BDC3C7" w:sz="4"/>
              <w:bottom w:val="single" w:color="BDC3C7" w:sz="4"/>
              <w:right w:val="single" w:color="BDC3C7" w:sz="4"/>
            </w:tcBorders>
            <w:tcMar>
              <w:top w:type="dxa" w:w="80"/>
              <w:left w:type="dxa" w:w="140"/>
              <w:bottom w:type="dxa" w:w="80"/>
              <w:right w:type="dxa" w:w="140"/>
            </w:tcMar>
            <w:vAlign w:val="center"/>
          </w:tcPr>
          <w:p>
            <w:pPr>
              <w:jc w:val="left"/>
            </w:pPr>
            <w:r>
              <w:rPr>
                <w:rFonts w:ascii="Calibri" w:cs="Calibri" w:eastAsia="Calibri" w:hAnsi="Calibri"/>
                <w:b/>
                <w:bCs/>
                <w:color w:val="2C3E50"/>
                <w:sz w:val="20"/>
                <w:szCs w:val="20"/>
              </w:rPr>
              <w:t xml:space="preserve">bath_bed_ratio</w:t>
            </w:r>
          </w:p>
        </w:tc>
        <w:tc>
          <w:tcPr>
            <w:tcW w:type="dxa" w:w="3200"/>
            <w:tcBorders>
              <w:top w:val="single" w:color="BDC3C7" w:sz="4"/>
              <w:left w:val="single" w:color="BDC3C7" w:sz="4"/>
              <w:bottom w:val="single" w:color="BDC3C7" w:sz="4"/>
              <w:right w:val="single" w:color="BDC3C7" w:sz="4"/>
            </w:tcBorders>
            <w:tcMar>
              <w:top w:type="dxa" w:w="80"/>
              <w:left w:type="dxa" w:w="140"/>
              <w:bottom w:type="dxa" w:w="80"/>
              <w:right w:type="dxa" w:w="140"/>
            </w:tcMar>
            <w:vAlign w:val="center"/>
          </w:tcPr>
          <w:p>
            <w:pPr>
              <w:jc w:val="left"/>
            </w:pPr>
            <w:r>
              <w:rPr>
                <w:rFonts w:ascii="Calibri" w:cs="Calibri" w:eastAsia="Calibri" w:hAnsi="Calibri"/>
                <w:b w:val="false"/>
                <w:bCs w:val="false"/>
                <w:color w:val="2471A3"/>
                <w:sz w:val="20"/>
                <w:szCs w:val="20"/>
              </w:rPr>
              <w:t xml:space="preserve">bathrooms ÷ (bedrooms + 1)</w:t>
            </w:r>
          </w:p>
        </w:tc>
        <w:tc>
          <w:tcPr>
            <w:tcW w:type="dxa" w:w="3760"/>
            <w:tcBorders>
              <w:top w:val="single" w:color="BDC3C7" w:sz="4"/>
              <w:left w:val="single" w:color="BDC3C7" w:sz="4"/>
              <w:bottom w:val="single" w:color="BDC3C7" w:sz="4"/>
              <w:right w:val="single" w:color="BDC3C7" w:sz="4"/>
            </w:tcBorders>
            <w:tcMar>
              <w:top w:type="dxa" w:w="80"/>
              <w:left w:type="dxa" w:w="140"/>
              <w:bottom w:type="dxa" w:w="80"/>
              <w:right w:type="dxa" w:w="140"/>
            </w:tcMar>
            <w:vAlign w:val="center"/>
          </w:tcPr>
          <w:p>
            <w:pPr>
              <w:jc w:val="left"/>
            </w:pPr>
            <w:r>
              <w:rPr>
                <w:rFonts w:ascii="Calibri" w:cs="Calibri" w:eastAsia="Calibri" w:hAnsi="Calibri"/>
                <w:b w:val="false"/>
                <w:bCs w:val="false"/>
                <w:color w:val="2C3E50"/>
                <w:sz w:val="20"/>
                <w:szCs w:val="20"/>
              </w:rPr>
              <w:t xml:space="preserve">Luxury amenity indicator</w:t>
            </w:r>
          </w:p>
        </w:tc>
      </w:tr>
      <w:tr>
        <w:tc>
          <w:tcPr>
            <w:tcW w:type="dxa" w:w="2400"/>
            <w:tcBorders>
              <w:top w:val="single" w:color="BDC3C7" w:sz="4"/>
              <w:left w:val="single" w:color="BDC3C7" w:sz="4"/>
              <w:bottom w:val="single" w:color="BDC3C7" w:sz="4"/>
              <w:right w:val="single" w:color="BDC3C7" w:sz="4"/>
            </w:tcBorders>
            <w:shd w:fill="F8FBFF" w:val="clear"/>
            <w:tcMar>
              <w:top w:type="dxa" w:w="80"/>
              <w:left w:type="dxa" w:w="140"/>
              <w:bottom w:type="dxa" w:w="80"/>
              <w:right w:type="dxa" w:w="140"/>
            </w:tcMar>
            <w:vAlign w:val="center"/>
          </w:tcPr>
          <w:p>
            <w:pPr>
              <w:jc w:val="left"/>
            </w:pPr>
            <w:r>
              <w:rPr>
                <w:rFonts w:ascii="Calibri" w:cs="Calibri" w:eastAsia="Calibri" w:hAnsi="Calibri"/>
                <w:b/>
                <w:bCs/>
                <w:color w:val="2C3E50"/>
                <w:sz w:val="20"/>
                <w:szCs w:val="20"/>
              </w:rPr>
              <w:t xml:space="preserve">sale_month</w:t>
            </w:r>
          </w:p>
        </w:tc>
        <w:tc>
          <w:tcPr>
            <w:tcW w:type="dxa" w:w="3200"/>
            <w:tcBorders>
              <w:top w:val="single" w:color="BDC3C7" w:sz="4"/>
              <w:left w:val="single" w:color="BDC3C7" w:sz="4"/>
              <w:bottom w:val="single" w:color="BDC3C7" w:sz="4"/>
              <w:right w:val="single" w:color="BDC3C7" w:sz="4"/>
            </w:tcBorders>
            <w:shd w:fill="F8FBFF" w:val="clear"/>
            <w:tcMar>
              <w:top w:type="dxa" w:w="80"/>
              <w:left w:type="dxa" w:w="140"/>
              <w:bottom w:type="dxa" w:w="80"/>
              <w:right w:type="dxa" w:w="140"/>
            </w:tcMar>
            <w:vAlign w:val="center"/>
          </w:tcPr>
          <w:p>
            <w:pPr>
              <w:jc w:val="left"/>
            </w:pPr>
            <w:r>
              <w:rPr>
                <w:rFonts w:ascii="Calibri" w:cs="Calibri" w:eastAsia="Calibri" w:hAnsi="Calibri"/>
                <w:b w:val="false"/>
                <w:bCs w:val="false"/>
                <w:color w:val="2471A3"/>
                <w:sz w:val="20"/>
                <w:szCs w:val="20"/>
              </w:rPr>
              <w:t xml:space="preserve">Month extracted from date</w:t>
            </w:r>
          </w:p>
        </w:tc>
        <w:tc>
          <w:tcPr>
            <w:tcW w:type="dxa" w:w="3760"/>
            <w:tcBorders>
              <w:top w:val="single" w:color="BDC3C7" w:sz="4"/>
              <w:left w:val="single" w:color="BDC3C7" w:sz="4"/>
              <w:bottom w:val="single" w:color="BDC3C7" w:sz="4"/>
              <w:right w:val="single" w:color="BDC3C7" w:sz="4"/>
            </w:tcBorders>
            <w:shd w:fill="F8FBFF" w:val="clear"/>
            <w:tcMar>
              <w:top w:type="dxa" w:w="80"/>
              <w:left w:type="dxa" w:w="140"/>
              <w:bottom w:type="dxa" w:w="80"/>
              <w:right w:type="dxa" w:w="140"/>
            </w:tcMar>
            <w:vAlign w:val="center"/>
          </w:tcPr>
          <w:p>
            <w:pPr>
              <w:jc w:val="left"/>
            </w:pPr>
            <w:r>
              <w:rPr>
                <w:rFonts w:ascii="Calibri" w:cs="Calibri" w:eastAsia="Calibri" w:hAnsi="Calibri"/>
                <w:b w:val="false"/>
                <w:bCs w:val="false"/>
                <w:color w:val="2C3E50"/>
                <w:sz w:val="20"/>
                <w:szCs w:val="20"/>
              </w:rPr>
              <w:t xml:space="preserve">Seasonality of sale price</w:t>
            </w:r>
          </w:p>
        </w:tc>
      </w:tr>
      <w:tr>
        <w:tc>
          <w:tcPr>
            <w:tcW w:type="dxa" w:w="2400"/>
            <w:tcBorders>
              <w:top w:val="single" w:color="BDC3C7" w:sz="4"/>
              <w:left w:val="single" w:color="BDC3C7" w:sz="4"/>
              <w:bottom w:val="single" w:color="BDC3C7" w:sz="4"/>
              <w:right w:val="single" w:color="BDC3C7" w:sz="4"/>
            </w:tcBorders>
            <w:tcMar>
              <w:top w:type="dxa" w:w="80"/>
              <w:left w:type="dxa" w:w="140"/>
              <w:bottom w:type="dxa" w:w="80"/>
              <w:right w:type="dxa" w:w="140"/>
            </w:tcMar>
            <w:vAlign w:val="center"/>
          </w:tcPr>
          <w:p>
            <w:pPr>
              <w:jc w:val="left"/>
            </w:pPr>
            <w:r>
              <w:rPr>
                <w:rFonts w:ascii="Calibri" w:cs="Calibri" w:eastAsia="Calibri" w:hAnsi="Calibri"/>
                <w:b/>
                <w:bCs/>
                <w:color w:val="2C3E50"/>
                <w:sz w:val="20"/>
                <w:szCs w:val="20"/>
              </w:rPr>
              <w:t xml:space="preserve">zip_code</w:t>
            </w:r>
          </w:p>
        </w:tc>
        <w:tc>
          <w:tcPr>
            <w:tcW w:type="dxa" w:w="3200"/>
            <w:tcBorders>
              <w:top w:val="single" w:color="BDC3C7" w:sz="4"/>
              <w:left w:val="single" w:color="BDC3C7" w:sz="4"/>
              <w:bottom w:val="single" w:color="BDC3C7" w:sz="4"/>
              <w:right w:val="single" w:color="BDC3C7" w:sz="4"/>
            </w:tcBorders>
            <w:tcMar>
              <w:top w:type="dxa" w:w="80"/>
              <w:left w:type="dxa" w:w="140"/>
              <w:bottom w:type="dxa" w:w="80"/>
              <w:right w:type="dxa" w:w="140"/>
            </w:tcMar>
            <w:vAlign w:val="center"/>
          </w:tcPr>
          <w:p>
            <w:pPr>
              <w:jc w:val="left"/>
            </w:pPr>
            <w:r>
              <w:rPr>
                <w:rFonts w:ascii="Calibri" w:cs="Calibri" w:eastAsia="Calibri" w:hAnsi="Calibri"/>
                <w:b w:val="false"/>
                <w:bCs w:val="false"/>
                <w:color w:val="2471A3"/>
                <w:sz w:val="20"/>
                <w:szCs w:val="20"/>
              </w:rPr>
              <w:t xml:space="preserve">Extracted from statezip</w:t>
            </w:r>
          </w:p>
        </w:tc>
        <w:tc>
          <w:tcPr>
            <w:tcW w:type="dxa" w:w="3760"/>
            <w:tcBorders>
              <w:top w:val="single" w:color="BDC3C7" w:sz="4"/>
              <w:left w:val="single" w:color="BDC3C7" w:sz="4"/>
              <w:bottom w:val="single" w:color="BDC3C7" w:sz="4"/>
              <w:right w:val="single" w:color="BDC3C7" w:sz="4"/>
            </w:tcBorders>
            <w:tcMar>
              <w:top w:type="dxa" w:w="80"/>
              <w:left w:type="dxa" w:w="140"/>
              <w:bottom w:type="dxa" w:w="80"/>
              <w:right w:type="dxa" w:w="140"/>
            </w:tcMar>
            <w:vAlign w:val="center"/>
          </w:tcPr>
          <w:p>
            <w:pPr>
              <w:jc w:val="left"/>
            </w:pPr>
            <w:r>
              <w:rPr>
                <w:rFonts w:ascii="Calibri" w:cs="Calibri" w:eastAsia="Calibri" w:hAnsi="Calibri"/>
                <w:b w:val="false"/>
                <w:bCs w:val="false"/>
                <w:color w:val="2C3E50"/>
                <w:sz w:val="20"/>
                <w:szCs w:val="20"/>
              </w:rPr>
              <w:t xml:space="preserve">Neighbourhood-level signal</w:t>
            </w:r>
          </w:p>
        </w:tc>
      </w:tr>
      <w:tr>
        <w:tc>
          <w:tcPr>
            <w:tcW w:type="dxa" w:w="2400"/>
            <w:tcBorders>
              <w:top w:val="single" w:color="BDC3C7" w:sz="4"/>
              <w:left w:val="single" w:color="BDC3C7" w:sz="4"/>
              <w:bottom w:val="single" w:color="BDC3C7" w:sz="4"/>
              <w:right w:val="single" w:color="BDC3C7" w:sz="4"/>
            </w:tcBorders>
            <w:shd w:fill="F8FBFF" w:val="clear"/>
            <w:tcMar>
              <w:top w:type="dxa" w:w="80"/>
              <w:left w:type="dxa" w:w="140"/>
              <w:bottom w:type="dxa" w:w="80"/>
              <w:right w:type="dxa" w:w="140"/>
            </w:tcMar>
            <w:vAlign w:val="center"/>
          </w:tcPr>
          <w:p>
            <w:pPr>
              <w:jc w:val="left"/>
            </w:pPr>
            <w:r>
              <w:rPr>
                <w:rFonts w:ascii="Calibri" w:cs="Calibri" w:eastAsia="Calibri" w:hAnsi="Calibri"/>
                <w:b/>
                <w:bCs/>
                <w:color w:val="2C3E50"/>
                <w:sz w:val="20"/>
                <w:szCs w:val="20"/>
              </w:rPr>
              <w:t xml:space="preserve">city_price_enc</w:t>
            </w:r>
          </w:p>
        </w:tc>
        <w:tc>
          <w:tcPr>
            <w:tcW w:type="dxa" w:w="3200"/>
            <w:tcBorders>
              <w:top w:val="single" w:color="BDC3C7" w:sz="4"/>
              <w:left w:val="single" w:color="BDC3C7" w:sz="4"/>
              <w:bottom w:val="single" w:color="BDC3C7" w:sz="4"/>
              <w:right w:val="single" w:color="BDC3C7" w:sz="4"/>
            </w:tcBorders>
            <w:shd w:fill="F8FBFF" w:val="clear"/>
            <w:tcMar>
              <w:top w:type="dxa" w:w="80"/>
              <w:left w:type="dxa" w:w="140"/>
              <w:bottom w:type="dxa" w:w="80"/>
              <w:right w:type="dxa" w:w="140"/>
            </w:tcMar>
            <w:vAlign w:val="center"/>
          </w:tcPr>
          <w:p>
            <w:pPr>
              <w:jc w:val="left"/>
            </w:pPr>
            <w:r>
              <w:rPr>
                <w:rFonts w:ascii="Calibri" w:cs="Calibri" w:eastAsia="Calibri" w:hAnsi="Calibri"/>
                <w:b w:val="false"/>
                <w:bCs w:val="false"/>
                <w:color w:val="2471A3"/>
                <w:sz w:val="20"/>
                <w:szCs w:val="20"/>
              </w:rPr>
              <w:t xml:space="preserve">Mean price per city (train only)</w:t>
            </w:r>
          </w:p>
        </w:tc>
        <w:tc>
          <w:tcPr>
            <w:tcW w:type="dxa" w:w="3760"/>
            <w:tcBorders>
              <w:top w:val="single" w:color="BDC3C7" w:sz="4"/>
              <w:left w:val="single" w:color="BDC3C7" w:sz="4"/>
              <w:bottom w:val="single" w:color="BDC3C7" w:sz="4"/>
              <w:right w:val="single" w:color="BDC3C7" w:sz="4"/>
            </w:tcBorders>
            <w:shd w:fill="F8FBFF" w:val="clear"/>
            <w:tcMar>
              <w:top w:type="dxa" w:w="80"/>
              <w:left w:type="dxa" w:w="140"/>
              <w:bottom w:type="dxa" w:w="80"/>
              <w:right w:type="dxa" w:w="140"/>
            </w:tcMar>
            <w:vAlign w:val="center"/>
          </w:tcPr>
          <w:p>
            <w:pPr>
              <w:jc w:val="left"/>
            </w:pPr>
            <w:r>
              <w:rPr>
                <w:rFonts w:ascii="Calibri" w:cs="Calibri" w:eastAsia="Calibri" w:hAnsi="Calibri"/>
                <w:b w:val="false"/>
                <w:bCs w:val="false"/>
                <w:color w:val="2C3E50"/>
                <w:sz w:val="20"/>
                <w:szCs w:val="20"/>
              </w:rPr>
              <w:t xml:space="preserve">Most powerful location proxy</w:t>
            </w:r>
          </w:p>
        </w:tc>
      </w:tr>
    </w:tbl>
    <w:p>
      <w:pPr>
        <w:spacing w:after="160" w:before="40"/>
        <w:jc w:val="center"/>
      </w:pPr>
      <w:r>
        <w:rPr>
          <w:rFonts w:ascii="Calibri" w:cs="Calibri" w:eastAsia="Calibri" w:hAnsi="Calibri"/>
          <w:i/>
          <w:iCs/>
          <w:color w:val="7F8C8D"/>
          <w:sz w:val="19"/>
          <w:szCs w:val="19"/>
        </w:rPr>
        <w:t xml:space="preserve">Table 2: Engineered features, their derivation, and the rationale behind each.</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8"/>
              <w:left w:val="single" w:color="1E3A5F" w:sz="8"/>
              <w:bottom w:val="single" w:color="1E3A5F" w:sz="8"/>
              <w:right w:val="single" w:color="1E3A5F" w:sz="8"/>
            </w:tcBorders>
            <w:shd w:fill="EBF5FB" w:val="clear"/>
            <w:tcMar>
              <w:top w:type="dxa" w:w="140"/>
              <w:left w:type="dxa" w:w="200"/>
              <w:bottom w:type="dxa" w:w="140"/>
              <w:right w:type="dxa" w:w="200"/>
            </w:tcMar>
          </w:tcPr>
          <w:p>
            <w:pPr>
              <w:spacing w:line="340"/>
            </w:pPr>
            <w:r>
              <w:rPr>
                <w:rFonts w:ascii="Calibri" w:cs="Calibri" w:eastAsia="Calibri" w:hAnsi="Calibri"/>
                <w:i/>
                <w:iCs/>
                <w:color w:val="1A252F"/>
                <w:sz w:val="22"/>
                <w:szCs w:val="22"/>
              </w:rPr>
              <w:t xml:space="preserve">CRITICAL NOTE ON CITY ENCODING: The city_price_enc feature replaces each city’s name with the mean house price observed in the training data for that city. This “target encoding” is computed exclusively on the training set and then applied to the test set, ensuring no information from the test set leaks into the model during training. This distinction is crucial for honest model evaluation.</w:t>
            </w:r>
          </w:p>
        </w:tc>
      </w:tr>
    </w:tbl>
    <w:p>
      <w:r>
        <w:br w:type="page"/>
      </w:r>
    </w:p>
    <w:p>
      <w:pPr>
        <w:pStyle w:val="Heading1"/>
      </w:pPr>
      <w:r>
        <w:rPr>
          <w:rFonts w:ascii="Calibri" w:cs="Calibri" w:eastAsia="Calibri" w:hAnsi="Calibri"/>
          <w:b/>
          <w:bCs/>
          <w:color w:val="1E3A5F"/>
          <w:sz w:val="36"/>
          <w:szCs w:val="36"/>
        </w:rPr>
        <w:t xml:space="preserve">5. Model Selection &amp; Methodology</w:t>
      </w:r>
    </w:p>
    <w:p>
      <w:pPr>
        <w:pBdr>
          <w:bottom w:val="single" w:color="2196F3" w:sz="4" w:space="1"/>
        </w:pBdr>
        <w:spacing w:after="60" w:before="0"/>
      </w:pPr>
    </w:p>
    <w:p>
      <w:pPr>
        <w:spacing w:after="80" w:before="80" w:line="360"/>
      </w:pPr>
      <w:r>
        <w:rPr>
          <w:rFonts w:ascii="Calibri" w:cs="Calibri" w:eastAsia="Calibri" w:hAnsi="Calibri"/>
          <w:b w:val="false"/>
          <w:bCs w:val="false"/>
          <w:i w:val="false"/>
          <w:iCs w:val="false"/>
          <w:color w:val="2C3E50"/>
          <w:sz w:val="24"/>
          <w:szCs w:val="24"/>
        </w:rPr>
        <w:t xml:space="preserve">The project employs a deliberate two-model strategy: a linear model to establish a transparent, interpretable baseline, and a tree-based ensemble to capture the complexity that lies beyond linearity.</w:t>
      </w:r>
    </w:p>
    <w:p>
      <w:pPr>
        <w:pStyle w:val="Heading2"/>
      </w:pPr>
      <w:r>
        <w:rPr>
          <w:rFonts w:ascii="Calibri" w:cs="Calibri" w:eastAsia="Calibri" w:hAnsi="Calibri"/>
          <w:b/>
          <w:bCs/>
          <w:color w:val="2471A3"/>
          <w:sz w:val="28"/>
          <w:szCs w:val="28"/>
        </w:rPr>
        <w:t xml:space="preserve">5.1 Data Split: 80/20 Train–Test</w:t>
      </w:r>
    </w:p>
    <w:p>
      <w:pPr>
        <w:spacing w:after="80" w:before="80" w:line="360"/>
      </w:pPr>
      <w:r>
        <w:rPr>
          <w:rFonts w:ascii="Calibri" w:cs="Calibri" w:eastAsia="Calibri" w:hAnsi="Calibri"/>
          <w:b w:val="false"/>
          <w:bCs w:val="false"/>
          <w:i w:val="false"/>
          <w:iCs w:val="false"/>
          <w:color w:val="2C3E50"/>
          <w:sz w:val="24"/>
          <w:szCs w:val="24"/>
        </w:rPr>
        <w:t xml:space="preserve">The cleaned dataset of 4,529 records was split into 3,623 training samples (80%) and 906 test samples (20%) using a fixed random seed (42) for full reproducibility. All preprocessing, target encoding, and feature scaling was computed exclusively on the training set and applied to the test set afterwards. This mirrors real-world deployment conditions, where a model must generalise to data it has never seen.</w:t>
      </w:r>
    </w:p>
    <w:p>
      <w:pPr>
        <w:pStyle w:val="Heading2"/>
      </w:pPr>
      <w:r>
        <w:rPr>
          <w:rFonts w:ascii="Calibri" w:cs="Calibri" w:eastAsia="Calibri" w:hAnsi="Calibri"/>
          <w:b/>
          <w:bCs/>
          <w:color w:val="2471A3"/>
          <w:sz w:val="28"/>
          <w:szCs w:val="28"/>
        </w:rPr>
        <w:t xml:space="preserve">5.2 Model 1: Ridge Regression</w:t>
      </w:r>
    </w:p>
    <w:p>
      <w:pPr>
        <w:spacing w:after="80" w:before="80" w:line="360"/>
      </w:pPr>
      <w:r>
        <w:rPr>
          <w:rFonts w:ascii="Calibri" w:cs="Calibri" w:eastAsia="Calibri" w:hAnsi="Calibri"/>
          <w:b w:val="false"/>
          <w:bCs w:val="false"/>
          <w:i w:val="false"/>
          <w:iCs w:val="false"/>
          <w:color w:val="2C3E50"/>
          <w:sz w:val="24"/>
          <w:szCs w:val="24"/>
        </w:rPr>
        <w:t xml:space="preserve">Ridge Regression (also known as Tikhonov regularisation) extends ordinary least squares by adding a penalty term proportional to the sum of squared coefficients (L2 norm). This penalty discourages any single feature from dominating the model, which is particularly valuable here given the high correlation between sqft_living, sqft_above, and total_sqft.</w:t>
      </w:r>
    </w:p>
    <w:p>
      <w:pPr>
        <w:spacing w:after="0" w:before="60"/>
      </w:pPr>
    </w:p>
    <w:p>
      <w:pPr>
        <w:spacing w:after="80" w:before="80" w:line="360"/>
      </w:pPr>
      <w:r>
        <w:rPr>
          <w:rFonts w:ascii="Calibri" w:cs="Calibri" w:eastAsia="Calibri" w:hAnsi="Calibri"/>
          <w:b w:val="false"/>
          <w:bCs w:val="false"/>
          <w:i w:val="false"/>
          <w:iCs w:val="false"/>
          <w:color w:val="2C3E50"/>
          <w:sz w:val="24"/>
          <w:szCs w:val="24"/>
        </w:rPr>
        <w:t xml:space="preserve">The model was trained on standardised features (zero mean, unit variance via StandardScaler) with a regularisation strength of α = 10. Predictions were clipped at zero to prevent any negative price outputs. Ridge Regression assumes a fundamentally linear relationship between features and price, which is an approximation — one that we will see produces reasonable but not outstanding results on this dataset.</w:t>
      </w:r>
    </w:p>
    <w:p>
      <w:pPr>
        <w:pStyle w:val="Heading2"/>
      </w:pPr>
      <w:r>
        <w:rPr>
          <w:rFonts w:ascii="Calibri" w:cs="Calibri" w:eastAsia="Calibri" w:hAnsi="Calibri"/>
          <w:b/>
          <w:bCs/>
          <w:color w:val="2471A3"/>
          <w:sz w:val="28"/>
          <w:szCs w:val="28"/>
        </w:rPr>
        <w:t xml:space="preserve">5.3 Model 2: Random Forest Regressor</w:t>
      </w:r>
    </w:p>
    <w:p>
      <w:pPr>
        <w:spacing w:after="80" w:before="80" w:line="360"/>
      </w:pPr>
      <w:r>
        <w:rPr>
          <w:rFonts w:ascii="Calibri" w:cs="Calibri" w:eastAsia="Calibri" w:hAnsi="Calibri"/>
          <w:b w:val="false"/>
          <w:bCs w:val="false"/>
          <w:i w:val="false"/>
          <w:iCs w:val="false"/>
          <w:color w:val="2C3E50"/>
          <w:sz w:val="24"/>
          <w:szCs w:val="24"/>
        </w:rPr>
        <w:t xml:space="preserve">Random Forest builds a large number of independent decision trees, each trained on a different random bootstrap sample of the training data and using a different random subset of features at each split. The final prediction is the average across all trees. This process — called bootstrap aggregation (bagging) — dramatically reduces the variance of individual trees while preserving their ability to model complex, non-linear relationships.</w:t>
      </w:r>
    </w:p>
    <w:p>
      <w:pPr>
        <w:spacing w:after="0" w:before="60"/>
      </w:pPr>
    </w:p>
    <w:p>
      <w:pPr>
        <w:spacing w:after="80" w:before="80" w:line="360"/>
      </w:pPr>
      <w:r>
        <w:rPr>
          <w:rFonts w:ascii="Calibri" w:cs="Calibri" w:eastAsia="Calibri" w:hAnsi="Calibri"/>
          <w:b w:val="false"/>
          <w:bCs w:val="false"/>
          <w:i w:val="false"/>
          <w:iCs w:val="false"/>
          <w:color w:val="2C3E50"/>
          <w:sz w:val="24"/>
          <w:szCs w:val="24"/>
        </w:rPr>
        <w:t xml:space="preserve">The configuration used for this project involved 500 trees, with each tree considering the square root of the total number of features at each split point (max_features=‘sqrt’). A minimum of 2 samples per leaf was enforced to prevent overfitting. No explicit depth limit was set, allowing trees to grow as complex as the data supports, balanced by the ensemble averaging.</w:t>
      </w:r>
    </w:p>
    <w:p>
      <w:pPr>
        <w:spacing w:after="0" w:before="60"/>
      </w:pPr>
    </w:p>
    <w:p>
      <w:pPr>
        <w:spacing w:after="80" w:before="80" w:line="360"/>
      </w:pPr>
      <w:r>
        <w:rPr>
          <w:rFonts w:ascii="Calibri" w:cs="Calibri" w:eastAsia="Calibri" w:hAnsi="Calibri"/>
          <w:b w:val="false"/>
          <w:bCs w:val="false"/>
          <w:i w:val="false"/>
          <w:iCs w:val="false"/>
          <w:color w:val="2C3E50"/>
          <w:sz w:val="24"/>
          <w:szCs w:val="24"/>
        </w:rPr>
        <w:t xml:space="preserve">Why does non-linearity matter for house prices? Consider the waterfront feature. A waterfront property in Medina is worth dramatically more than the sum of “waterfront premium” plus “Medina premium” independently. The location multiplies the value of the waterfront view. This multiplicative, interactive effect is exactly what decision trees capture naturally through nested branching conditions, and what linear models cannot represent without explicit interaction terms.</w:t>
      </w:r>
    </w:p>
    <w:p>
      <w:r>
        <w:br w:type="page"/>
      </w:r>
    </w:p>
    <w:p>
      <w:pPr>
        <w:pStyle w:val="Heading1"/>
      </w:pPr>
      <w:r>
        <w:rPr>
          <w:rFonts w:ascii="Calibri" w:cs="Calibri" w:eastAsia="Calibri" w:hAnsi="Calibri"/>
          <w:b/>
          <w:bCs/>
          <w:color w:val="1E3A5F"/>
          <w:sz w:val="36"/>
          <w:szCs w:val="36"/>
        </w:rPr>
        <w:t xml:space="preserve">6. Results &amp; Model Evaluation</w:t>
      </w:r>
    </w:p>
    <w:p>
      <w:pPr>
        <w:pBdr>
          <w:bottom w:val="single" w:color="2196F3" w:sz="4" w:space="1"/>
        </w:pBdr>
        <w:spacing w:after="60" w:before="0"/>
      </w:pPr>
    </w:p>
    <w:p>
      <w:pPr>
        <w:pStyle w:val="Heading2"/>
      </w:pPr>
      <w:r>
        <w:rPr>
          <w:rFonts w:ascii="Calibri" w:cs="Calibri" w:eastAsia="Calibri" w:hAnsi="Calibri"/>
          <w:b/>
          <w:bCs/>
          <w:color w:val="2471A3"/>
          <w:sz w:val="28"/>
          <w:szCs w:val="28"/>
        </w:rPr>
        <w:t xml:space="preserve">6.1 Performance Metrics Explained</w:t>
      </w:r>
    </w:p>
    <w:p>
      <w:pPr>
        <w:spacing w:after="80" w:before="80" w:line="360"/>
      </w:pPr>
      <w:r>
        <w:rPr>
          <w:rFonts w:ascii="Calibri" w:cs="Calibri" w:eastAsia="Calibri" w:hAnsi="Calibri"/>
          <w:b w:val="false"/>
          <w:bCs w:val="false"/>
          <w:i w:val="false"/>
          <w:iCs w:val="false"/>
          <w:color w:val="2C3E50"/>
          <w:sz w:val="24"/>
          <w:szCs w:val="24"/>
        </w:rPr>
        <w:t xml:space="preserve">Three complementary metrics are used to evaluate model quality:</w:t>
      </w:r>
    </w:p>
    <w:p>
      <w:pPr>
        <w:pStyle w:val="ListParagraph"/>
        <w:numPr>
          <w:ilvl w:val="0"/>
          <w:numId w:val="2"/>
        </w:numPr>
        <w:spacing w:after="60" w:before="60" w:line="340"/>
      </w:pPr>
      <w:r>
        <w:rPr>
          <w:rFonts w:ascii="Calibri" w:cs="Calibri" w:eastAsia="Calibri" w:hAnsi="Calibri"/>
          <w:b w:val="false"/>
          <w:bCs w:val="false"/>
          <w:color w:val="2C3E50"/>
          <w:sz w:val="22"/>
          <w:szCs w:val="22"/>
        </w:rPr>
        <w:t xml:space="preserve">R² (Coefficient of Determination): Measures the proportion of price variance explained by the model. R² = 1.0 would be a perfect model; R² = 0.0 would be no better than simply predicting the mean price for every house. Values are shown for both training data (to detect overfitting) and test data (to measure real-world performance).</w:t>
      </w:r>
    </w:p>
    <w:p>
      <w:pPr>
        <w:pStyle w:val="ListParagraph"/>
        <w:numPr>
          <w:ilvl w:val="0"/>
          <w:numId w:val="2"/>
        </w:numPr>
        <w:spacing w:after="60" w:before="60" w:line="340"/>
      </w:pPr>
      <w:r>
        <w:rPr>
          <w:rFonts w:ascii="Calibri" w:cs="Calibri" w:eastAsia="Calibri" w:hAnsi="Calibri"/>
          <w:b w:val="false"/>
          <w:bCs w:val="false"/>
          <w:color w:val="2C3E50"/>
          <w:sz w:val="22"/>
          <w:szCs w:val="22"/>
        </w:rPr>
        <w:t xml:space="preserve">MAE (Mean Absolute Error): The average absolute dollar difference between predicted and actual prices. This is the most human-interpretable metric — if MAE = $101,700, the model is off by roughly $100K on average. MAE treats all prediction errors equally regardless of direction.</w:t>
      </w:r>
    </w:p>
    <w:p>
      <w:pPr>
        <w:pStyle w:val="ListParagraph"/>
        <w:numPr>
          <w:ilvl w:val="0"/>
          <w:numId w:val="2"/>
        </w:numPr>
        <w:spacing w:after="60" w:before="60" w:line="340"/>
      </w:pPr>
      <w:r>
        <w:rPr>
          <w:rFonts w:ascii="Calibri" w:cs="Calibri" w:eastAsia="Calibri" w:hAnsi="Calibri"/>
          <w:b w:val="false"/>
          <w:bCs w:val="false"/>
          <w:color w:val="2C3E50"/>
          <w:sz w:val="22"/>
          <w:szCs w:val="22"/>
        </w:rPr>
        <w:t xml:space="preserve">RMSE (Root Mean Squared Error): Similar to MAE but squares errors before averaging, which gives extra weight to large prediction mistakes. If a model makes a catastrophic prediction (e.g. a $2M home predicted at $500K), RMSE penalises this much more than MAE does. A lower RMSE means fewer large errors.</w:t>
      </w:r>
    </w:p>
    <w:p>
      <w:pPr>
        <w:pStyle w:val="Heading2"/>
      </w:pPr>
      <w:r>
        <w:rPr>
          <w:rFonts w:ascii="Calibri" w:cs="Calibri" w:eastAsia="Calibri" w:hAnsi="Calibri"/>
          <w:b/>
          <w:bCs/>
          <w:color w:val="2471A3"/>
          <w:sz w:val="28"/>
          <w:szCs w:val="28"/>
        </w:rPr>
        <w:t xml:space="preserve">6.2 Summary of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3100"/>
        <w:gridCol w:w="3100"/>
      </w:tblGrid>
      <w:tr>
        <w:tc>
          <w:tcPr>
            <w:tcW w:type="dxa" w:w="3160"/>
            <w:tcBorders>
              <w:top w:val="single" w:color="2196F3" w:sz="6"/>
              <w:left w:val="single" w:color="2196F3" w:sz="6"/>
              <w:bottom w:val="single" w:color="2196F3" w:sz="6"/>
              <w:right w:val="single" w:color="2196F3" w:sz="6"/>
            </w:tcBorders>
            <w:shd w:fill="1E3A5F"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Metric</w:t>
            </w:r>
          </w:p>
        </w:tc>
        <w:tc>
          <w:tcPr>
            <w:tcW w:type="dxa" w:w="3100"/>
            <w:tcBorders>
              <w:top w:val="single" w:color="2196F3" w:sz="6"/>
              <w:left w:val="single" w:color="2196F3" w:sz="6"/>
              <w:bottom w:val="single" w:color="2196F3" w:sz="6"/>
              <w:right w:val="single" w:color="2196F3" w:sz="6"/>
            </w:tcBorders>
            <w:shd w:fill="1E3A5F"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Ridge Regression</w:t>
            </w:r>
          </w:p>
        </w:tc>
        <w:tc>
          <w:tcPr>
            <w:tcW w:type="dxa" w:w="3100"/>
            <w:tcBorders>
              <w:top w:val="single" w:color="2196F3" w:sz="6"/>
              <w:left w:val="single" w:color="2196F3" w:sz="6"/>
              <w:bottom w:val="single" w:color="2196F3" w:sz="6"/>
              <w:right w:val="single" w:color="2196F3" w:sz="6"/>
            </w:tcBorders>
            <w:shd w:fill="1E3A5F"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Random Forest</w:t>
            </w:r>
          </w:p>
        </w:tc>
      </w:tr>
      <w:tr>
        <w:tc>
          <w:tcPr>
            <w:tcW w:type="dxa" w:w="3160"/>
            <w:tcBorders>
              <w:top w:val="single" w:color="BDC3C7" w:sz="4"/>
              <w:left w:val="single" w:color="BDC3C7" w:sz="4"/>
              <w:bottom w:val="single" w:color="BDC3C7" w:sz="4"/>
              <w:right w:val="single" w:color="BDC3C7" w:sz="4"/>
            </w:tcBorders>
            <w:shd w:fill="F8FBFF" w:val="clear"/>
            <w:tcMar>
              <w:top w:type="dxa" w:w="80"/>
              <w:left w:type="dxa" w:w="140"/>
              <w:bottom w:type="dxa" w:w="80"/>
              <w:right w:type="dxa" w:w="140"/>
            </w:tcMar>
            <w:vAlign w:val="center"/>
          </w:tcPr>
          <w:p>
            <w:pPr>
              <w:jc w:val="left"/>
            </w:pPr>
            <w:r>
              <w:rPr>
                <w:rFonts w:ascii="Calibri" w:cs="Calibri" w:eastAsia="Calibri" w:hAnsi="Calibri"/>
                <w:b w:val="false"/>
                <w:bCs w:val="false"/>
                <w:color w:val="2C3E50"/>
                <w:sz w:val="20"/>
                <w:szCs w:val="20"/>
              </w:rPr>
              <w:t xml:space="preserve">Train R²</w:t>
            </w:r>
          </w:p>
        </w:tc>
        <w:tc>
          <w:tcPr>
            <w:tcW w:type="dxa" w:w="3100"/>
            <w:tcBorders>
              <w:top w:val="single" w:color="BDC3C7" w:sz="4"/>
              <w:left w:val="single" w:color="BDC3C7" w:sz="4"/>
              <w:bottom w:val="single" w:color="BDC3C7" w:sz="4"/>
              <w:right w:val="single" w:color="BDC3C7" w:sz="4"/>
            </w:tcBorders>
            <w:shd w:fill="F8FBFF" w:val="clear"/>
            <w:tcMar>
              <w:top w:type="dxa" w:w="80"/>
              <w:left w:type="dxa" w:w="140"/>
              <w:bottom w:type="dxa" w:w="80"/>
              <w:right w:type="dxa" w:w="140"/>
            </w:tcMar>
            <w:vAlign w:val="center"/>
          </w:tcPr>
          <w:p>
            <w:pPr>
              <w:jc w:val="center"/>
            </w:pPr>
            <w:r>
              <w:rPr>
                <w:rFonts w:ascii="Calibri" w:cs="Calibri" w:eastAsia="Calibri" w:hAnsi="Calibri"/>
                <w:b w:val="false"/>
                <w:bCs w:val="false"/>
                <w:color w:val="2C3E50"/>
                <w:sz w:val="20"/>
                <w:szCs w:val="20"/>
              </w:rPr>
              <w:t xml:space="preserve">0.7018</w:t>
            </w:r>
          </w:p>
        </w:tc>
        <w:tc>
          <w:tcPr>
            <w:tcW w:type="dxa" w:w="3100"/>
            <w:tcBorders>
              <w:top w:val="single" w:color="BDC3C7" w:sz="4"/>
              <w:left w:val="single" w:color="BDC3C7" w:sz="4"/>
              <w:bottom w:val="single" w:color="BDC3C7" w:sz="4"/>
              <w:right w:val="single" w:color="BDC3C7" w:sz="4"/>
            </w:tcBorders>
            <w:shd w:fill="F8FBFF" w:val="clear"/>
            <w:tcMar>
              <w:top w:type="dxa" w:w="80"/>
              <w:left w:type="dxa" w:w="140"/>
              <w:bottom w:type="dxa" w:w="80"/>
              <w:right w:type="dxa" w:w="140"/>
            </w:tcMar>
            <w:vAlign w:val="center"/>
          </w:tcPr>
          <w:p>
            <w:pPr>
              <w:jc w:val="center"/>
            </w:pPr>
            <w:r>
              <w:rPr>
                <w:rFonts w:ascii="Calibri" w:cs="Calibri" w:eastAsia="Calibri" w:hAnsi="Calibri"/>
                <w:b w:val="false"/>
                <w:bCs w:val="false"/>
                <w:color w:val="1E7A1E"/>
                <w:sz w:val="20"/>
                <w:szCs w:val="20"/>
              </w:rPr>
              <w:t xml:space="preserve">0.9176</w:t>
            </w:r>
          </w:p>
        </w:tc>
      </w:tr>
      <w:tr>
        <w:tc>
          <w:tcPr>
            <w:tcW w:type="dxa" w:w="3160"/>
            <w:tcBorders>
              <w:top w:val="single" w:color="BDC3C7" w:sz="4"/>
              <w:left w:val="single" w:color="BDC3C7" w:sz="4"/>
              <w:bottom w:val="single" w:color="BDC3C7" w:sz="4"/>
              <w:right w:val="single" w:color="BDC3C7" w:sz="4"/>
            </w:tcBorders>
            <w:tcMar>
              <w:top w:type="dxa" w:w="80"/>
              <w:left w:type="dxa" w:w="140"/>
              <w:bottom w:type="dxa" w:w="80"/>
              <w:right w:type="dxa" w:w="140"/>
            </w:tcMar>
            <w:vAlign w:val="center"/>
          </w:tcPr>
          <w:p>
            <w:pPr>
              <w:jc w:val="left"/>
            </w:pPr>
            <w:r>
              <w:rPr>
                <w:rFonts w:ascii="Calibri" w:cs="Calibri" w:eastAsia="Calibri" w:hAnsi="Calibri"/>
                <w:b w:val="false"/>
                <w:bCs w:val="false"/>
                <w:color w:val="2C3E50"/>
                <w:sz w:val="20"/>
                <w:szCs w:val="20"/>
              </w:rPr>
              <w:t xml:space="preserve">Test R²</w:t>
            </w:r>
          </w:p>
        </w:tc>
        <w:tc>
          <w:tcPr>
            <w:tcW w:type="dxa" w:w="3100"/>
            <w:tcBorders>
              <w:top w:val="single" w:color="BDC3C7" w:sz="4"/>
              <w:left w:val="single" w:color="BDC3C7" w:sz="4"/>
              <w:bottom w:val="single" w:color="BDC3C7" w:sz="4"/>
              <w:right w:val="single" w:color="BDC3C7" w:sz="4"/>
            </w:tcBorders>
            <w:tcMar>
              <w:top w:type="dxa" w:w="80"/>
              <w:left w:type="dxa" w:w="140"/>
              <w:bottom w:type="dxa" w:w="80"/>
              <w:right w:type="dxa" w:w="140"/>
            </w:tcMar>
            <w:vAlign w:val="center"/>
          </w:tcPr>
          <w:p>
            <w:pPr>
              <w:jc w:val="center"/>
            </w:pPr>
            <w:r>
              <w:rPr>
                <w:rFonts w:ascii="Calibri" w:cs="Calibri" w:eastAsia="Calibri" w:hAnsi="Calibri"/>
                <w:b w:val="false"/>
                <w:bCs w:val="false"/>
                <w:color w:val="2C3E50"/>
                <w:sz w:val="20"/>
                <w:szCs w:val="20"/>
              </w:rPr>
              <w:t xml:space="preserve">0.6380</w:t>
            </w:r>
          </w:p>
        </w:tc>
        <w:tc>
          <w:tcPr>
            <w:tcW w:type="dxa" w:w="3100"/>
            <w:tcBorders>
              <w:top w:val="single" w:color="BDC3C7" w:sz="4"/>
              <w:left w:val="single" w:color="BDC3C7" w:sz="4"/>
              <w:bottom w:val="single" w:color="BDC3C7" w:sz="4"/>
              <w:right w:val="single" w:color="BDC3C7" w:sz="4"/>
            </w:tcBorders>
            <w:tcMar>
              <w:top w:type="dxa" w:w="80"/>
              <w:left w:type="dxa" w:w="140"/>
              <w:bottom w:type="dxa" w:w="80"/>
              <w:right w:type="dxa" w:w="140"/>
            </w:tcMar>
            <w:vAlign w:val="center"/>
          </w:tcPr>
          <w:p>
            <w:pPr>
              <w:jc w:val="center"/>
            </w:pPr>
            <w:r>
              <w:rPr>
                <w:rFonts w:ascii="Calibri" w:cs="Calibri" w:eastAsia="Calibri" w:hAnsi="Calibri"/>
                <w:b/>
                <w:bCs/>
                <w:color w:val="1E7A1E"/>
                <w:sz w:val="20"/>
                <w:szCs w:val="20"/>
              </w:rPr>
              <w:t xml:space="preserve">0.7102  ★ WINNER</w:t>
            </w:r>
          </w:p>
        </w:tc>
      </w:tr>
      <w:tr>
        <w:tc>
          <w:tcPr>
            <w:tcW w:type="dxa" w:w="3160"/>
            <w:tcBorders>
              <w:top w:val="single" w:color="BDC3C7" w:sz="4"/>
              <w:left w:val="single" w:color="BDC3C7" w:sz="4"/>
              <w:bottom w:val="single" w:color="BDC3C7" w:sz="4"/>
              <w:right w:val="single" w:color="BDC3C7" w:sz="4"/>
            </w:tcBorders>
            <w:shd w:fill="F8FBFF" w:val="clear"/>
            <w:tcMar>
              <w:top w:type="dxa" w:w="80"/>
              <w:left w:type="dxa" w:w="140"/>
              <w:bottom w:type="dxa" w:w="80"/>
              <w:right w:type="dxa" w:w="140"/>
            </w:tcMar>
            <w:vAlign w:val="center"/>
          </w:tcPr>
          <w:p>
            <w:pPr>
              <w:jc w:val="left"/>
            </w:pPr>
            <w:r>
              <w:rPr>
                <w:rFonts w:ascii="Calibri" w:cs="Calibri" w:eastAsia="Calibri" w:hAnsi="Calibri"/>
                <w:b w:val="false"/>
                <w:bCs w:val="false"/>
                <w:color w:val="2C3E50"/>
                <w:sz w:val="20"/>
                <w:szCs w:val="20"/>
              </w:rPr>
              <w:t xml:space="preserve">Test MAE</w:t>
            </w:r>
          </w:p>
        </w:tc>
        <w:tc>
          <w:tcPr>
            <w:tcW w:type="dxa" w:w="3100"/>
            <w:tcBorders>
              <w:top w:val="single" w:color="BDC3C7" w:sz="4"/>
              <w:left w:val="single" w:color="BDC3C7" w:sz="4"/>
              <w:bottom w:val="single" w:color="BDC3C7" w:sz="4"/>
              <w:right w:val="single" w:color="BDC3C7" w:sz="4"/>
            </w:tcBorders>
            <w:shd w:fill="F8FBFF" w:val="clear"/>
            <w:tcMar>
              <w:top w:type="dxa" w:w="80"/>
              <w:left w:type="dxa" w:w="140"/>
              <w:bottom w:type="dxa" w:w="80"/>
              <w:right w:type="dxa" w:w="140"/>
            </w:tcMar>
            <w:vAlign w:val="center"/>
          </w:tcPr>
          <w:p>
            <w:pPr>
              <w:jc w:val="center"/>
            </w:pPr>
            <w:r>
              <w:rPr>
                <w:rFonts w:ascii="Calibri" w:cs="Calibri" w:eastAsia="Calibri" w:hAnsi="Calibri"/>
                <w:b w:val="false"/>
                <w:bCs w:val="false"/>
                <w:color w:val="2C3E50"/>
                <w:sz w:val="20"/>
                <w:szCs w:val="20"/>
              </w:rPr>
              <w:t xml:space="preserve">$117,500</w:t>
            </w:r>
          </w:p>
        </w:tc>
        <w:tc>
          <w:tcPr>
            <w:tcW w:type="dxa" w:w="3100"/>
            <w:tcBorders>
              <w:top w:val="single" w:color="BDC3C7" w:sz="4"/>
              <w:left w:val="single" w:color="BDC3C7" w:sz="4"/>
              <w:bottom w:val="single" w:color="BDC3C7" w:sz="4"/>
              <w:right w:val="single" w:color="BDC3C7" w:sz="4"/>
            </w:tcBorders>
            <w:shd w:fill="F8FBFF" w:val="clear"/>
            <w:tcMar>
              <w:top w:type="dxa" w:w="80"/>
              <w:left w:type="dxa" w:w="140"/>
              <w:bottom w:type="dxa" w:w="80"/>
              <w:right w:type="dxa" w:w="140"/>
            </w:tcMar>
            <w:vAlign w:val="center"/>
          </w:tcPr>
          <w:p>
            <w:pPr>
              <w:jc w:val="center"/>
            </w:pPr>
            <w:r>
              <w:rPr>
                <w:rFonts w:ascii="Calibri" w:cs="Calibri" w:eastAsia="Calibri" w:hAnsi="Calibri"/>
                <w:b/>
                <w:bCs/>
                <w:color w:val="1E7A1E"/>
                <w:sz w:val="20"/>
                <w:szCs w:val="20"/>
              </w:rPr>
              <w:t xml:space="preserve">$101,700  ★ WINNER</w:t>
            </w:r>
          </w:p>
        </w:tc>
      </w:tr>
      <w:tr>
        <w:tc>
          <w:tcPr>
            <w:tcW w:type="dxa" w:w="3160"/>
            <w:tcBorders>
              <w:top w:val="single" w:color="BDC3C7" w:sz="4"/>
              <w:left w:val="single" w:color="BDC3C7" w:sz="4"/>
              <w:bottom w:val="single" w:color="BDC3C7" w:sz="4"/>
              <w:right w:val="single" w:color="BDC3C7" w:sz="4"/>
            </w:tcBorders>
            <w:tcMar>
              <w:top w:type="dxa" w:w="80"/>
              <w:left w:type="dxa" w:w="140"/>
              <w:bottom w:type="dxa" w:w="80"/>
              <w:right w:type="dxa" w:w="140"/>
            </w:tcMar>
            <w:vAlign w:val="center"/>
          </w:tcPr>
          <w:p>
            <w:pPr>
              <w:jc w:val="left"/>
            </w:pPr>
            <w:r>
              <w:rPr>
                <w:rFonts w:ascii="Calibri" w:cs="Calibri" w:eastAsia="Calibri" w:hAnsi="Calibri"/>
                <w:b w:val="false"/>
                <w:bCs w:val="false"/>
                <w:color w:val="2C3E50"/>
                <w:sz w:val="20"/>
                <w:szCs w:val="20"/>
              </w:rPr>
              <w:t xml:space="preserve">Test RMSE</w:t>
            </w:r>
          </w:p>
        </w:tc>
        <w:tc>
          <w:tcPr>
            <w:tcW w:type="dxa" w:w="3100"/>
            <w:tcBorders>
              <w:top w:val="single" w:color="BDC3C7" w:sz="4"/>
              <w:left w:val="single" w:color="BDC3C7" w:sz="4"/>
              <w:bottom w:val="single" w:color="BDC3C7" w:sz="4"/>
              <w:right w:val="single" w:color="BDC3C7" w:sz="4"/>
            </w:tcBorders>
            <w:tcMar>
              <w:top w:type="dxa" w:w="80"/>
              <w:left w:type="dxa" w:w="140"/>
              <w:bottom w:type="dxa" w:w="80"/>
              <w:right w:type="dxa" w:w="140"/>
            </w:tcMar>
            <w:vAlign w:val="center"/>
          </w:tcPr>
          <w:p>
            <w:pPr>
              <w:jc w:val="center"/>
            </w:pPr>
            <w:r>
              <w:rPr>
                <w:rFonts w:ascii="Calibri" w:cs="Calibri" w:eastAsia="Calibri" w:hAnsi="Calibri"/>
                <w:b w:val="false"/>
                <w:bCs w:val="false"/>
                <w:color w:val="2C3E50"/>
                <w:sz w:val="20"/>
                <w:szCs w:val="20"/>
              </w:rPr>
              <w:t xml:space="preserve">$192,100</w:t>
            </w:r>
          </w:p>
        </w:tc>
        <w:tc>
          <w:tcPr>
            <w:tcW w:type="dxa" w:w="3100"/>
            <w:tcBorders>
              <w:top w:val="single" w:color="BDC3C7" w:sz="4"/>
              <w:left w:val="single" w:color="BDC3C7" w:sz="4"/>
              <w:bottom w:val="single" w:color="BDC3C7" w:sz="4"/>
              <w:right w:val="single" w:color="BDC3C7" w:sz="4"/>
            </w:tcBorders>
            <w:tcMar>
              <w:top w:type="dxa" w:w="80"/>
              <w:left w:type="dxa" w:w="140"/>
              <w:bottom w:type="dxa" w:w="80"/>
              <w:right w:type="dxa" w:w="140"/>
            </w:tcMar>
            <w:vAlign w:val="center"/>
          </w:tcPr>
          <w:p>
            <w:pPr>
              <w:jc w:val="center"/>
            </w:pPr>
            <w:r>
              <w:rPr>
                <w:rFonts w:ascii="Calibri" w:cs="Calibri" w:eastAsia="Calibri" w:hAnsi="Calibri"/>
                <w:b/>
                <w:bCs/>
                <w:color w:val="1E7A1E"/>
                <w:sz w:val="20"/>
                <w:szCs w:val="20"/>
              </w:rPr>
              <w:t xml:space="preserve">$171,900  ★ WINNER</w:t>
            </w:r>
          </w:p>
        </w:tc>
      </w:tr>
      <w:tr>
        <w:tc>
          <w:tcPr>
            <w:tcW w:type="dxa" w:w="3160"/>
            <w:tcBorders>
              <w:top w:val="single" w:color="BDC3C7" w:sz="4"/>
              <w:left w:val="single" w:color="BDC3C7" w:sz="4"/>
              <w:bottom w:val="single" w:color="BDC3C7" w:sz="4"/>
              <w:right w:val="single" w:color="BDC3C7" w:sz="4"/>
            </w:tcBorders>
            <w:shd w:fill="F8FBFF" w:val="clear"/>
            <w:tcMar>
              <w:top w:type="dxa" w:w="80"/>
              <w:left w:type="dxa" w:w="140"/>
              <w:bottom w:type="dxa" w:w="80"/>
              <w:right w:type="dxa" w:w="140"/>
            </w:tcMar>
            <w:vAlign w:val="center"/>
          </w:tcPr>
          <w:p>
            <w:pPr>
              <w:jc w:val="left"/>
            </w:pPr>
            <w:r>
              <w:rPr>
                <w:rFonts w:ascii="Calibri" w:cs="Calibri" w:eastAsia="Calibri" w:hAnsi="Calibri"/>
                <w:b w:val="false"/>
                <w:bCs w:val="false"/>
                <w:color w:val="2C3E50"/>
                <w:sz w:val="20"/>
                <w:szCs w:val="20"/>
              </w:rPr>
              <w:t xml:space="preserve">Train–Test R² Gap</w:t>
            </w:r>
          </w:p>
        </w:tc>
        <w:tc>
          <w:tcPr>
            <w:tcW w:type="dxa" w:w="3100"/>
            <w:tcBorders>
              <w:top w:val="single" w:color="BDC3C7" w:sz="4"/>
              <w:left w:val="single" w:color="BDC3C7" w:sz="4"/>
              <w:bottom w:val="single" w:color="BDC3C7" w:sz="4"/>
              <w:right w:val="single" w:color="BDC3C7" w:sz="4"/>
            </w:tcBorders>
            <w:shd w:fill="F8FBFF" w:val="clear"/>
            <w:tcMar>
              <w:top w:type="dxa" w:w="80"/>
              <w:left w:type="dxa" w:w="140"/>
              <w:bottom w:type="dxa" w:w="80"/>
              <w:right w:type="dxa" w:w="140"/>
            </w:tcMar>
            <w:vAlign w:val="center"/>
          </w:tcPr>
          <w:p>
            <w:pPr>
              <w:jc w:val="center"/>
            </w:pPr>
            <w:r>
              <w:rPr>
                <w:rFonts w:ascii="Calibri" w:cs="Calibri" w:eastAsia="Calibri" w:hAnsi="Calibri"/>
                <w:b w:val="false"/>
                <w:bCs w:val="false"/>
                <w:color w:val="1E7A1E"/>
                <w:sz w:val="20"/>
                <w:szCs w:val="20"/>
              </w:rPr>
              <w:t xml:space="preserve">0.063  (low)</w:t>
            </w:r>
          </w:p>
        </w:tc>
        <w:tc>
          <w:tcPr>
            <w:tcW w:type="dxa" w:w="3100"/>
            <w:tcBorders>
              <w:top w:val="single" w:color="BDC3C7" w:sz="4"/>
              <w:left w:val="single" w:color="BDC3C7" w:sz="4"/>
              <w:bottom w:val="single" w:color="BDC3C7" w:sz="4"/>
              <w:right w:val="single" w:color="BDC3C7" w:sz="4"/>
            </w:tcBorders>
            <w:shd w:fill="F8FBFF" w:val="clear"/>
            <w:tcMar>
              <w:top w:type="dxa" w:w="80"/>
              <w:left w:type="dxa" w:w="140"/>
              <w:bottom w:type="dxa" w:w="80"/>
              <w:right w:type="dxa" w:w="140"/>
            </w:tcMar>
            <w:vAlign w:val="center"/>
          </w:tcPr>
          <w:p>
            <w:pPr>
              <w:jc w:val="center"/>
            </w:pPr>
            <w:r>
              <w:rPr>
                <w:rFonts w:ascii="Calibri" w:cs="Calibri" w:eastAsia="Calibri" w:hAnsi="Calibri"/>
                <w:b w:val="false"/>
                <w:bCs w:val="false"/>
                <w:color w:val="E67E22"/>
                <w:sz w:val="20"/>
                <w:szCs w:val="20"/>
              </w:rPr>
              <w:t xml:space="preserve">0.207  (moderate)</w:t>
            </w:r>
          </w:p>
        </w:tc>
      </w:tr>
    </w:tbl>
    <w:p>
      <w:pPr>
        <w:spacing w:after="0" w:before="60"/>
      </w:pPr>
    </w:p>
    <w:p>
      <w:pPr>
        <w:spacing w:after="160" w:before="40"/>
        <w:jc w:val="center"/>
      </w:pPr>
      <w:r>
        <w:rPr>
          <w:rFonts w:ascii="Calibri" w:cs="Calibri" w:eastAsia="Calibri" w:hAnsi="Calibri"/>
          <w:i/>
          <w:iCs/>
          <w:color w:val="7F8C8D"/>
          <w:sz w:val="19"/>
          <w:szCs w:val="19"/>
        </w:rPr>
        <w:t xml:space="preserve">Table 3: Full model comparison. Green values indicate the better result for each metric. ★ marks the winner.</w:t>
      </w:r>
    </w:p>
    <w:p>
      <w:pPr>
        <w:spacing w:after="0" w:before="120"/>
      </w:pPr>
    </w:p>
    <w:p>
      <w:pPr>
        <w:spacing w:after="120" w:before="120"/>
        <w:jc w:val="center"/>
      </w:pPr>
      <w:r>
        <w:drawing>
          <wp:inline distT="0" distB="0" distL="0" distR="0">
            <wp:extent cx="4572000" cy="3019425"/>
            <wp:effectExtent t="0" r="0" b="0" l="0"/>
            <wp:docPr id="1" name="model_comparison_r2.png" descr="model_comparison_r2.png" title="model_comparison_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3019425"/>
                    </a:xfrm>
                    <a:prstGeom prst="rect">
                      <a:avLst/>
                    </a:prstGeom>
                  </pic:spPr>
                </pic:pic>
              </a:graphicData>
            </a:graphic>
          </wp:inline>
        </w:drawing>
      </w:r>
    </w:p>
    <w:p>
      <w:pPr>
        <w:spacing w:after="160" w:before="40"/>
        <w:jc w:val="center"/>
      </w:pPr>
      <w:r>
        <w:rPr>
          <w:rFonts w:ascii="Calibri" w:cs="Calibri" w:eastAsia="Calibri" w:hAnsi="Calibri"/>
          <w:i/>
          <w:iCs/>
          <w:color w:val="7F8C8D"/>
          <w:sz w:val="19"/>
          <w:szCs w:val="19"/>
        </w:rPr>
        <w:t xml:space="preserve">Figure 7: Side-by-side R² comparison. The green dotted line marks R² = 0.70, a reasonable threshold for “good” on this dataset.</w:t>
      </w:r>
    </w:p>
    <w:p>
      <w:pPr>
        <w:spacing w:after="0" w:before="80"/>
      </w:pPr>
    </w:p>
    <w:p>
      <w:pPr>
        <w:spacing w:after="80" w:before="80" w:line="360"/>
      </w:pPr>
      <w:r>
        <w:rPr>
          <w:rFonts w:ascii="Calibri" w:cs="Calibri" w:eastAsia="Calibri" w:hAnsi="Calibri"/>
          <w:b w:val="false"/>
          <w:bCs w:val="false"/>
          <w:i w:val="false"/>
          <w:iCs w:val="false"/>
          <w:color w:val="2C3E50"/>
          <w:sz w:val="24"/>
          <w:szCs w:val="24"/>
        </w:rPr>
        <w:t xml:space="preserve">The results tell a clear story. Random Forest outperforms Ridge Regression on every single metric: higher R², lower MAE, and lower RMSE. The 7.2-point gap in test R² (0.71 vs 0.64) is meaningful in practical terms — it translates to the Random Forest explaining roughly 11% more of the price variance than Ridge, and reducing the average prediction error by about $15,800 per house.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8"/>
              <w:left w:val="single" w:color="1E3A5F" w:sz="8"/>
              <w:bottom w:val="single" w:color="1E3A5F" w:sz="8"/>
              <w:right w:val="single" w:color="1E3A5F" w:sz="8"/>
            </w:tcBorders>
            <w:shd w:fill="EBF5FB" w:val="clear"/>
            <w:tcMar>
              <w:top w:type="dxa" w:w="140"/>
              <w:left w:type="dxa" w:w="200"/>
              <w:bottom w:type="dxa" w:w="140"/>
              <w:right w:type="dxa" w:w="200"/>
            </w:tcMar>
          </w:tcPr>
          <w:p>
            <w:pPr>
              <w:spacing w:line="340"/>
            </w:pPr>
            <w:r>
              <w:rPr>
                <w:rFonts w:ascii="Calibri" w:cs="Calibri" w:eastAsia="Calibri" w:hAnsi="Calibri"/>
                <w:i/>
                <w:iCs/>
                <w:color w:val="1A252F"/>
                <w:sz w:val="22"/>
                <w:szCs w:val="22"/>
              </w:rPr>
              <w:t xml:space="preserve">OVERFITTING OBSERVATION: Note that the Random Forest shows a substantial gap between training R² (0.92) and test R² (0.71). This is typical of tree-based ensembles — they tend to memorise training data to a degree. Ridge Regression, by contrast, shows a much tighter train–test gap (0.70 vs 0.64), consistent with its linear, well-regularised nature. The RF’s test performance is still superior despite this overfitting, but in a production setting, further tuning (e.g. increasing min_samples_leaf or constraining max_depth) could close this gap.</w:t>
            </w:r>
          </w:p>
        </w:tc>
      </w:tr>
    </w:tbl>
    <w:p>
      <w:pPr>
        <w:pStyle w:val="Heading2"/>
      </w:pPr>
      <w:r>
        <w:rPr>
          <w:rFonts w:ascii="Calibri" w:cs="Calibri" w:eastAsia="Calibri" w:hAnsi="Calibri"/>
          <w:b/>
          <w:bCs/>
          <w:color w:val="2471A3"/>
          <w:sz w:val="28"/>
          <w:szCs w:val="28"/>
        </w:rPr>
        <w:t xml:space="preserve">6.3 Actual vs. Predicted Prices</w:t>
      </w:r>
    </w:p>
    <w:p>
      <w:pPr>
        <w:spacing w:after="120" w:before="120"/>
        <w:jc w:val="center"/>
      </w:pPr>
      <w:r>
        <w:drawing>
          <wp:inline distT="0" distB="0" distL="0" distR="0">
            <wp:extent cx="5905500" cy="2343150"/>
            <wp:effectExtent t="0" r="0" b="0" l="0"/>
            <wp:docPr id="1" name="actual_vs_predicted.png" descr="actual_vs_predicted.png" title="actual_vs_predic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343150"/>
                    </a:xfrm>
                    <a:prstGeom prst="rect">
                      <a:avLst/>
                    </a:prstGeom>
                  </pic:spPr>
                </pic:pic>
              </a:graphicData>
            </a:graphic>
          </wp:inline>
        </w:drawing>
      </w:r>
    </w:p>
    <w:p>
      <w:pPr>
        <w:spacing w:after="160" w:before="40"/>
        <w:jc w:val="center"/>
      </w:pPr>
      <w:r>
        <w:rPr>
          <w:rFonts w:ascii="Calibri" w:cs="Calibri" w:eastAsia="Calibri" w:hAnsi="Calibri"/>
          <w:i/>
          <w:iCs/>
          <w:color w:val="7F8C8D"/>
          <w:sz w:val="19"/>
          <w:szCs w:val="19"/>
        </w:rPr>
        <w:t xml:space="preserve">Figure 8: Scatter plot of actual vs. predicted prices on the 906 held-out test houses. Perfect predictions would fall exactly on the dashed diagonal line.</w:t>
      </w:r>
    </w:p>
    <w:p>
      <w:pPr>
        <w:spacing w:after="80" w:before="80" w:line="360"/>
      </w:pPr>
      <w:r>
        <w:rPr>
          <w:rFonts w:ascii="Calibri" w:cs="Calibri" w:eastAsia="Calibri" w:hAnsi="Calibri"/>
          <w:b w:val="false"/>
          <w:bCs w:val="false"/>
          <w:i w:val="false"/>
          <w:iCs w:val="false"/>
          <w:color w:val="2C3E50"/>
          <w:sz w:val="24"/>
          <w:szCs w:val="24"/>
        </w:rPr>
        <w:t xml:space="preserve">The actual-vs-predicted scatter plots provide a visual intuition for model performance that raw metrics cannot fully convey. For both models, the predictions cluster reasonably well around the diagonal for mid-range homes (the dense core around $300K–$700K), which is where the majority of the data lives. This makes sense: there are more training examples in this range, so the models have seen more examples to learn from.</w:t>
      </w:r>
    </w:p>
    <w:p>
      <w:pPr>
        <w:spacing w:after="0" w:before="80"/>
      </w:pPr>
    </w:p>
    <w:p>
      <w:pPr>
        <w:spacing w:after="80" w:before="80" w:line="360"/>
      </w:pPr>
      <w:r>
        <w:rPr>
          <w:rFonts w:ascii="Calibri" w:cs="Calibri" w:eastAsia="Calibri" w:hAnsi="Calibri"/>
          <w:b w:val="false"/>
          <w:bCs w:val="false"/>
          <w:i w:val="false"/>
          <w:iCs w:val="false"/>
          <w:color w:val="2C3E50"/>
          <w:sz w:val="24"/>
          <w:szCs w:val="24"/>
        </w:rPr>
        <w:t xml:space="preserve">The Random Forest plot (right) shows a noticeably tighter cloud around the diagonal compared to Ridge (left), confirming its lower error. Both models struggle more at the extremes — very cheap homes (under $150K) and expensive homes (over $1M) tend to have wider prediction intervals. This is a common pattern: extreme price ranges are underrepresented in training data, so the model has less basis for confident prediction in those regions.</w:t>
      </w:r>
    </w:p>
    <w:p>
      <w:pPr>
        <w:pStyle w:val="Heading2"/>
      </w:pPr>
      <w:r>
        <w:rPr>
          <w:rFonts w:ascii="Calibri" w:cs="Calibri" w:eastAsia="Calibri" w:hAnsi="Calibri"/>
          <w:b/>
          <w:bCs/>
          <w:color w:val="2471A3"/>
          <w:sz w:val="28"/>
          <w:szCs w:val="28"/>
        </w:rPr>
        <w:t xml:space="preserve">6.4 Residual Analysis</w:t>
      </w:r>
    </w:p>
    <w:p>
      <w:pPr>
        <w:spacing w:after="120" w:before="120"/>
        <w:jc w:val="center"/>
      </w:pPr>
      <w:r>
        <w:drawing>
          <wp:inline distT="0" distB="0" distL="0" distR="0">
            <wp:extent cx="5524500" cy="3657600"/>
            <wp:effectExtent t="0" r="0" b="0" l="0"/>
            <wp:docPr id="1" name="residual_analysis.png" descr="residual_analysis.png" title="residual_analy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3657600"/>
                    </a:xfrm>
                    <a:prstGeom prst="rect">
                      <a:avLst/>
                    </a:prstGeom>
                  </pic:spPr>
                </pic:pic>
              </a:graphicData>
            </a:graphic>
          </wp:inline>
        </w:drawing>
      </w:r>
    </w:p>
    <w:p>
      <w:pPr>
        <w:spacing w:after="160" w:before="40"/>
        <w:jc w:val="center"/>
      </w:pPr>
      <w:r>
        <w:rPr>
          <w:rFonts w:ascii="Calibri" w:cs="Calibri" w:eastAsia="Calibri" w:hAnsi="Calibri"/>
          <w:i/>
          <w:iCs/>
          <w:color w:val="7F8C8D"/>
          <w:sz w:val="19"/>
          <w:szCs w:val="19"/>
        </w:rPr>
        <w:t xml:space="preserve">Figure 9: Top row — residuals plotted against predicted price (ideal: horizontal scatter around zero). Bottom row — histogram of residuals (ideal: bell curve centred at zero).</w:t>
      </w:r>
    </w:p>
    <w:p>
      <w:pPr>
        <w:spacing w:after="80" w:before="80" w:line="360"/>
      </w:pPr>
      <w:r>
        <w:rPr>
          <w:rFonts w:ascii="Calibri" w:cs="Calibri" w:eastAsia="Calibri" w:hAnsi="Calibri"/>
          <w:b w:val="false"/>
          <w:bCs w:val="false"/>
          <w:i w:val="false"/>
          <w:iCs w:val="false"/>
          <w:color w:val="2C3E50"/>
          <w:sz w:val="24"/>
          <w:szCs w:val="24"/>
        </w:rPr>
        <w:t xml:space="preserve">Residual plots are a diagnostic tool: they reveal not just how much the model is wrong, but whether the errors have a systematic pattern. A well-behaved model produces residuals that are randomly scattered around zero — no funnel shapes, no trends, no curvature.</w:t>
      </w:r>
    </w:p>
    <w:p>
      <w:pPr>
        <w:spacing w:after="0" w:before="80"/>
      </w:pPr>
    </w:p>
    <w:p>
      <w:pPr>
        <w:spacing w:after="80" w:before="80" w:line="360"/>
      </w:pPr>
      <w:r>
        <w:rPr>
          <w:rFonts w:ascii="Calibri" w:cs="Calibri" w:eastAsia="Calibri" w:hAnsi="Calibri"/>
          <w:b w:val="false"/>
          <w:bCs w:val="false"/>
          <w:i w:val="false"/>
          <w:iCs w:val="false"/>
          <w:color w:val="2C3E50"/>
          <w:sz w:val="24"/>
          <w:szCs w:val="24"/>
        </w:rPr>
        <w:t xml:space="preserve">For Ridge Regression (left column), a faint funnel pattern is visible: the spread of residuals increases at higher predicted prices. This is heteroscedasticity — the model’s uncertainty grows with price. This is the fingerprint of a model that cannot fully capture non-linear pricing dynamics; it underestimates expensive homes and overestimates cheap ones more than a non-linear model would.</w:t>
      </w:r>
    </w:p>
    <w:p>
      <w:pPr>
        <w:spacing w:after="0" w:before="80"/>
      </w:pPr>
    </w:p>
    <w:p>
      <w:pPr>
        <w:spacing w:after="80" w:before="80" w:line="360"/>
      </w:pPr>
      <w:r>
        <w:rPr>
          <w:rFonts w:ascii="Calibri" w:cs="Calibri" w:eastAsia="Calibri" w:hAnsi="Calibri"/>
          <w:b w:val="false"/>
          <w:bCs w:val="false"/>
          <w:i w:val="false"/>
          <w:iCs w:val="false"/>
          <w:color w:val="2C3E50"/>
          <w:sz w:val="24"/>
          <w:szCs w:val="24"/>
        </w:rPr>
        <w:t xml:space="preserve">The Random Forest residuals (right column) show a more compact distribution with less pronounced heteroscedasticity, though it is not completely absent. The residual histogram for Random Forest is more symmetric and sharper-peaked, meaning most errors are small and the distribution has thinner tails. The red mean line in both histograms sits very close to zero, indicating there is no systematic bias in either model — neither consistently over-predicts nor under-predicts on average.</w:t>
      </w:r>
    </w:p>
    <w:p>
      <w:r>
        <w:br w:type="page"/>
      </w:r>
    </w:p>
    <w:p>
      <w:pPr>
        <w:pStyle w:val="Heading1"/>
      </w:pPr>
      <w:r>
        <w:rPr>
          <w:rFonts w:ascii="Calibri" w:cs="Calibri" w:eastAsia="Calibri" w:hAnsi="Calibri"/>
          <w:b/>
          <w:bCs/>
          <w:color w:val="1E3A5F"/>
          <w:sz w:val="36"/>
          <w:szCs w:val="36"/>
        </w:rPr>
        <w:t xml:space="preserve">7. Feature Importance Analysis</w:t>
      </w:r>
    </w:p>
    <w:p>
      <w:pPr>
        <w:pBdr>
          <w:bottom w:val="single" w:color="2196F3" w:sz="4" w:space="1"/>
        </w:pBdr>
        <w:spacing w:after="60" w:before="0"/>
      </w:pPr>
    </w:p>
    <w:p>
      <w:pPr>
        <w:spacing w:after="120" w:before="120"/>
        <w:jc w:val="center"/>
      </w:pPr>
      <w:r>
        <w:drawing>
          <wp:inline distT="0" distB="0" distL="0" distR="0">
            <wp:extent cx="5143500" cy="4105275"/>
            <wp:effectExtent t="0" r="0" b="0" l="0"/>
            <wp:docPr id="1" name="feature_importance.png" descr="feature_importance.png" title="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4105275"/>
                    </a:xfrm>
                    <a:prstGeom prst="rect">
                      <a:avLst/>
                    </a:prstGeom>
                  </pic:spPr>
                </pic:pic>
              </a:graphicData>
            </a:graphic>
          </wp:inline>
        </w:drawing>
      </w:r>
    </w:p>
    <w:p>
      <w:pPr>
        <w:spacing w:after="160" w:before="40"/>
        <w:jc w:val="center"/>
      </w:pPr>
      <w:r>
        <w:rPr>
          <w:rFonts w:ascii="Calibri" w:cs="Calibri" w:eastAsia="Calibri" w:hAnsi="Calibri"/>
          <w:i/>
          <w:iCs/>
          <w:color w:val="7F8C8D"/>
          <w:sz w:val="19"/>
          <w:szCs w:val="19"/>
        </w:rPr>
        <w:t xml:space="preserve">Figure 10: Feature importance scores from the Random Forest, measured by Mean Decrease in Impurity. Darker bars indicate above-median importance. The red dashed line marks the median score.</w:t>
      </w:r>
    </w:p>
    <w:p>
      <w:pPr>
        <w:spacing w:after="80" w:before="80" w:line="360"/>
      </w:pPr>
      <w:r>
        <w:rPr>
          <w:rFonts w:ascii="Calibri" w:cs="Calibri" w:eastAsia="Calibri" w:hAnsi="Calibri"/>
          <w:b w:val="false"/>
          <w:bCs w:val="false"/>
          <w:i w:val="false"/>
          <w:iCs w:val="false"/>
          <w:color w:val="2C3E50"/>
          <w:sz w:val="24"/>
          <w:szCs w:val="24"/>
        </w:rPr>
        <w:t xml:space="preserve">Feature importance analysis answers a question that goes beyond simple model performance: which attributes of a house actually drive its price? The Random Forest’s importance scores provide a reliable answer, because each score reflects how much that feature reduced prediction error across all 500 trees and all training samples.</w:t>
      </w:r>
    </w:p>
    <w:p>
      <w:pPr>
        <w:spacing w:after="0" w:before="80"/>
      </w:pPr>
    </w:p>
    <w:p>
      <w:pPr>
        <w:pStyle w:val="Heading2"/>
      </w:pPr>
      <w:r>
        <w:rPr>
          <w:rFonts w:ascii="Calibri" w:cs="Calibri" w:eastAsia="Calibri" w:hAnsi="Calibri"/>
          <w:b/>
          <w:bCs/>
          <w:color w:val="2471A3"/>
          <w:sz w:val="28"/>
          <w:szCs w:val="28"/>
        </w:rPr>
        <w:t xml:space="preserve">7.1 Top Predictors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400"/>
        <w:gridCol w:w="5060"/>
      </w:tblGrid>
      <w:tr>
        <w:tc>
          <w:tcPr>
            <w:tcW w:type="dxa" w:w="500"/>
            <w:tcBorders>
              <w:top w:val="single" w:color="2196F3" w:sz="6"/>
              <w:left w:val="single" w:color="2196F3" w:sz="6"/>
              <w:bottom w:val="single" w:color="2196F3" w:sz="6"/>
              <w:right w:val="single" w:color="2196F3" w:sz="6"/>
            </w:tcBorders>
            <w:shd w:fill="1E3A5F"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w:t>
            </w:r>
          </w:p>
        </w:tc>
        <w:tc>
          <w:tcPr>
            <w:tcW w:type="dxa" w:w="2400"/>
            <w:tcBorders>
              <w:top w:val="single" w:color="2196F3" w:sz="6"/>
              <w:left w:val="single" w:color="2196F3" w:sz="6"/>
              <w:bottom w:val="single" w:color="2196F3" w:sz="6"/>
              <w:right w:val="single" w:color="2196F3" w:sz="6"/>
            </w:tcBorders>
            <w:shd w:fill="1E3A5F"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Feature</w:t>
            </w:r>
          </w:p>
        </w:tc>
        <w:tc>
          <w:tcPr>
            <w:tcW w:type="dxa" w:w="1400"/>
            <w:tcBorders>
              <w:top w:val="single" w:color="2196F3" w:sz="6"/>
              <w:left w:val="single" w:color="2196F3" w:sz="6"/>
              <w:bottom w:val="single" w:color="2196F3" w:sz="6"/>
              <w:right w:val="single" w:color="2196F3" w:sz="6"/>
            </w:tcBorders>
            <w:shd w:fill="1E3A5F"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Importance</w:t>
            </w:r>
          </w:p>
        </w:tc>
        <w:tc>
          <w:tcPr>
            <w:tcW w:type="dxa" w:w="5060"/>
            <w:tcBorders>
              <w:top w:val="single" w:color="2196F3" w:sz="6"/>
              <w:left w:val="single" w:color="2196F3" w:sz="6"/>
              <w:bottom w:val="single" w:color="2196F3" w:sz="6"/>
              <w:right w:val="single" w:color="2196F3" w:sz="6"/>
            </w:tcBorders>
            <w:shd w:fill="1E3A5F"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Interpretation</w:t>
            </w:r>
          </w:p>
        </w:tc>
      </w:tr>
      <w:tr>
        <w:tc>
          <w:tcPr>
            <w:tcW w:type="dxa" w:w="500"/>
            <w:tcBorders>
              <w:top w:val="single" w:color="BDC3C7" w:sz="4"/>
              <w:left w:val="single" w:color="BDC3C7" w:sz="4"/>
              <w:bottom w:val="single" w:color="BDC3C7" w:sz="4"/>
              <w:right w:val="single" w:color="BDC3C7" w:sz="4"/>
            </w:tcBorders>
            <w:shd w:fill="F8FBFF" w:val="clear"/>
            <w:tcMar>
              <w:top w:type="dxa" w:w="80"/>
              <w:left w:type="dxa" w:w="140"/>
              <w:bottom w:type="dxa" w:w="80"/>
              <w:right w:type="dxa" w:w="140"/>
            </w:tcMar>
            <w:vAlign w:val="center"/>
          </w:tcPr>
          <w:p>
            <w:pPr>
              <w:jc w:val="center"/>
            </w:pPr>
            <w:r>
              <w:rPr>
                <w:rFonts w:ascii="Calibri" w:cs="Calibri" w:eastAsia="Calibri" w:hAnsi="Calibri"/>
                <w:b w:val="false"/>
                <w:bCs w:val="false"/>
                <w:color w:val="2471A3"/>
                <w:sz w:val="20"/>
                <w:szCs w:val="20"/>
              </w:rPr>
              <w:t xml:space="preserve">1</w:t>
            </w:r>
          </w:p>
        </w:tc>
        <w:tc>
          <w:tcPr>
            <w:tcW w:type="dxa" w:w="2400"/>
            <w:tcBorders>
              <w:top w:val="single" w:color="BDC3C7" w:sz="4"/>
              <w:left w:val="single" w:color="BDC3C7" w:sz="4"/>
              <w:bottom w:val="single" w:color="BDC3C7" w:sz="4"/>
              <w:right w:val="single" w:color="BDC3C7" w:sz="4"/>
            </w:tcBorders>
            <w:shd w:fill="F8FBFF" w:val="clear"/>
            <w:tcMar>
              <w:top w:type="dxa" w:w="80"/>
              <w:left w:type="dxa" w:w="140"/>
              <w:bottom w:type="dxa" w:w="80"/>
              <w:right w:type="dxa" w:w="140"/>
            </w:tcMar>
            <w:vAlign w:val="center"/>
          </w:tcPr>
          <w:p>
            <w:pPr>
              <w:jc w:val="left"/>
            </w:pPr>
            <w:r>
              <w:rPr>
                <w:rFonts w:ascii="Calibri" w:cs="Calibri" w:eastAsia="Calibri" w:hAnsi="Calibri"/>
                <w:b/>
                <w:bCs/>
                <w:color w:val="2C3E50"/>
                <w:sz w:val="20"/>
                <w:szCs w:val="20"/>
              </w:rPr>
              <w:t xml:space="preserve">sqft_living</w:t>
            </w:r>
          </w:p>
        </w:tc>
        <w:tc>
          <w:tcPr>
            <w:tcW w:type="dxa" w:w="1400"/>
            <w:tcBorders>
              <w:top w:val="single" w:color="BDC3C7" w:sz="4"/>
              <w:left w:val="single" w:color="BDC3C7" w:sz="4"/>
              <w:bottom w:val="single" w:color="BDC3C7" w:sz="4"/>
              <w:right w:val="single" w:color="BDC3C7" w:sz="4"/>
            </w:tcBorders>
            <w:shd w:fill="F8FBFF" w:val="clear"/>
            <w:tcMar>
              <w:top w:type="dxa" w:w="80"/>
              <w:left w:type="dxa" w:w="140"/>
              <w:bottom w:type="dxa" w:w="80"/>
              <w:right w:type="dxa" w:w="140"/>
            </w:tcMar>
            <w:vAlign w:val="center"/>
          </w:tcPr>
          <w:p>
            <w:pPr>
              <w:jc w:val="center"/>
            </w:pPr>
            <w:r>
              <w:rPr>
                <w:rFonts w:ascii="Calibri" w:cs="Calibri" w:eastAsia="Calibri" w:hAnsi="Calibri"/>
                <w:b/>
                <w:bCs/>
                <w:color w:val="1E7A1E"/>
                <w:sz w:val="20"/>
                <w:szCs w:val="20"/>
              </w:rPr>
              <w:t xml:space="preserve">~24.5%</w:t>
            </w:r>
          </w:p>
        </w:tc>
        <w:tc>
          <w:tcPr>
            <w:tcW w:type="dxa" w:w="5060"/>
            <w:tcBorders>
              <w:top w:val="single" w:color="BDC3C7" w:sz="4"/>
              <w:left w:val="single" w:color="BDC3C7" w:sz="4"/>
              <w:bottom w:val="single" w:color="BDC3C7" w:sz="4"/>
              <w:right w:val="single" w:color="BDC3C7" w:sz="4"/>
            </w:tcBorders>
            <w:shd w:fill="F8FBFF" w:val="clear"/>
            <w:tcMar>
              <w:top w:type="dxa" w:w="80"/>
              <w:left w:type="dxa" w:w="140"/>
              <w:bottom w:type="dxa" w:w="80"/>
              <w:right w:type="dxa" w:w="140"/>
            </w:tcMar>
            <w:vAlign w:val="center"/>
          </w:tcPr>
          <w:p>
            <w:pPr>
              <w:jc w:val="left"/>
            </w:pPr>
            <w:r>
              <w:rPr>
                <w:rFonts w:ascii="Calibri" w:cs="Calibri" w:eastAsia="Calibri" w:hAnsi="Calibri"/>
                <w:b w:val="false"/>
                <w:bCs w:val="false"/>
                <w:color w:val="2C3E50"/>
                <w:sz w:val="20"/>
                <w:szCs w:val="20"/>
              </w:rPr>
              <w:t xml:space="preserve">The single strongest predictor. Larger homes command higher prices almost universally. Each additional square foot of living space adds measurable value.</w:t>
            </w:r>
          </w:p>
        </w:tc>
      </w:tr>
      <w:tr>
        <w:tc>
          <w:tcPr>
            <w:tcW w:type="dxa" w:w="500"/>
            <w:tcBorders>
              <w:top w:val="single" w:color="BDC3C7" w:sz="4"/>
              <w:left w:val="single" w:color="BDC3C7" w:sz="4"/>
              <w:bottom w:val="single" w:color="BDC3C7" w:sz="4"/>
              <w:right w:val="single" w:color="BDC3C7" w:sz="4"/>
            </w:tcBorders>
            <w:tcMar>
              <w:top w:type="dxa" w:w="80"/>
              <w:left w:type="dxa" w:w="140"/>
              <w:bottom w:type="dxa" w:w="80"/>
              <w:right w:type="dxa" w:w="140"/>
            </w:tcMar>
            <w:vAlign w:val="center"/>
          </w:tcPr>
          <w:p>
            <w:pPr>
              <w:jc w:val="center"/>
            </w:pPr>
            <w:r>
              <w:rPr>
                <w:rFonts w:ascii="Calibri" w:cs="Calibri" w:eastAsia="Calibri" w:hAnsi="Calibri"/>
                <w:b w:val="false"/>
                <w:bCs w:val="false"/>
                <w:color w:val="2471A3"/>
                <w:sz w:val="20"/>
                <w:szCs w:val="20"/>
              </w:rPr>
              <w:t xml:space="preserve">2</w:t>
            </w:r>
          </w:p>
        </w:tc>
        <w:tc>
          <w:tcPr>
            <w:tcW w:type="dxa" w:w="2400"/>
            <w:tcBorders>
              <w:top w:val="single" w:color="BDC3C7" w:sz="4"/>
              <w:left w:val="single" w:color="BDC3C7" w:sz="4"/>
              <w:bottom w:val="single" w:color="BDC3C7" w:sz="4"/>
              <w:right w:val="single" w:color="BDC3C7" w:sz="4"/>
            </w:tcBorders>
            <w:tcMar>
              <w:top w:type="dxa" w:w="80"/>
              <w:left w:type="dxa" w:w="140"/>
              <w:bottom w:type="dxa" w:w="80"/>
              <w:right w:type="dxa" w:w="140"/>
            </w:tcMar>
            <w:vAlign w:val="center"/>
          </w:tcPr>
          <w:p>
            <w:pPr>
              <w:jc w:val="left"/>
            </w:pPr>
            <w:r>
              <w:rPr>
                <w:rFonts w:ascii="Calibri" w:cs="Calibri" w:eastAsia="Calibri" w:hAnsi="Calibri"/>
                <w:b/>
                <w:bCs/>
                <w:color w:val="2C3E50"/>
                <w:sz w:val="20"/>
                <w:szCs w:val="20"/>
              </w:rPr>
              <w:t xml:space="preserve">sqft_above</w:t>
            </w:r>
          </w:p>
        </w:tc>
        <w:tc>
          <w:tcPr>
            <w:tcW w:type="dxa" w:w="1400"/>
            <w:tcBorders>
              <w:top w:val="single" w:color="BDC3C7" w:sz="4"/>
              <w:left w:val="single" w:color="BDC3C7" w:sz="4"/>
              <w:bottom w:val="single" w:color="BDC3C7" w:sz="4"/>
              <w:right w:val="single" w:color="BDC3C7" w:sz="4"/>
            </w:tcBorders>
            <w:tcMar>
              <w:top w:type="dxa" w:w="80"/>
              <w:left w:type="dxa" w:w="140"/>
              <w:bottom w:type="dxa" w:w="80"/>
              <w:right w:type="dxa" w:w="140"/>
            </w:tcMar>
            <w:vAlign w:val="center"/>
          </w:tcPr>
          <w:p>
            <w:pPr>
              <w:jc w:val="center"/>
            </w:pPr>
            <w:r>
              <w:rPr>
                <w:rFonts w:ascii="Calibri" w:cs="Calibri" w:eastAsia="Calibri" w:hAnsi="Calibri"/>
                <w:b/>
                <w:bCs/>
                <w:color w:val="1E7A1E"/>
                <w:sz w:val="20"/>
                <w:szCs w:val="20"/>
              </w:rPr>
              <w:t xml:space="preserve">~15.0%</w:t>
            </w:r>
          </w:p>
        </w:tc>
        <w:tc>
          <w:tcPr>
            <w:tcW w:type="dxa" w:w="5060"/>
            <w:tcBorders>
              <w:top w:val="single" w:color="BDC3C7" w:sz="4"/>
              <w:left w:val="single" w:color="BDC3C7" w:sz="4"/>
              <w:bottom w:val="single" w:color="BDC3C7" w:sz="4"/>
              <w:right w:val="single" w:color="BDC3C7" w:sz="4"/>
            </w:tcBorders>
            <w:tcMar>
              <w:top w:type="dxa" w:w="80"/>
              <w:left w:type="dxa" w:w="140"/>
              <w:bottom w:type="dxa" w:w="80"/>
              <w:right w:type="dxa" w:w="140"/>
            </w:tcMar>
            <w:vAlign w:val="center"/>
          </w:tcPr>
          <w:p>
            <w:pPr>
              <w:jc w:val="left"/>
            </w:pPr>
            <w:r>
              <w:rPr>
                <w:rFonts w:ascii="Calibri" w:cs="Calibri" w:eastAsia="Calibri" w:hAnsi="Calibri"/>
                <w:b w:val="false"/>
                <w:bCs w:val="false"/>
                <w:color w:val="2C3E50"/>
                <w:sz w:val="20"/>
                <w:szCs w:val="20"/>
              </w:rPr>
              <w:t xml:space="preserve">Closely related to sqft_living, above-ground space is particularly valued by buyers who avoid basements (flooding, dampness, natural light).</w:t>
            </w:r>
          </w:p>
        </w:tc>
      </w:tr>
      <w:tr>
        <w:tc>
          <w:tcPr>
            <w:tcW w:type="dxa" w:w="500"/>
            <w:tcBorders>
              <w:top w:val="single" w:color="BDC3C7" w:sz="4"/>
              <w:left w:val="single" w:color="BDC3C7" w:sz="4"/>
              <w:bottom w:val="single" w:color="BDC3C7" w:sz="4"/>
              <w:right w:val="single" w:color="BDC3C7" w:sz="4"/>
            </w:tcBorders>
            <w:shd w:fill="F8FBFF" w:val="clear"/>
            <w:tcMar>
              <w:top w:type="dxa" w:w="80"/>
              <w:left w:type="dxa" w:w="140"/>
              <w:bottom w:type="dxa" w:w="80"/>
              <w:right w:type="dxa" w:w="140"/>
            </w:tcMar>
            <w:vAlign w:val="center"/>
          </w:tcPr>
          <w:p>
            <w:pPr>
              <w:jc w:val="center"/>
            </w:pPr>
            <w:r>
              <w:rPr>
                <w:rFonts w:ascii="Calibri" w:cs="Calibri" w:eastAsia="Calibri" w:hAnsi="Calibri"/>
                <w:b w:val="false"/>
                <w:bCs w:val="false"/>
                <w:color w:val="2471A3"/>
                <w:sz w:val="20"/>
                <w:szCs w:val="20"/>
              </w:rPr>
              <w:t xml:space="preserve">3</w:t>
            </w:r>
          </w:p>
        </w:tc>
        <w:tc>
          <w:tcPr>
            <w:tcW w:type="dxa" w:w="2400"/>
            <w:tcBorders>
              <w:top w:val="single" w:color="BDC3C7" w:sz="4"/>
              <w:left w:val="single" w:color="BDC3C7" w:sz="4"/>
              <w:bottom w:val="single" w:color="BDC3C7" w:sz="4"/>
              <w:right w:val="single" w:color="BDC3C7" w:sz="4"/>
            </w:tcBorders>
            <w:shd w:fill="F8FBFF" w:val="clear"/>
            <w:tcMar>
              <w:top w:type="dxa" w:w="80"/>
              <w:left w:type="dxa" w:w="140"/>
              <w:bottom w:type="dxa" w:w="80"/>
              <w:right w:type="dxa" w:w="140"/>
            </w:tcMar>
            <w:vAlign w:val="center"/>
          </w:tcPr>
          <w:p>
            <w:pPr>
              <w:jc w:val="left"/>
            </w:pPr>
            <w:r>
              <w:rPr>
                <w:rFonts w:ascii="Calibri" w:cs="Calibri" w:eastAsia="Calibri" w:hAnsi="Calibri"/>
                <w:b/>
                <w:bCs/>
                <w:color w:val="2C3E50"/>
                <w:sz w:val="20"/>
                <w:szCs w:val="20"/>
              </w:rPr>
              <w:t xml:space="preserve">city_price_enc</w:t>
            </w:r>
          </w:p>
        </w:tc>
        <w:tc>
          <w:tcPr>
            <w:tcW w:type="dxa" w:w="1400"/>
            <w:tcBorders>
              <w:top w:val="single" w:color="BDC3C7" w:sz="4"/>
              <w:left w:val="single" w:color="BDC3C7" w:sz="4"/>
              <w:bottom w:val="single" w:color="BDC3C7" w:sz="4"/>
              <w:right w:val="single" w:color="BDC3C7" w:sz="4"/>
            </w:tcBorders>
            <w:shd w:fill="F8FBFF" w:val="clear"/>
            <w:tcMar>
              <w:top w:type="dxa" w:w="80"/>
              <w:left w:type="dxa" w:w="140"/>
              <w:bottom w:type="dxa" w:w="80"/>
              <w:right w:type="dxa" w:w="140"/>
            </w:tcMar>
            <w:vAlign w:val="center"/>
          </w:tcPr>
          <w:p>
            <w:pPr>
              <w:jc w:val="center"/>
            </w:pPr>
            <w:r>
              <w:rPr>
                <w:rFonts w:ascii="Calibri" w:cs="Calibri" w:eastAsia="Calibri" w:hAnsi="Calibri"/>
                <w:b/>
                <w:bCs/>
                <w:color w:val="1E7A1E"/>
                <w:sz w:val="20"/>
                <w:szCs w:val="20"/>
              </w:rPr>
              <w:t xml:space="preserve">~10.0%</w:t>
            </w:r>
          </w:p>
        </w:tc>
        <w:tc>
          <w:tcPr>
            <w:tcW w:type="dxa" w:w="5060"/>
            <w:tcBorders>
              <w:top w:val="single" w:color="BDC3C7" w:sz="4"/>
              <w:left w:val="single" w:color="BDC3C7" w:sz="4"/>
              <w:bottom w:val="single" w:color="BDC3C7" w:sz="4"/>
              <w:right w:val="single" w:color="BDC3C7" w:sz="4"/>
            </w:tcBorders>
            <w:shd w:fill="F8FBFF" w:val="clear"/>
            <w:tcMar>
              <w:top w:type="dxa" w:w="80"/>
              <w:left w:type="dxa" w:w="140"/>
              <w:bottom w:type="dxa" w:w="80"/>
              <w:right w:type="dxa" w:w="140"/>
            </w:tcMar>
            <w:vAlign w:val="center"/>
          </w:tcPr>
          <w:p>
            <w:pPr>
              <w:jc w:val="left"/>
            </w:pPr>
            <w:r>
              <w:rPr>
                <w:rFonts w:ascii="Calibri" w:cs="Calibri" w:eastAsia="Calibri" w:hAnsi="Calibri"/>
                <w:b w:val="false"/>
                <w:bCs w:val="false"/>
                <w:color w:val="2C3E50"/>
                <w:sz w:val="20"/>
                <w:szCs w:val="20"/>
              </w:rPr>
              <w:t xml:space="preserve">The city-level target encoding captures the neighbourhood premium effect — the same house is worth dramatically more in Medina than in Auburn.</w:t>
            </w:r>
          </w:p>
        </w:tc>
      </w:tr>
      <w:tr>
        <w:tc>
          <w:tcPr>
            <w:tcW w:type="dxa" w:w="500"/>
            <w:tcBorders>
              <w:top w:val="single" w:color="BDC3C7" w:sz="4"/>
              <w:left w:val="single" w:color="BDC3C7" w:sz="4"/>
              <w:bottom w:val="single" w:color="BDC3C7" w:sz="4"/>
              <w:right w:val="single" w:color="BDC3C7" w:sz="4"/>
            </w:tcBorders>
            <w:tcMar>
              <w:top w:type="dxa" w:w="80"/>
              <w:left w:type="dxa" w:w="140"/>
              <w:bottom w:type="dxa" w:w="80"/>
              <w:right w:type="dxa" w:w="140"/>
            </w:tcMar>
            <w:vAlign w:val="center"/>
          </w:tcPr>
          <w:p>
            <w:pPr>
              <w:jc w:val="center"/>
            </w:pPr>
            <w:r>
              <w:rPr>
                <w:rFonts w:ascii="Calibri" w:cs="Calibri" w:eastAsia="Calibri" w:hAnsi="Calibri"/>
                <w:b w:val="false"/>
                <w:bCs w:val="false"/>
                <w:color w:val="2471A3"/>
                <w:sz w:val="20"/>
                <w:szCs w:val="20"/>
              </w:rPr>
              <w:t xml:space="preserve">4</w:t>
            </w:r>
          </w:p>
        </w:tc>
        <w:tc>
          <w:tcPr>
            <w:tcW w:type="dxa" w:w="2400"/>
            <w:tcBorders>
              <w:top w:val="single" w:color="BDC3C7" w:sz="4"/>
              <w:left w:val="single" w:color="BDC3C7" w:sz="4"/>
              <w:bottom w:val="single" w:color="BDC3C7" w:sz="4"/>
              <w:right w:val="single" w:color="BDC3C7" w:sz="4"/>
            </w:tcBorders>
            <w:tcMar>
              <w:top w:type="dxa" w:w="80"/>
              <w:left w:type="dxa" w:w="140"/>
              <w:bottom w:type="dxa" w:w="80"/>
              <w:right w:type="dxa" w:w="140"/>
            </w:tcMar>
            <w:vAlign w:val="center"/>
          </w:tcPr>
          <w:p>
            <w:pPr>
              <w:jc w:val="left"/>
            </w:pPr>
            <w:r>
              <w:rPr>
                <w:rFonts w:ascii="Calibri" w:cs="Calibri" w:eastAsia="Calibri" w:hAnsi="Calibri"/>
                <w:b/>
                <w:bCs/>
                <w:color w:val="2C3E50"/>
                <w:sz w:val="20"/>
                <w:szCs w:val="20"/>
              </w:rPr>
              <w:t xml:space="preserve">zip_code</w:t>
            </w:r>
          </w:p>
        </w:tc>
        <w:tc>
          <w:tcPr>
            <w:tcW w:type="dxa" w:w="1400"/>
            <w:tcBorders>
              <w:top w:val="single" w:color="BDC3C7" w:sz="4"/>
              <w:left w:val="single" w:color="BDC3C7" w:sz="4"/>
              <w:bottom w:val="single" w:color="BDC3C7" w:sz="4"/>
              <w:right w:val="single" w:color="BDC3C7" w:sz="4"/>
            </w:tcBorders>
            <w:tcMar>
              <w:top w:type="dxa" w:w="80"/>
              <w:left w:type="dxa" w:w="140"/>
              <w:bottom w:type="dxa" w:w="80"/>
              <w:right w:type="dxa" w:w="140"/>
            </w:tcMar>
            <w:vAlign w:val="center"/>
          </w:tcPr>
          <w:p>
            <w:pPr>
              <w:jc w:val="center"/>
            </w:pPr>
            <w:r>
              <w:rPr>
                <w:rFonts w:ascii="Calibri" w:cs="Calibri" w:eastAsia="Calibri" w:hAnsi="Calibri"/>
                <w:b/>
                <w:bCs/>
                <w:color w:val="1E7A1E"/>
                <w:sz w:val="20"/>
                <w:szCs w:val="20"/>
              </w:rPr>
              <w:t xml:space="preserve">~7.2%</w:t>
            </w:r>
          </w:p>
        </w:tc>
        <w:tc>
          <w:tcPr>
            <w:tcW w:type="dxa" w:w="5060"/>
            <w:tcBorders>
              <w:top w:val="single" w:color="BDC3C7" w:sz="4"/>
              <w:left w:val="single" w:color="BDC3C7" w:sz="4"/>
              <w:bottom w:val="single" w:color="BDC3C7" w:sz="4"/>
              <w:right w:val="single" w:color="BDC3C7" w:sz="4"/>
            </w:tcBorders>
            <w:tcMar>
              <w:top w:type="dxa" w:w="80"/>
              <w:left w:type="dxa" w:w="140"/>
              <w:bottom w:type="dxa" w:w="80"/>
              <w:right w:type="dxa" w:w="140"/>
            </w:tcMar>
            <w:vAlign w:val="center"/>
          </w:tcPr>
          <w:p>
            <w:pPr>
              <w:jc w:val="left"/>
            </w:pPr>
            <w:r>
              <w:rPr>
                <w:rFonts w:ascii="Calibri" w:cs="Calibri" w:eastAsia="Calibri" w:hAnsi="Calibri"/>
                <w:b w:val="false"/>
                <w:bCs w:val="false"/>
                <w:color w:val="2C3E50"/>
                <w:sz w:val="20"/>
                <w:szCs w:val="20"/>
              </w:rPr>
              <w:t xml:space="preserve">At a finer resolution than city, zip code captures neighbourhood-level signals: school districts, commute access, safety ratings.</w:t>
            </w:r>
          </w:p>
        </w:tc>
      </w:tr>
      <w:tr>
        <w:tc>
          <w:tcPr>
            <w:tcW w:type="dxa" w:w="500"/>
            <w:tcBorders>
              <w:top w:val="single" w:color="BDC3C7" w:sz="4"/>
              <w:left w:val="single" w:color="BDC3C7" w:sz="4"/>
              <w:bottom w:val="single" w:color="BDC3C7" w:sz="4"/>
              <w:right w:val="single" w:color="BDC3C7" w:sz="4"/>
            </w:tcBorders>
            <w:shd w:fill="F8FBFF" w:val="clear"/>
            <w:tcMar>
              <w:top w:type="dxa" w:w="80"/>
              <w:left w:type="dxa" w:w="140"/>
              <w:bottom w:type="dxa" w:w="80"/>
              <w:right w:type="dxa" w:w="140"/>
            </w:tcMar>
            <w:vAlign w:val="center"/>
          </w:tcPr>
          <w:p>
            <w:pPr>
              <w:jc w:val="center"/>
            </w:pPr>
            <w:r>
              <w:rPr>
                <w:rFonts w:ascii="Calibri" w:cs="Calibri" w:eastAsia="Calibri" w:hAnsi="Calibri"/>
                <w:b w:val="false"/>
                <w:bCs w:val="false"/>
                <w:color w:val="2471A3"/>
                <w:sz w:val="20"/>
                <w:szCs w:val="20"/>
              </w:rPr>
              <w:t xml:space="preserve">5</w:t>
            </w:r>
          </w:p>
        </w:tc>
        <w:tc>
          <w:tcPr>
            <w:tcW w:type="dxa" w:w="2400"/>
            <w:tcBorders>
              <w:top w:val="single" w:color="BDC3C7" w:sz="4"/>
              <w:left w:val="single" w:color="BDC3C7" w:sz="4"/>
              <w:bottom w:val="single" w:color="BDC3C7" w:sz="4"/>
              <w:right w:val="single" w:color="BDC3C7" w:sz="4"/>
            </w:tcBorders>
            <w:shd w:fill="F8FBFF" w:val="clear"/>
            <w:tcMar>
              <w:top w:type="dxa" w:w="80"/>
              <w:left w:type="dxa" w:w="140"/>
              <w:bottom w:type="dxa" w:w="80"/>
              <w:right w:type="dxa" w:w="140"/>
            </w:tcMar>
            <w:vAlign w:val="center"/>
          </w:tcPr>
          <w:p>
            <w:pPr>
              <w:jc w:val="left"/>
            </w:pPr>
            <w:r>
              <w:rPr>
                <w:rFonts w:ascii="Calibri" w:cs="Calibri" w:eastAsia="Calibri" w:hAnsi="Calibri"/>
                <w:b/>
                <w:bCs/>
                <w:color w:val="2C3E50"/>
                <w:sz w:val="20"/>
                <w:szCs w:val="20"/>
              </w:rPr>
              <w:t xml:space="preserve">bathrooms</w:t>
            </w:r>
          </w:p>
        </w:tc>
        <w:tc>
          <w:tcPr>
            <w:tcW w:type="dxa" w:w="1400"/>
            <w:tcBorders>
              <w:top w:val="single" w:color="BDC3C7" w:sz="4"/>
              <w:left w:val="single" w:color="BDC3C7" w:sz="4"/>
              <w:bottom w:val="single" w:color="BDC3C7" w:sz="4"/>
              <w:right w:val="single" w:color="BDC3C7" w:sz="4"/>
            </w:tcBorders>
            <w:shd w:fill="F8FBFF" w:val="clear"/>
            <w:tcMar>
              <w:top w:type="dxa" w:w="80"/>
              <w:left w:type="dxa" w:w="140"/>
              <w:bottom w:type="dxa" w:w="80"/>
              <w:right w:type="dxa" w:w="140"/>
            </w:tcMar>
            <w:vAlign w:val="center"/>
          </w:tcPr>
          <w:p>
            <w:pPr>
              <w:jc w:val="center"/>
            </w:pPr>
            <w:r>
              <w:rPr>
                <w:rFonts w:ascii="Calibri" w:cs="Calibri" w:eastAsia="Calibri" w:hAnsi="Calibri"/>
                <w:b/>
                <w:bCs/>
                <w:color w:val="1E7A1E"/>
                <w:sz w:val="20"/>
                <w:szCs w:val="20"/>
              </w:rPr>
              <w:t xml:space="preserve">~7.1%</w:t>
            </w:r>
          </w:p>
        </w:tc>
        <w:tc>
          <w:tcPr>
            <w:tcW w:type="dxa" w:w="5060"/>
            <w:tcBorders>
              <w:top w:val="single" w:color="BDC3C7" w:sz="4"/>
              <w:left w:val="single" w:color="BDC3C7" w:sz="4"/>
              <w:bottom w:val="single" w:color="BDC3C7" w:sz="4"/>
              <w:right w:val="single" w:color="BDC3C7" w:sz="4"/>
            </w:tcBorders>
            <w:shd w:fill="F8FBFF" w:val="clear"/>
            <w:tcMar>
              <w:top w:type="dxa" w:w="80"/>
              <w:left w:type="dxa" w:w="140"/>
              <w:bottom w:type="dxa" w:w="80"/>
              <w:right w:type="dxa" w:w="140"/>
            </w:tcMar>
            <w:vAlign w:val="center"/>
          </w:tcPr>
          <w:p>
            <w:pPr>
              <w:jc w:val="left"/>
            </w:pPr>
            <w:r>
              <w:rPr>
                <w:rFonts w:ascii="Calibri" w:cs="Calibri" w:eastAsia="Calibri" w:hAnsi="Calibri"/>
                <w:b w:val="false"/>
                <w:bCs w:val="false"/>
                <w:color w:val="2C3E50"/>
                <w:sz w:val="20"/>
                <w:szCs w:val="20"/>
              </w:rPr>
              <w:t xml:space="preserve">More bathrooms correlate with both larger homes and higher buyer demand, particularly for families and remote-work households.</w:t>
            </w:r>
          </w:p>
        </w:tc>
      </w:tr>
      <w:tr>
        <w:tc>
          <w:tcPr>
            <w:tcW w:type="dxa" w:w="500"/>
            <w:tcBorders>
              <w:top w:val="single" w:color="BDC3C7" w:sz="4"/>
              <w:left w:val="single" w:color="BDC3C7" w:sz="4"/>
              <w:bottom w:val="single" w:color="BDC3C7" w:sz="4"/>
              <w:right w:val="single" w:color="BDC3C7" w:sz="4"/>
            </w:tcBorders>
            <w:tcMar>
              <w:top w:type="dxa" w:w="80"/>
              <w:left w:type="dxa" w:w="140"/>
              <w:bottom w:type="dxa" w:w="80"/>
              <w:right w:type="dxa" w:w="140"/>
            </w:tcMar>
            <w:vAlign w:val="center"/>
          </w:tcPr>
          <w:p>
            <w:pPr>
              <w:jc w:val="center"/>
            </w:pPr>
            <w:r>
              <w:rPr>
                <w:rFonts w:ascii="Calibri" w:cs="Calibri" w:eastAsia="Calibri" w:hAnsi="Calibri"/>
                <w:b w:val="false"/>
                <w:bCs w:val="false"/>
                <w:color w:val="2471A3"/>
                <w:sz w:val="20"/>
                <w:szCs w:val="20"/>
              </w:rPr>
              <w:t xml:space="preserve">6</w:t>
            </w:r>
          </w:p>
        </w:tc>
        <w:tc>
          <w:tcPr>
            <w:tcW w:type="dxa" w:w="2400"/>
            <w:tcBorders>
              <w:top w:val="single" w:color="BDC3C7" w:sz="4"/>
              <w:left w:val="single" w:color="BDC3C7" w:sz="4"/>
              <w:bottom w:val="single" w:color="BDC3C7" w:sz="4"/>
              <w:right w:val="single" w:color="BDC3C7" w:sz="4"/>
            </w:tcBorders>
            <w:tcMar>
              <w:top w:type="dxa" w:w="80"/>
              <w:left w:type="dxa" w:w="140"/>
              <w:bottom w:type="dxa" w:w="80"/>
              <w:right w:type="dxa" w:w="140"/>
            </w:tcMar>
            <w:vAlign w:val="center"/>
          </w:tcPr>
          <w:p>
            <w:pPr>
              <w:jc w:val="left"/>
            </w:pPr>
            <w:r>
              <w:rPr>
                <w:rFonts w:ascii="Calibri" w:cs="Calibri" w:eastAsia="Calibri" w:hAnsi="Calibri"/>
                <w:b/>
                <w:bCs/>
                <w:color w:val="2C3E50"/>
                <w:sz w:val="20"/>
                <w:szCs w:val="20"/>
              </w:rPr>
              <w:t xml:space="preserve">living_lot_ratio</w:t>
            </w:r>
          </w:p>
        </w:tc>
        <w:tc>
          <w:tcPr>
            <w:tcW w:type="dxa" w:w="1400"/>
            <w:tcBorders>
              <w:top w:val="single" w:color="BDC3C7" w:sz="4"/>
              <w:left w:val="single" w:color="BDC3C7" w:sz="4"/>
              <w:bottom w:val="single" w:color="BDC3C7" w:sz="4"/>
              <w:right w:val="single" w:color="BDC3C7" w:sz="4"/>
            </w:tcBorders>
            <w:tcMar>
              <w:top w:type="dxa" w:w="80"/>
              <w:left w:type="dxa" w:w="140"/>
              <w:bottom w:type="dxa" w:w="80"/>
              <w:right w:type="dxa" w:w="140"/>
            </w:tcMar>
            <w:vAlign w:val="center"/>
          </w:tcPr>
          <w:p>
            <w:pPr>
              <w:jc w:val="center"/>
            </w:pPr>
            <w:r>
              <w:rPr>
                <w:rFonts w:ascii="Calibri" w:cs="Calibri" w:eastAsia="Calibri" w:hAnsi="Calibri"/>
                <w:b/>
                <w:bCs/>
                <w:color w:val="1E7A1E"/>
                <w:sz w:val="20"/>
                <w:szCs w:val="20"/>
              </w:rPr>
              <w:t xml:space="preserve">~5.8%</w:t>
            </w:r>
          </w:p>
        </w:tc>
        <w:tc>
          <w:tcPr>
            <w:tcW w:type="dxa" w:w="5060"/>
            <w:tcBorders>
              <w:top w:val="single" w:color="BDC3C7" w:sz="4"/>
              <w:left w:val="single" w:color="BDC3C7" w:sz="4"/>
              <w:bottom w:val="single" w:color="BDC3C7" w:sz="4"/>
              <w:right w:val="single" w:color="BDC3C7" w:sz="4"/>
            </w:tcBorders>
            <w:tcMar>
              <w:top w:type="dxa" w:w="80"/>
              <w:left w:type="dxa" w:w="140"/>
              <w:bottom w:type="dxa" w:w="80"/>
              <w:right w:type="dxa" w:w="140"/>
            </w:tcMar>
            <w:vAlign w:val="center"/>
          </w:tcPr>
          <w:p>
            <w:pPr>
              <w:jc w:val="left"/>
            </w:pPr>
            <w:r>
              <w:rPr>
                <w:rFonts w:ascii="Calibri" w:cs="Calibri" w:eastAsia="Calibri" w:hAnsi="Calibri"/>
                <w:b w:val="false"/>
                <w:bCs w:val="false"/>
                <w:color w:val="2C3E50"/>
                <w:sz w:val="20"/>
                <w:szCs w:val="20"/>
              </w:rPr>
              <w:t xml:space="preserve">The ratio of built space to lot size signals density. A high ratio suggests urban infill; a low ratio suggests spacious suburban estates.</w:t>
            </w:r>
          </w:p>
        </w:tc>
      </w:tr>
      <w:tr>
        <w:tc>
          <w:tcPr>
            <w:tcW w:type="dxa" w:w="500"/>
            <w:tcBorders>
              <w:top w:val="single" w:color="BDC3C7" w:sz="4"/>
              <w:left w:val="single" w:color="BDC3C7" w:sz="4"/>
              <w:bottom w:val="single" w:color="BDC3C7" w:sz="4"/>
              <w:right w:val="single" w:color="BDC3C7" w:sz="4"/>
            </w:tcBorders>
            <w:shd w:fill="F8FBFF" w:val="clear"/>
            <w:tcMar>
              <w:top w:type="dxa" w:w="80"/>
              <w:left w:type="dxa" w:w="140"/>
              <w:bottom w:type="dxa" w:w="80"/>
              <w:right w:type="dxa" w:w="140"/>
            </w:tcMar>
            <w:vAlign w:val="center"/>
          </w:tcPr>
          <w:p>
            <w:pPr>
              <w:jc w:val="center"/>
            </w:pPr>
            <w:r>
              <w:rPr>
                <w:rFonts w:ascii="Calibri" w:cs="Calibri" w:eastAsia="Calibri" w:hAnsi="Calibri"/>
                <w:b w:val="false"/>
                <w:bCs w:val="false"/>
                <w:color w:val="2471A3"/>
                <w:sz w:val="20"/>
                <w:szCs w:val="20"/>
              </w:rPr>
              <w:t xml:space="preserve">7</w:t>
            </w:r>
          </w:p>
        </w:tc>
        <w:tc>
          <w:tcPr>
            <w:tcW w:type="dxa" w:w="2400"/>
            <w:tcBorders>
              <w:top w:val="single" w:color="BDC3C7" w:sz="4"/>
              <w:left w:val="single" w:color="BDC3C7" w:sz="4"/>
              <w:bottom w:val="single" w:color="BDC3C7" w:sz="4"/>
              <w:right w:val="single" w:color="BDC3C7" w:sz="4"/>
            </w:tcBorders>
            <w:shd w:fill="F8FBFF" w:val="clear"/>
            <w:tcMar>
              <w:top w:type="dxa" w:w="80"/>
              <w:left w:type="dxa" w:w="140"/>
              <w:bottom w:type="dxa" w:w="80"/>
              <w:right w:type="dxa" w:w="140"/>
            </w:tcMar>
            <w:vAlign w:val="center"/>
          </w:tcPr>
          <w:p>
            <w:pPr>
              <w:jc w:val="left"/>
            </w:pPr>
            <w:r>
              <w:rPr>
                <w:rFonts w:ascii="Calibri" w:cs="Calibri" w:eastAsia="Calibri" w:hAnsi="Calibri"/>
                <w:b/>
                <w:bCs/>
                <w:color w:val="2C3E50"/>
                <w:sz w:val="20"/>
                <w:szCs w:val="20"/>
              </w:rPr>
              <w:t xml:space="preserve">sqft_per_bedroom</w:t>
            </w:r>
          </w:p>
        </w:tc>
        <w:tc>
          <w:tcPr>
            <w:tcW w:type="dxa" w:w="1400"/>
            <w:tcBorders>
              <w:top w:val="single" w:color="BDC3C7" w:sz="4"/>
              <w:left w:val="single" w:color="BDC3C7" w:sz="4"/>
              <w:bottom w:val="single" w:color="BDC3C7" w:sz="4"/>
              <w:right w:val="single" w:color="BDC3C7" w:sz="4"/>
            </w:tcBorders>
            <w:shd w:fill="F8FBFF" w:val="clear"/>
            <w:tcMar>
              <w:top w:type="dxa" w:w="80"/>
              <w:left w:type="dxa" w:w="140"/>
              <w:bottom w:type="dxa" w:w="80"/>
              <w:right w:type="dxa" w:w="140"/>
            </w:tcMar>
            <w:vAlign w:val="center"/>
          </w:tcPr>
          <w:p>
            <w:pPr>
              <w:jc w:val="center"/>
            </w:pPr>
            <w:r>
              <w:rPr>
                <w:rFonts w:ascii="Calibri" w:cs="Calibri" w:eastAsia="Calibri" w:hAnsi="Calibri"/>
                <w:b/>
                <w:bCs/>
                <w:color w:val="1E7A1E"/>
                <w:sz w:val="20"/>
                <w:szCs w:val="20"/>
              </w:rPr>
              <w:t xml:space="preserve">~4.9%</w:t>
            </w:r>
          </w:p>
        </w:tc>
        <w:tc>
          <w:tcPr>
            <w:tcW w:type="dxa" w:w="5060"/>
            <w:tcBorders>
              <w:top w:val="single" w:color="BDC3C7" w:sz="4"/>
              <w:left w:val="single" w:color="BDC3C7" w:sz="4"/>
              <w:bottom w:val="single" w:color="BDC3C7" w:sz="4"/>
              <w:right w:val="single" w:color="BDC3C7" w:sz="4"/>
            </w:tcBorders>
            <w:shd w:fill="F8FBFF" w:val="clear"/>
            <w:tcMar>
              <w:top w:type="dxa" w:w="80"/>
              <w:left w:type="dxa" w:w="140"/>
              <w:bottom w:type="dxa" w:w="80"/>
              <w:right w:type="dxa" w:w="140"/>
            </w:tcMar>
            <w:vAlign w:val="center"/>
          </w:tcPr>
          <w:p>
            <w:pPr>
              <w:jc w:val="left"/>
            </w:pPr>
            <w:r>
              <w:rPr>
                <w:rFonts w:ascii="Calibri" w:cs="Calibri" w:eastAsia="Calibri" w:hAnsi="Calibri"/>
                <w:b w:val="false"/>
                <w:bCs w:val="false"/>
                <w:color w:val="2C3E50"/>
                <w:sz w:val="20"/>
                <w:szCs w:val="20"/>
              </w:rPr>
              <w:t xml:space="preserve">Space quality per bedroom captures whether a home feels generous (high sqft/bed) or cramped. Buyers pay a premium for room to breathe.</w:t>
            </w:r>
          </w:p>
        </w:tc>
      </w:tr>
      <w:tr>
        <w:tc>
          <w:tcPr>
            <w:tcW w:type="dxa" w:w="500"/>
            <w:tcBorders>
              <w:top w:val="single" w:color="BDC3C7" w:sz="4"/>
              <w:left w:val="single" w:color="BDC3C7" w:sz="4"/>
              <w:bottom w:val="single" w:color="BDC3C7" w:sz="4"/>
              <w:right w:val="single" w:color="BDC3C7" w:sz="4"/>
            </w:tcBorders>
            <w:tcMar>
              <w:top w:type="dxa" w:w="80"/>
              <w:left w:type="dxa" w:w="140"/>
              <w:bottom w:type="dxa" w:w="80"/>
              <w:right w:type="dxa" w:w="140"/>
            </w:tcMar>
            <w:vAlign w:val="center"/>
          </w:tcPr>
          <w:p>
            <w:pPr>
              <w:jc w:val="center"/>
            </w:pPr>
            <w:r>
              <w:rPr>
                <w:rFonts w:ascii="Calibri" w:cs="Calibri" w:eastAsia="Calibri" w:hAnsi="Calibri"/>
                <w:b w:val="false"/>
                <w:bCs w:val="false"/>
                <w:color w:val="2471A3"/>
                <w:sz w:val="20"/>
                <w:szCs w:val="20"/>
              </w:rPr>
              <w:t xml:space="preserve">8</w:t>
            </w:r>
          </w:p>
        </w:tc>
        <w:tc>
          <w:tcPr>
            <w:tcW w:type="dxa" w:w="2400"/>
            <w:tcBorders>
              <w:top w:val="single" w:color="BDC3C7" w:sz="4"/>
              <w:left w:val="single" w:color="BDC3C7" w:sz="4"/>
              <w:bottom w:val="single" w:color="BDC3C7" w:sz="4"/>
              <w:right w:val="single" w:color="BDC3C7" w:sz="4"/>
            </w:tcBorders>
            <w:tcMar>
              <w:top w:type="dxa" w:w="80"/>
              <w:left w:type="dxa" w:w="140"/>
              <w:bottom w:type="dxa" w:w="80"/>
              <w:right w:type="dxa" w:w="140"/>
            </w:tcMar>
            <w:vAlign w:val="center"/>
          </w:tcPr>
          <w:p>
            <w:pPr>
              <w:jc w:val="left"/>
            </w:pPr>
            <w:r>
              <w:rPr>
                <w:rFonts w:ascii="Calibri" w:cs="Calibri" w:eastAsia="Calibri" w:hAnsi="Calibri"/>
                <w:b/>
                <w:bCs/>
                <w:color w:val="2C3E50"/>
                <w:sz w:val="20"/>
                <w:szCs w:val="20"/>
              </w:rPr>
              <w:t xml:space="preserve">house_age</w:t>
            </w:r>
          </w:p>
        </w:tc>
        <w:tc>
          <w:tcPr>
            <w:tcW w:type="dxa" w:w="1400"/>
            <w:tcBorders>
              <w:top w:val="single" w:color="BDC3C7" w:sz="4"/>
              <w:left w:val="single" w:color="BDC3C7" w:sz="4"/>
              <w:bottom w:val="single" w:color="BDC3C7" w:sz="4"/>
              <w:right w:val="single" w:color="BDC3C7" w:sz="4"/>
            </w:tcBorders>
            <w:tcMar>
              <w:top w:type="dxa" w:w="80"/>
              <w:left w:type="dxa" w:w="140"/>
              <w:bottom w:type="dxa" w:w="80"/>
              <w:right w:type="dxa" w:w="140"/>
            </w:tcMar>
            <w:vAlign w:val="center"/>
          </w:tcPr>
          <w:p>
            <w:pPr>
              <w:jc w:val="center"/>
            </w:pPr>
            <w:r>
              <w:rPr>
                <w:rFonts w:ascii="Calibri" w:cs="Calibri" w:eastAsia="Calibri" w:hAnsi="Calibri"/>
                <w:b/>
                <w:bCs/>
                <w:color w:val="1E7A1E"/>
                <w:sz w:val="20"/>
                <w:szCs w:val="20"/>
              </w:rPr>
              <w:t xml:space="preserve">~4.2%</w:t>
            </w:r>
          </w:p>
        </w:tc>
        <w:tc>
          <w:tcPr>
            <w:tcW w:type="dxa" w:w="5060"/>
            <w:tcBorders>
              <w:top w:val="single" w:color="BDC3C7" w:sz="4"/>
              <w:left w:val="single" w:color="BDC3C7" w:sz="4"/>
              <w:bottom w:val="single" w:color="BDC3C7" w:sz="4"/>
              <w:right w:val="single" w:color="BDC3C7" w:sz="4"/>
            </w:tcBorders>
            <w:tcMar>
              <w:top w:type="dxa" w:w="80"/>
              <w:left w:type="dxa" w:w="140"/>
              <w:bottom w:type="dxa" w:w="80"/>
              <w:right w:type="dxa" w:w="140"/>
            </w:tcMar>
            <w:vAlign w:val="center"/>
          </w:tcPr>
          <w:p>
            <w:pPr>
              <w:jc w:val="left"/>
            </w:pPr>
            <w:r>
              <w:rPr>
                <w:rFonts w:ascii="Calibri" w:cs="Calibri" w:eastAsia="Calibri" w:hAnsi="Calibri"/>
                <w:b w:val="false"/>
                <w:bCs w:val="false"/>
                <w:color w:val="2C3E50"/>
                <w:sz w:val="20"/>
                <w:szCs w:val="20"/>
              </w:rPr>
              <w:t xml:space="preserve">Newer homes generally command premiums for modern systems, energy efficiency, and contemporary design. However, heavily renovated older homes can offset this.</w:t>
            </w:r>
          </w:p>
        </w:tc>
      </w:tr>
    </w:tbl>
    <w:p>
      <w:pPr>
        <w:spacing w:after="160" w:before="40"/>
        <w:jc w:val="center"/>
      </w:pPr>
      <w:r>
        <w:rPr>
          <w:rFonts w:ascii="Calibri" w:cs="Calibri" w:eastAsia="Calibri" w:hAnsi="Calibri"/>
          <w:i/>
          <w:iCs/>
          <w:color w:val="7F8C8D"/>
          <w:sz w:val="19"/>
          <w:szCs w:val="19"/>
        </w:rPr>
        <w:t xml:space="preserve">Table 4: Top 8 features by importance with practical interpretations.</w:t>
      </w:r>
    </w:p>
    <w:p>
      <w:pPr>
        <w:spacing w:after="0" w:before="120"/>
      </w:pPr>
    </w:p>
    <w:p>
      <w:pPr>
        <w:spacing w:after="80" w:before="80" w:line="360"/>
      </w:pPr>
      <w:r>
        <w:rPr>
          <w:rFonts w:ascii="Calibri" w:cs="Calibri" w:eastAsia="Calibri" w:hAnsi="Calibri"/>
          <w:b w:val="false"/>
          <w:bCs w:val="false"/>
          <w:i w:val="false"/>
          <w:iCs w:val="false"/>
          <w:color w:val="2C3E50"/>
          <w:sz w:val="24"/>
          <w:szCs w:val="24"/>
        </w:rPr>
        <w:t xml:space="preserve">Two patterns stand out from this analysis. First, space-related features dominate the top of the list: sqft_living, sqft_above, sqft_per_bedroom, and living_lot_ratio collectively account for roughly 52% of the model’s total decision-making power. In other words, more than half of what the model knows comes from understanding the geometry of the property. This confirms an intuition that most people have: size matters enormously in real estate.</w:t>
      </w:r>
    </w:p>
    <w:p>
      <w:pPr>
        <w:spacing w:after="0" w:before="80"/>
      </w:pPr>
    </w:p>
    <w:p>
      <w:pPr>
        <w:spacing w:after="80" w:before="80" w:line="360"/>
      </w:pPr>
      <w:r>
        <w:rPr>
          <w:rFonts w:ascii="Calibri" w:cs="Calibri" w:eastAsia="Calibri" w:hAnsi="Calibri"/>
          <w:b w:val="false"/>
          <w:bCs w:val="false"/>
          <w:i w:val="false"/>
          <w:iCs w:val="false"/>
          <w:color w:val="2C3E50"/>
          <w:sz w:val="24"/>
          <w:szCs w:val="24"/>
        </w:rPr>
        <w:t xml:space="preserve">Second, the location features (city_price_enc and zip_code) together account for approximately 17% of importance. Given that this dataset lacks precise geographic coordinates (lat/lon), which in the full King County dataset would likely place location in the top two slots, this 17% figure almost certainly underestimates the true importance of location. It is a proxy signal for what would be a much stronger direct signal if coordinates were available.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8"/>
              <w:left w:val="single" w:color="1E3A5F" w:sz="8"/>
              <w:bottom w:val="single" w:color="1E3A5F" w:sz="8"/>
              <w:right w:val="single" w:color="1E3A5F" w:sz="8"/>
            </w:tcBorders>
            <w:shd w:fill="EBF5FB" w:val="clear"/>
            <w:tcMar>
              <w:top w:type="dxa" w:w="140"/>
              <w:left w:type="dxa" w:w="200"/>
              <w:bottom w:type="dxa" w:w="140"/>
              <w:right w:type="dxa" w:w="200"/>
            </w:tcMar>
          </w:tcPr>
          <w:p>
            <w:pPr>
              <w:spacing w:line="340"/>
            </w:pPr>
            <w:r>
              <w:rPr>
                <w:rFonts w:ascii="Calibri" w:cs="Calibri" w:eastAsia="Calibri" w:hAnsi="Calibri"/>
                <w:i/>
                <w:iCs/>
                <w:color w:val="1A252F"/>
                <w:sz w:val="22"/>
                <w:szCs w:val="22"/>
              </w:rPr>
              <w:t xml:space="preserve">PRACTICAL TAKEAWAY FOR SELLERS: The feature importance analysis suggests that the single highest-return improvement a seller can make before listing is maximising usable interior space — either by converting unused basement space into living area or adding a functional bathroom. These changes address the top two categories of importance simultaneously. Location, of course, cannot be changed, but choosing the right timing and presentation for a particular zip code can influence the price realised within the city_price_enc range.</w:t>
            </w:r>
          </w:p>
        </w:tc>
      </w:tr>
    </w:tbl>
    <w:p>
      <w:r>
        <w:br w:type="page"/>
      </w:r>
    </w:p>
    <w:p>
      <w:pPr>
        <w:pStyle w:val="Heading1"/>
      </w:pPr>
      <w:r>
        <w:rPr>
          <w:rFonts w:ascii="Calibri" w:cs="Calibri" w:eastAsia="Calibri" w:hAnsi="Calibri"/>
          <w:b/>
          <w:bCs/>
          <w:color w:val="1E3A5F"/>
          <w:sz w:val="36"/>
          <w:szCs w:val="36"/>
        </w:rPr>
        <w:t xml:space="preserve">8. Conclusions &amp; Recommendations</w:t>
      </w:r>
    </w:p>
    <w:p>
      <w:pPr>
        <w:pBdr>
          <w:bottom w:val="single" w:color="2196F3" w:sz="4" w:space="1"/>
        </w:pBdr>
        <w:spacing w:after="60" w:before="0"/>
      </w:pPr>
    </w:p>
    <w:p>
      <w:pPr>
        <w:pStyle w:val="Heading2"/>
      </w:pPr>
      <w:r>
        <w:rPr>
          <w:rFonts w:ascii="Calibri" w:cs="Calibri" w:eastAsia="Calibri" w:hAnsi="Calibri"/>
          <w:b/>
          <w:bCs/>
          <w:color w:val="2471A3"/>
          <w:sz w:val="28"/>
          <w:szCs w:val="28"/>
        </w:rPr>
        <w:t xml:space="preserve">8.1 Summary of Findings</w:t>
      </w:r>
    </w:p>
    <w:p>
      <w:pPr>
        <w:spacing w:after="80" w:before="80" w:line="360"/>
      </w:pPr>
      <w:r>
        <w:rPr>
          <w:rFonts w:ascii="Calibri" w:cs="Calibri" w:eastAsia="Calibri" w:hAnsi="Calibri"/>
          <w:b w:val="false"/>
          <w:bCs w:val="false"/>
          <w:i w:val="false"/>
          <w:iCs w:val="false"/>
          <w:color w:val="2C3E50"/>
          <w:sz w:val="24"/>
          <w:szCs w:val="24"/>
        </w:rPr>
        <w:t xml:space="preserve">This project successfully demonstrated a complete machine learning pipeline for house price prediction, from raw data with quality issues to a validated, evaluated model with explainable outputs. The key findings are:</w:t>
      </w:r>
    </w:p>
    <w:p>
      <w:pPr>
        <w:pStyle w:val="ListParagraph"/>
        <w:numPr>
          <w:ilvl w:val="0"/>
          <w:numId w:val="2"/>
        </w:numPr>
        <w:spacing w:after="60" w:before="60" w:line="340"/>
      </w:pPr>
      <w:r>
        <w:rPr>
          <w:rFonts w:ascii="Calibri" w:cs="Calibri" w:eastAsia="Calibri" w:hAnsi="Calibri"/>
          <w:b w:val="false"/>
          <w:bCs w:val="false"/>
          <w:color w:val="2C3E50"/>
          <w:sz w:val="22"/>
          <w:szCs w:val="22"/>
        </w:rPr>
        <w:t xml:space="preserve">Random Forest (Test R² = 0.71, MAE = $101,700) definitively outperforms Ridge Regression (R² = 0.64, MAE = $117,500), confirming that house pricing is a non-linear problem that benefits from ensemble methods.</w:t>
      </w:r>
    </w:p>
    <w:p>
      <w:pPr>
        <w:pStyle w:val="ListParagraph"/>
        <w:numPr>
          <w:ilvl w:val="0"/>
          <w:numId w:val="2"/>
        </w:numPr>
        <w:spacing w:after="60" w:before="60" w:line="340"/>
      </w:pPr>
      <w:r>
        <w:rPr>
          <w:rFonts w:ascii="Calibri" w:cs="Calibri" w:eastAsia="Calibri" w:hAnsi="Calibri"/>
          <w:b w:val="false"/>
          <w:bCs w:val="false"/>
          <w:color w:val="2C3E50"/>
          <w:sz w:val="22"/>
          <w:szCs w:val="22"/>
        </w:rPr>
        <w:t xml:space="preserve">Interior living space (sqft_living) is the strongest single predictor, accounting for roughly 24.5% of the model’s feature importance.</w:t>
      </w:r>
    </w:p>
    <w:p>
      <w:pPr>
        <w:pStyle w:val="ListParagraph"/>
        <w:numPr>
          <w:ilvl w:val="0"/>
          <w:numId w:val="2"/>
        </w:numPr>
        <w:spacing w:after="60" w:before="60" w:line="340"/>
      </w:pPr>
      <w:r>
        <w:rPr>
          <w:rFonts w:ascii="Calibri" w:cs="Calibri" w:eastAsia="Calibri" w:hAnsi="Calibri"/>
          <w:b w:val="false"/>
          <w:bCs w:val="false"/>
          <w:color w:val="2C3E50"/>
          <w:sz w:val="22"/>
          <w:szCs w:val="22"/>
        </w:rPr>
        <w:t xml:space="preserve">Location, even when approximated via city-level target encoding in the absence of geographic coordinates, is a critical predictive signal (city_price_enc + zip_code ≈ 17% combined importance).</w:t>
      </w:r>
    </w:p>
    <w:p>
      <w:pPr>
        <w:pStyle w:val="ListParagraph"/>
        <w:numPr>
          <w:ilvl w:val="0"/>
          <w:numId w:val="2"/>
        </w:numPr>
        <w:spacing w:after="60" w:before="60" w:line="340"/>
      </w:pPr>
      <w:r>
        <w:rPr>
          <w:rFonts w:ascii="Calibri" w:cs="Calibri" w:eastAsia="Calibri" w:hAnsi="Calibri"/>
          <w:b w:val="false"/>
          <w:bCs w:val="false"/>
          <w:color w:val="2C3E50"/>
          <w:sz w:val="22"/>
          <w:szCs w:val="22"/>
        </w:rPr>
        <w:t xml:space="preserve">Data cleaning — particularly removing zero-price entries and extreme outliers — was essential. Without it, test R² near zero was observed, demonstrating how a small number of corrupted records can completely mask model performance.</w:t>
      </w:r>
    </w:p>
    <w:p>
      <w:pPr>
        <w:pStyle w:val="ListParagraph"/>
        <w:numPr>
          <w:ilvl w:val="0"/>
          <w:numId w:val="2"/>
        </w:numPr>
        <w:spacing w:after="60" w:before="60" w:line="340"/>
      </w:pPr>
      <w:r>
        <w:rPr>
          <w:rFonts w:ascii="Calibri" w:cs="Calibri" w:eastAsia="Calibri" w:hAnsi="Calibri"/>
          <w:b w:val="false"/>
          <w:bCs w:val="false"/>
          <w:color w:val="2C3E50"/>
          <w:sz w:val="22"/>
          <w:szCs w:val="22"/>
        </w:rPr>
        <w:t xml:space="preserve">Both models produce unbiased predictions (residual means near zero) but exhibit heteroscedasticity, with larger errors at higher price points.</w:t>
      </w:r>
    </w:p>
    <w:p>
      <w:pPr>
        <w:pStyle w:val="Heading2"/>
      </w:pPr>
      <w:r>
        <w:rPr>
          <w:rFonts w:ascii="Calibri" w:cs="Calibri" w:eastAsia="Calibri" w:hAnsi="Calibri"/>
          <w:b/>
          <w:bCs/>
          <w:color w:val="2471A3"/>
          <w:sz w:val="28"/>
          <w:szCs w:val="28"/>
        </w:rPr>
        <w:t xml:space="preserve">8.2 Dataset Limitations</w:t>
      </w:r>
    </w:p>
    <w:p>
      <w:pPr>
        <w:spacing w:after="80" w:before="80" w:line="360"/>
      </w:pPr>
      <w:r>
        <w:rPr>
          <w:rFonts w:ascii="Calibri" w:cs="Calibri" w:eastAsia="Calibri" w:hAnsi="Calibri"/>
          <w:b w:val="false"/>
          <w:bCs w:val="false"/>
          <w:i w:val="false"/>
          <w:iCs w:val="false"/>
          <w:color w:val="2C3E50"/>
          <w:sz w:val="24"/>
          <w:szCs w:val="24"/>
        </w:rPr>
        <w:t xml:space="preserve">Honest reporting of limitations is as important as reporting results. Three key constraints shaped the results in this project:</w:t>
      </w:r>
    </w:p>
    <w:p>
      <w:pPr>
        <w:pStyle w:val="ListParagraph"/>
        <w:numPr>
          <w:ilvl w:val="0"/>
          <w:numId w:val="2"/>
        </w:numPr>
        <w:spacing w:after="60" w:before="60" w:line="340"/>
      </w:pPr>
      <w:r>
        <w:rPr>
          <w:rFonts w:ascii="Calibri" w:cs="Calibri" w:eastAsia="Calibri" w:hAnsi="Calibri"/>
          <w:b w:val="false"/>
          <w:bCs w:val="false"/>
          <w:color w:val="2C3E50"/>
          <w:sz w:val="22"/>
          <w:szCs w:val="22"/>
        </w:rPr>
        <w:t xml:space="preserve">No geographic coordinates: The full King County dataset includes latitude and longitude, which in benchmark studies explain an additional 15–25% of price variance beyond structural features. Their absence is the primary reason the ceiling R² is approximately 0.71 rather than 0.87–0.90.</w:t>
      </w:r>
    </w:p>
    <w:p>
      <w:pPr>
        <w:pStyle w:val="ListParagraph"/>
        <w:numPr>
          <w:ilvl w:val="0"/>
          <w:numId w:val="2"/>
        </w:numPr>
        <w:spacing w:after="60" w:before="60" w:line="340"/>
      </w:pPr>
      <w:r>
        <w:rPr>
          <w:rFonts w:ascii="Calibri" w:cs="Calibri" w:eastAsia="Calibri" w:hAnsi="Calibri"/>
          <w:b w:val="false"/>
          <w:bCs w:val="false"/>
          <w:color w:val="2C3E50"/>
          <w:sz w:val="22"/>
          <w:szCs w:val="22"/>
        </w:rPr>
        <w:t xml:space="preserve">Small dataset size: With 4,529 records (versus 21,000+ in the standard King County benchmark), the Random Forest has less training data to learn from, which increases overfitting risk and limits generalisation.</w:t>
      </w:r>
    </w:p>
    <w:p>
      <w:pPr>
        <w:pStyle w:val="ListParagraph"/>
        <w:numPr>
          <w:ilvl w:val="0"/>
          <w:numId w:val="2"/>
        </w:numPr>
        <w:spacing w:after="60" w:before="60" w:line="340"/>
      </w:pPr>
      <w:r>
        <w:rPr>
          <w:rFonts w:ascii="Calibri" w:cs="Calibri" w:eastAsia="Calibri" w:hAnsi="Calibri"/>
          <w:b w:val="false"/>
          <w:bCs w:val="false"/>
          <w:color w:val="2C3E50"/>
          <w:sz w:val="22"/>
          <w:szCs w:val="22"/>
        </w:rPr>
        <w:t xml:space="preserve">Temporal scope: All sales are from a single two-month window (May–July 2014). A model trained on this data may not generalise well to different market conditions, interest rate environments, or seasonal periods.</w:t>
      </w:r>
    </w:p>
    <w:p>
      <w:pPr>
        <w:pStyle w:val="Heading2"/>
      </w:pPr>
      <w:r>
        <w:rPr>
          <w:rFonts w:ascii="Calibri" w:cs="Calibri" w:eastAsia="Calibri" w:hAnsi="Calibri"/>
          <w:b/>
          <w:bCs/>
          <w:color w:val="2471A3"/>
          <w:sz w:val="28"/>
          <w:szCs w:val="28"/>
        </w:rPr>
        <w:t xml:space="preserve">8.3 Recommended Next Steps</w:t>
      </w:r>
    </w:p>
    <w:p>
      <w:pPr>
        <w:spacing w:after="80" w:before="80" w:line="360"/>
      </w:pPr>
      <w:r>
        <w:rPr>
          <w:rFonts w:ascii="Calibri" w:cs="Calibri" w:eastAsia="Calibri" w:hAnsi="Calibri"/>
          <w:b w:val="false"/>
          <w:bCs w:val="false"/>
          <w:i w:val="false"/>
          <w:iCs w:val="false"/>
          <w:color w:val="2C3E50"/>
          <w:sz w:val="24"/>
          <w:szCs w:val="24"/>
        </w:rPr>
        <w:t xml:space="preserve">For teams wishing to extend this work, the following improvements are ranked by expected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5560"/>
      </w:tblGrid>
      <w:tr>
        <w:tc>
          <w:tcPr>
            <w:tcW w:type="dxa" w:w="500"/>
            <w:tcBorders>
              <w:top w:val="single" w:color="2196F3" w:sz="6"/>
              <w:left w:val="single" w:color="2196F3" w:sz="6"/>
              <w:bottom w:val="single" w:color="2196F3" w:sz="6"/>
              <w:right w:val="single" w:color="2196F3" w:sz="6"/>
            </w:tcBorders>
            <w:shd w:fill="1E3A5F"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Priority</w:t>
            </w:r>
          </w:p>
        </w:tc>
        <w:tc>
          <w:tcPr>
            <w:tcW w:type="dxa" w:w="3300"/>
            <w:tcBorders>
              <w:top w:val="single" w:color="2196F3" w:sz="6"/>
              <w:left w:val="single" w:color="2196F3" w:sz="6"/>
              <w:bottom w:val="single" w:color="2196F3" w:sz="6"/>
              <w:right w:val="single" w:color="2196F3" w:sz="6"/>
            </w:tcBorders>
            <w:shd w:fill="1E3A5F"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Recommendation</w:t>
            </w:r>
          </w:p>
        </w:tc>
        <w:tc>
          <w:tcPr>
            <w:tcW w:type="dxa" w:w="5560"/>
            <w:tcBorders>
              <w:top w:val="single" w:color="2196F3" w:sz="6"/>
              <w:left w:val="single" w:color="2196F3" w:sz="6"/>
              <w:bottom w:val="single" w:color="2196F3" w:sz="6"/>
              <w:right w:val="single" w:color="2196F3" w:sz="6"/>
            </w:tcBorders>
            <w:shd w:fill="1E3A5F"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Expected Benefit</w:t>
            </w:r>
          </w:p>
        </w:tc>
      </w:tr>
      <w:tr>
        <w:tc>
          <w:tcPr>
            <w:tcW w:type="dxa" w:w="500"/>
            <w:tcBorders>
              <w:top w:val="single" w:color="BDC3C7" w:sz="4"/>
              <w:left w:val="single" w:color="BDC3C7" w:sz="4"/>
              <w:bottom w:val="single" w:color="BDC3C7" w:sz="4"/>
              <w:right w:val="single" w:color="BDC3C7" w:sz="4"/>
            </w:tcBorders>
            <w:shd w:fill="FDECEA" w:val="clear"/>
            <w:tcMar>
              <w:top w:type="dxa" w:w="80"/>
              <w:left w:type="dxa" w:w="140"/>
              <w:bottom w:type="dxa" w:w="80"/>
              <w:right w:type="dxa" w:w="140"/>
            </w:tcMar>
            <w:vAlign w:val="center"/>
          </w:tcPr>
          <w:p>
            <w:pPr>
              <w:jc w:val="center"/>
            </w:pPr>
            <w:r>
              <w:rPr>
                <w:rFonts w:ascii="Calibri" w:cs="Calibri" w:eastAsia="Calibri" w:hAnsi="Calibri"/>
                <w:b/>
                <w:bCs/>
                <w:color w:val="C0392B"/>
                <w:sz w:val="20"/>
                <w:szCs w:val="20"/>
              </w:rPr>
              <w:t xml:space="preserve">HIGH</w:t>
            </w:r>
          </w:p>
        </w:tc>
        <w:tc>
          <w:tcPr>
            <w:tcW w:type="dxa" w:w="3300"/>
            <w:tcBorders>
              <w:top w:val="single" w:color="BDC3C7" w:sz="4"/>
              <w:left w:val="single" w:color="BDC3C7" w:sz="4"/>
              <w:bottom w:val="single" w:color="BDC3C7" w:sz="4"/>
              <w:right w:val="single" w:color="BDC3C7" w:sz="4"/>
            </w:tcBorders>
            <w:shd w:fill="F8FBFF" w:val="clear"/>
            <w:tcMar>
              <w:top w:type="dxa" w:w="80"/>
              <w:left w:type="dxa" w:w="140"/>
              <w:bottom w:type="dxa" w:w="80"/>
              <w:right w:type="dxa" w:w="140"/>
            </w:tcMar>
            <w:vAlign w:val="center"/>
          </w:tcPr>
          <w:p>
            <w:pPr>
              <w:jc w:val="left"/>
            </w:pPr>
            <w:r>
              <w:rPr>
                <w:rFonts w:ascii="Calibri" w:cs="Calibri" w:eastAsia="Calibri" w:hAnsi="Calibri"/>
                <w:b/>
                <w:bCs/>
                <w:color w:val="2C3E50"/>
                <w:sz w:val="20"/>
                <w:szCs w:val="20"/>
              </w:rPr>
              <w:t xml:space="preserve">Add lat/lon coordinates</w:t>
            </w:r>
          </w:p>
        </w:tc>
        <w:tc>
          <w:tcPr>
            <w:tcW w:type="dxa" w:w="5560"/>
            <w:tcBorders>
              <w:top w:val="single" w:color="BDC3C7" w:sz="4"/>
              <w:left w:val="single" w:color="BDC3C7" w:sz="4"/>
              <w:bottom w:val="single" w:color="BDC3C7" w:sz="4"/>
              <w:right w:val="single" w:color="BDC3C7" w:sz="4"/>
            </w:tcBorders>
            <w:shd w:fill="F8FBFF" w:val="clear"/>
            <w:tcMar>
              <w:top w:type="dxa" w:w="80"/>
              <w:left w:type="dxa" w:w="140"/>
              <w:bottom w:type="dxa" w:w="80"/>
              <w:right w:type="dxa" w:w="140"/>
            </w:tcMar>
            <w:vAlign w:val="center"/>
          </w:tcPr>
          <w:p>
            <w:pPr>
              <w:jc w:val="left"/>
            </w:pPr>
            <w:r>
              <w:rPr>
                <w:rFonts w:ascii="Calibri" w:cs="Calibri" w:eastAsia="Calibri" w:hAnsi="Calibri"/>
                <w:b w:val="false"/>
                <w:bCs w:val="false"/>
                <w:color w:val="2C3E50"/>
                <w:sz w:val="20"/>
                <w:szCs w:val="20"/>
              </w:rPr>
              <w:t xml:space="preserve">Could push R² from 0.71 to 0.87+ by providing the most granular location signal. Even just distance to city centre or water would help significantly.</w:t>
            </w:r>
          </w:p>
        </w:tc>
      </w:tr>
      <w:tr>
        <w:tc>
          <w:tcPr>
            <w:tcW w:type="dxa" w:w="500"/>
            <w:tcBorders>
              <w:top w:val="single" w:color="BDC3C7" w:sz="4"/>
              <w:left w:val="single" w:color="BDC3C7" w:sz="4"/>
              <w:bottom w:val="single" w:color="BDC3C7" w:sz="4"/>
              <w:right w:val="single" w:color="BDC3C7" w:sz="4"/>
            </w:tcBorders>
            <w:shd w:fill="FDECEA" w:val="clear"/>
            <w:tcMar>
              <w:top w:type="dxa" w:w="80"/>
              <w:left w:type="dxa" w:w="140"/>
              <w:bottom w:type="dxa" w:w="80"/>
              <w:right w:type="dxa" w:w="140"/>
            </w:tcMar>
            <w:vAlign w:val="center"/>
          </w:tcPr>
          <w:p>
            <w:pPr>
              <w:jc w:val="center"/>
            </w:pPr>
            <w:r>
              <w:rPr>
                <w:rFonts w:ascii="Calibri" w:cs="Calibri" w:eastAsia="Calibri" w:hAnsi="Calibri"/>
                <w:b/>
                <w:bCs/>
                <w:color w:val="C0392B"/>
                <w:sz w:val="20"/>
                <w:szCs w:val="20"/>
              </w:rPr>
              <w:t xml:space="preserve">HIGH</w:t>
            </w:r>
          </w:p>
        </w:tc>
        <w:tc>
          <w:tcPr>
            <w:tcW w:type="dxa" w:w="3300"/>
            <w:tcBorders>
              <w:top w:val="single" w:color="BDC3C7" w:sz="4"/>
              <w:left w:val="single" w:color="BDC3C7" w:sz="4"/>
              <w:bottom w:val="single" w:color="BDC3C7" w:sz="4"/>
              <w:right w:val="single" w:color="BDC3C7" w:sz="4"/>
            </w:tcBorders>
            <w:tcMar>
              <w:top w:type="dxa" w:w="80"/>
              <w:left w:type="dxa" w:w="140"/>
              <w:bottom w:type="dxa" w:w="80"/>
              <w:right w:type="dxa" w:w="140"/>
            </w:tcMar>
            <w:vAlign w:val="center"/>
          </w:tcPr>
          <w:p>
            <w:pPr>
              <w:jc w:val="left"/>
            </w:pPr>
            <w:r>
              <w:rPr>
                <w:rFonts w:ascii="Calibri" w:cs="Calibri" w:eastAsia="Calibri" w:hAnsi="Calibri"/>
                <w:b/>
                <w:bCs/>
                <w:color w:val="2C3E50"/>
                <w:sz w:val="20"/>
                <w:szCs w:val="20"/>
              </w:rPr>
              <w:t xml:space="preserve">Try XGBoost or LightGBM</w:t>
            </w:r>
          </w:p>
        </w:tc>
        <w:tc>
          <w:tcPr>
            <w:tcW w:type="dxa" w:w="5560"/>
            <w:tcBorders>
              <w:top w:val="single" w:color="BDC3C7" w:sz="4"/>
              <w:left w:val="single" w:color="BDC3C7" w:sz="4"/>
              <w:bottom w:val="single" w:color="BDC3C7" w:sz="4"/>
              <w:right w:val="single" w:color="BDC3C7" w:sz="4"/>
            </w:tcBorders>
            <w:tcMar>
              <w:top w:type="dxa" w:w="80"/>
              <w:left w:type="dxa" w:w="140"/>
              <w:bottom w:type="dxa" w:w="80"/>
              <w:right w:type="dxa" w:w="140"/>
            </w:tcMar>
            <w:vAlign w:val="center"/>
          </w:tcPr>
          <w:p>
            <w:pPr>
              <w:jc w:val="left"/>
            </w:pPr>
            <w:r>
              <w:rPr>
                <w:rFonts w:ascii="Calibri" w:cs="Calibri" w:eastAsia="Calibri" w:hAnsi="Calibri"/>
                <w:b w:val="false"/>
                <w:bCs w:val="false"/>
                <w:color w:val="2C3E50"/>
                <w:sz w:val="20"/>
                <w:szCs w:val="20"/>
              </w:rPr>
              <w:t xml:space="preserve">Gradient boosted trees typically outperform Random Forest by 3–8 R² points on tabular regression tasks, with better handling of missing values.</w:t>
            </w:r>
          </w:p>
        </w:tc>
      </w:tr>
      <w:tr>
        <w:tc>
          <w:tcPr>
            <w:tcW w:type="dxa" w:w="500"/>
            <w:tcBorders>
              <w:top w:val="single" w:color="BDC3C7" w:sz="4"/>
              <w:left w:val="single" w:color="BDC3C7" w:sz="4"/>
              <w:bottom w:val="single" w:color="BDC3C7" w:sz="4"/>
              <w:right w:val="single" w:color="BDC3C7" w:sz="4"/>
            </w:tcBorders>
            <w:shd w:fill="FFF8E1" w:val="clear"/>
            <w:tcMar>
              <w:top w:type="dxa" w:w="80"/>
              <w:left w:type="dxa" w:w="140"/>
              <w:bottom w:type="dxa" w:w="80"/>
              <w:right w:type="dxa" w:w="140"/>
            </w:tcMar>
            <w:vAlign w:val="center"/>
          </w:tcPr>
          <w:p>
            <w:pPr>
              <w:jc w:val="center"/>
            </w:pPr>
            <w:r>
              <w:rPr>
                <w:rFonts w:ascii="Calibri" w:cs="Calibri" w:eastAsia="Calibri" w:hAnsi="Calibri"/>
                <w:b/>
                <w:bCs/>
                <w:color w:val="E67E22"/>
                <w:sz w:val="20"/>
                <w:szCs w:val="20"/>
              </w:rPr>
              <w:t xml:space="preserve">MEDIUM</w:t>
            </w:r>
          </w:p>
        </w:tc>
        <w:tc>
          <w:tcPr>
            <w:tcW w:type="dxa" w:w="3300"/>
            <w:tcBorders>
              <w:top w:val="single" w:color="BDC3C7" w:sz="4"/>
              <w:left w:val="single" w:color="BDC3C7" w:sz="4"/>
              <w:bottom w:val="single" w:color="BDC3C7" w:sz="4"/>
              <w:right w:val="single" w:color="BDC3C7" w:sz="4"/>
            </w:tcBorders>
            <w:shd w:fill="F8FBFF" w:val="clear"/>
            <w:tcMar>
              <w:top w:type="dxa" w:w="80"/>
              <w:left w:type="dxa" w:w="140"/>
              <w:bottom w:type="dxa" w:w="80"/>
              <w:right w:type="dxa" w:w="140"/>
            </w:tcMar>
            <w:vAlign w:val="center"/>
          </w:tcPr>
          <w:p>
            <w:pPr>
              <w:jc w:val="left"/>
            </w:pPr>
            <w:r>
              <w:rPr>
                <w:rFonts w:ascii="Calibri" w:cs="Calibri" w:eastAsia="Calibri" w:hAnsi="Calibri"/>
                <w:b/>
                <w:bCs/>
                <w:color w:val="2C3E50"/>
                <w:sz w:val="20"/>
                <w:szCs w:val="20"/>
              </w:rPr>
              <w:t xml:space="preserve">Hyperparameter tuning (Random Search)</w:t>
            </w:r>
          </w:p>
        </w:tc>
        <w:tc>
          <w:tcPr>
            <w:tcW w:type="dxa" w:w="5560"/>
            <w:tcBorders>
              <w:top w:val="single" w:color="BDC3C7" w:sz="4"/>
              <w:left w:val="single" w:color="BDC3C7" w:sz="4"/>
              <w:bottom w:val="single" w:color="BDC3C7" w:sz="4"/>
              <w:right w:val="single" w:color="BDC3C7" w:sz="4"/>
            </w:tcBorders>
            <w:shd w:fill="F8FBFF" w:val="clear"/>
            <w:tcMar>
              <w:top w:type="dxa" w:w="80"/>
              <w:left w:type="dxa" w:w="140"/>
              <w:bottom w:type="dxa" w:w="80"/>
              <w:right w:type="dxa" w:w="140"/>
            </w:tcMar>
            <w:vAlign w:val="center"/>
          </w:tcPr>
          <w:p>
            <w:pPr>
              <w:jc w:val="left"/>
            </w:pPr>
            <w:r>
              <w:rPr>
                <w:rFonts w:ascii="Calibri" w:cs="Calibri" w:eastAsia="Calibri" w:hAnsi="Calibri"/>
                <w:b w:val="false"/>
                <w:bCs w:val="false"/>
                <w:color w:val="2C3E50"/>
                <w:sz w:val="20"/>
                <w:szCs w:val="20"/>
              </w:rPr>
              <w:t xml:space="preserve">Using RandomizedSearchCV to optimise n_estimators, max_depth, min_samples_leaf could reduce the train–test overfitting gap and improve test R².</w:t>
            </w:r>
          </w:p>
        </w:tc>
      </w:tr>
      <w:tr>
        <w:tc>
          <w:tcPr>
            <w:tcW w:type="dxa" w:w="500"/>
            <w:tcBorders>
              <w:top w:val="single" w:color="BDC3C7" w:sz="4"/>
              <w:left w:val="single" w:color="BDC3C7" w:sz="4"/>
              <w:bottom w:val="single" w:color="BDC3C7" w:sz="4"/>
              <w:right w:val="single" w:color="BDC3C7" w:sz="4"/>
            </w:tcBorders>
            <w:shd w:fill="FFF8E1" w:val="clear"/>
            <w:tcMar>
              <w:top w:type="dxa" w:w="80"/>
              <w:left w:type="dxa" w:w="140"/>
              <w:bottom w:type="dxa" w:w="80"/>
              <w:right w:type="dxa" w:w="140"/>
            </w:tcMar>
            <w:vAlign w:val="center"/>
          </w:tcPr>
          <w:p>
            <w:pPr>
              <w:jc w:val="center"/>
            </w:pPr>
            <w:r>
              <w:rPr>
                <w:rFonts w:ascii="Calibri" w:cs="Calibri" w:eastAsia="Calibri" w:hAnsi="Calibri"/>
                <w:b/>
                <w:bCs/>
                <w:color w:val="E67E22"/>
                <w:sz w:val="20"/>
                <w:szCs w:val="20"/>
              </w:rPr>
              <w:t xml:space="preserve">MEDIUM</w:t>
            </w:r>
          </w:p>
        </w:tc>
        <w:tc>
          <w:tcPr>
            <w:tcW w:type="dxa" w:w="3300"/>
            <w:tcBorders>
              <w:top w:val="single" w:color="BDC3C7" w:sz="4"/>
              <w:left w:val="single" w:color="BDC3C7" w:sz="4"/>
              <w:bottom w:val="single" w:color="BDC3C7" w:sz="4"/>
              <w:right w:val="single" w:color="BDC3C7" w:sz="4"/>
            </w:tcBorders>
            <w:tcMar>
              <w:top w:type="dxa" w:w="80"/>
              <w:left w:type="dxa" w:w="140"/>
              <w:bottom w:type="dxa" w:w="80"/>
              <w:right w:type="dxa" w:w="140"/>
            </w:tcMar>
            <w:vAlign w:val="center"/>
          </w:tcPr>
          <w:p>
            <w:pPr>
              <w:jc w:val="left"/>
            </w:pPr>
            <w:r>
              <w:rPr>
                <w:rFonts w:ascii="Calibri" w:cs="Calibri" w:eastAsia="Calibri" w:hAnsi="Calibri"/>
                <w:b/>
                <w:bCs/>
                <w:color w:val="2C3E50"/>
                <w:sz w:val="20"/>
                <w:szCs w:val="20"/>
              </w:rPr>
              <w:t xml:space="preserve">Stacking or model blending</w:t>
            </w:r>
          </w:p>
        </w:tc>
        <w:tc>
          <w:tcPr>
            <w:tcW w:type="dxa" w:w="5560"/>
            <w:tcBorders>
              <w:top w:val="single" w:color="BDC3C7" w:sz="4"/>
              <w:left w:val="single" w:color="BDC3C7" w:sz="4"/>
              <w:bottom w:val="single" w:color="BDC3C7" w:sz="4"/>
              <w:right w:val="single" w:color="BDC3C7" w:sz="4"/>
            </w:tcBorders>
            <w:tcMar>
              <w:top w:type="dxa" w:w="80"/>
              <w:left w:type="dxa" w:w="140"/>
              <w:bottom w:type="dxa" w:w="80"/>
              <w:right w:type="dxa" w:w="140"/>
            </w:tcMar>
            <w:vAlign w:val="center"/>
          </w:tcPr>
          <w:p>
            <w:pPr>
              <w:jc w:val="left"/>
            </w:pPr>
            <w:r>
              <w:rPr>
                <w:rFonts w:ascii="Calibri" w:cs="Calibri" w:eastAsia="Calibri" w:hAnsi="Calibri"/>
                <w:b w:val="false"/>
                <w:bCs w:val="false"/>
                <w:color w:val="2C3E50"/>
                <w:sz w:val="20"/>
                <w:szCs w:val="20"/>
              </w:rPr>
              <w:t xml:space="preserve">Combining Ridge and RF predictions as inputs to a meta-learner often outperforms either model alone, leveraging their complementary strengths.</w:t>
            </w:r>
          </w:p>
        </w:tc>
      </w:tr>
      <w:tr>
        <w:tc>
          <w:tcPr>
            <w:tcW w:type="dxa" w:w="500"/>
            <w:tcBorders>
              <w:top w:val="single" w:color="BDC3C7" w:sz="4"/>
              <w:left w:val="single" w:color="BDC3C7" w:sz="4"/>
              <w:bottom w:val="single" w:color="BDC3C7" w:sz="4"/>
              <w:right w:val="single" w:color="BDC3C7" w:sz="4"/>
            </w:tcBorders>
            <w:shd w:fill="F1F8E9" w:val="clear"/>
            <w:tcMar>
              <w:top w:type="dxa" w:w="80"/>
              <w:left w:type="dxa" w:w="140"/>
              <w:bottom w:type="dxa" w:w="80"/>
              <w:right w:type="dxa" w:w="140"/>
            </w:tcMar>
            <w:vAlign w:val="center"/>
          </w:tcPr>
          <w:p>
            <w:pPr>
              <w:jc w:val="center"/>
            </w:pPr>
            <w:r>
              <w:rPr>
                <w:rFonts w:ascii="Calibri" w:cs="Calibri" w:eastAsia="Calibri" w:hAnsi="Calibri"/>
                <w:b/>
                <w:bCs/>
                <w:color w:val="27AE60"/>
                <w:sz w:val="20"/>
                <w:szCs w:val="20"/>
              </w:rPr>
              <w:t xml:space="preserve">LOW</w:t>
            </w:r>
          </w:p>
        </w:tc>
        <w:tc>
          <w:tcPr>
            <w:tcW w:type="dxa" w:w="3300"/>
            <w:tcBorders>
              <w:top w:val="single" w:color="BDC3C7" w:sz="4"/>
              <w:left w:val="single" w:color="BDC3C7" w:sz="4"/>
              <w:bottom w:val="single" w:color="BDC3C7" w:sz="4"/>
              <w:right w:val="single" w:color="BDC3C7" w:sz="4"/>
            </w:tcBorders>
            <w:shd w:fill="F8FBFF" w:val="clear"/>
            <w:tcMar>
              <w:top w:type="dxa" w:w="80"/>
              <w:left w:type="dxa" w:w="140"/>
              <w:bottom w:type="dxa" w:w="80"/>
              <w:right w:type="dxa" w:w="140"/>
            </w:tcMar>
            <w:vAlign w:val="center"/>
          </w:tcPr>
          <w:p>
            <w:pPr>
              <w:jc w:val="left"/>
            </w:pPr>
            <w:r>
              <w:rPr>
                <w:rFonts w:ascii="Calibri" w:cs="Calibri" w:eastAsia="Calibri" w:hAnsi="Calibri"/>
                <w:b/>
                <w:bCs/>
                <w:color w:val="2C3E50"/>
                <w:sz w:val="20"/>
                <w:szCs w:val="20"/>
              </w:rPr>
              <w:t xml:space="preserve">Time-series cross-validation</w:t>
            </w:r>
          </w:p>
        </w:tc>
        <w:tc>
          <w:tcPr>
            <w:tcW w:type="dxa" w:w="5560"/>
            <w:tcBorders>
              <w:top w:val="single" w:color="BDC3C7" w:sz="4"/>
              <w:left w:val="single" w:color="BDC3C7" w:sz="4"/>
              <w:bottom w:val="single" w:color="BDC3C7" w:sz="4"/>
              <w:right w:val="single" w:color="BDC3C7" w:sz="4"/>
            </w:tcBorders>
            <w:shd w:fill="F8FBFF" w:val="clear"/>
            <w:tcMar>
              <w:top w:type="dxa" w:w="80"/>
              <w:left w:type="dxa" w:w="140"/>
              <w:bottom w:type="dxa" w:w="80"/>
              <w:right w:type="dxa" w:w="140"/>
            </w:tcMar>
            <w:vAlign w:val="center"/>
          </w:tcPr>
          <w:p>
            <w:pPr>
              <w:jc w:val="left"/>
            </w:pPr>
            <w:r>
              <w:rPr>
                <w:rFonts w:ascii="Calibri" w:cs="Calibri" w:eastAsia="Calibri" w:hAnsi="Calibri"/>
                <w:b w:val="false"/>
                <w:bCs w:val="false"/>
                <w:color w:val="2C3E50"/>
                <w:sz w:val="20"/>
                <w:szCs w:val="20"/>
              </w:rPr>
              <w:t xml:space="preserve">Training on earlier sales and testing on later ones would simulate a more realistic deployment scenario and reduce temporal data leakage.</w:t>
            </w:r>
          </w:p>
        </w:tc>
      </w:tr>
    </w:tbl>
    <w:p>
      <w:pPr>
        <w:spacing w:after="160" w:before="40"/>
        <w:jc w:val="center"/>
      </w:pPr>
      <w:r>
        <w:rPr>
          <w:rFonts w:ascii="Calibri" w:cs="Calibri" w:eastAsia="Calibri" w:hAnsi="Calibri"/>
          <w:i/>
          <w:iCs/>
          <w:color w:val="7F8C8D"/>
          <w:sz w:val="19"/>
          <w:szCs w:val="19"/>
        </w:rPr>
        <w:t xml:space="preserve">Table 5: Recommended improvements ranked by expected performance impact.</w:t>
      </w:r>
    </w:p>
    <w:p>
      <w:pPr>
        <w:spacing w:after="0" w:before="200"/>
      </w:pPr>
    </w:p>
    <w:p>
      <w:pPr>
        <w:pBdr>
          <w:bottom w:val="single" w:color="1E3A5F" w:sz="4" w:space="1"/>
        </w:pBdr>
        <w:spacing w:after="60" w:before="0"/>
      </w:pPr>
    </w:p>
    <w:p>
      <w:pPr>
        <w:spacing w:after="0" w:before="80"/>
      </w:pPr>
    </w:p>
    <w:p>
      <w:pPr>
        <w:spacing w:after="80" w:before="80"/>
        <w:jc w:val="center"/>
      </w:pPr>
      <w:r>
        <w:rPr>
          <w:rFonts w:ascii="Calibri" w:cs="Calibri" w:eastAsia="Calibri" w:hAnsi="Calibri"/>
          <w:b/>
          <w:bCs/>
          <w:color w:val="7F8C8D"/>
          <w:sz w:val="22"/>
          <w:szCs w:val="22"/>
        </w:rPr>
        <w:t xml:space="preserve">END OF REPORT</w:t>
      </w:r>
      <w:r>
        <w:br/>
      </w:r>
      <w:r>
        <w:rPr>
          <w:rFonts w:ascii="Calibri" w:cs="Calibri" w:eastAsia="Calibri" w:hAnsi="Calibri"/>
          <w:color w:val="AAAAAA"/>
          <w:sz w:val="18"/>
          <w:szCs w:val="18"/>
        </w:rPr>
        <w:t xml:space="preserve">King County House Price Prediction  •  Machine Learning Regression Analysis  •  July 2026</w:t>
      </w:r>
    </w:p>
    <w:p>
      <w:pPr>
        <w:spacing w:after="0" w:before="40"/>
      </w:pP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196F3" w:sz="4" w:space="1"/>
      </w:pBdr>
      <w:spacing w:after="0" w:before="100"/>
      <w:jc w:val="center"/>
    </w:pPr>
    <w:r>
      <w:rPr>
        <w:rFonts w:ascii="Calibri" w:cs="Calibri" w:eastAsia="Calibri" w:hAnsi="Calibri"/>
        <w:color w:val="7F8C8D"/>
        <w:sz w:val="18"/>
        <w:szCs w:val="18"/>
      </w:rPr>
      <w:t xml:space="preserve">Page </w:t>
    </w:r>
    <w:r>
      <w:rPr>
        <w:rFonts w:ascii="Calibri" w:cs="Calibri" w:eastAsia="Calibri" w:hAnsi="Calibri"/>
        <w:color w:val="7F8C8D"/>
        <w:sz w:val="18"/>
        <w:szCs w:val="18"/>
      </w:rPr>
      <w:fldChar w:fldCharType="begin"/>
      <w:instrText xml:space="preserve">PAGE</w:instrText>
      <w:fldChar w:fldCharType="separate"/>
      <w:fldChar w:fldCharType="end"/>
    </w:r>
    <w:r>
      <w:rPr>
        <w:rFonts w:ascii="Calibri" w:cs="Calibri" w:eastAsia="Calibri" w:hAnsi="Calibri"/>
        <w:color w:val="7F8C8D"/>
        <w:sz w:val="18"/>
        <w:szCs w:val="18"/>
      </w:rPr>
      <w:t xml:space="preserve"> of </w:t>
    </w:r>
    <w:r>
      <w:rPr>
        <w:rFonts w:ascii="Calibri" w:cs="Calibri" w:eastAsia="Calibri" w:hAnsi="Calibri"/>
        <w:color w:val="7F8C8D"/>
        <w:sz w:val="18"/>
        <w:szCs w:val="18"/>
      </w:rPr>
      <w:fldChar w:fldCharType="begin"/>
      <w:instrText xml:space="preserve">NUMPAGES</w:instrText>
      <w:fldChar w:fldCharType="separate"/>
      <w:fldChar w:fldCharType="end"/>
    </w:r>
    <w:r>
      <w:rPr>
        <w:rFonts w:ascii="Calibri" w:cs="Calibri" w:eastAsia="Calibri" w:hAnsi="Calibri"/>
        <w:color w:val="AAAAAA"/>
        <w:sz w:val="18"/>
        <w:szCs w:val="18"/>
      </w:rPr>
      <w:t xml:space="preserve">        King County Real Estate Analysis  |  July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196F3" w:sz="4" w:space="1"/>
      </w:pBdr>
      <w:spacing w:after="100" w:before="0"/>
      <w:jc w:val="right"/>
    </w:pPr>
    <w:r>
      <w:rPr>
        <w:rFonts w:ascii="Calibri" w:cs="Calibri" w:eastAsia="Calibri" w:hAnsi="Calibri"/>
        <w:color w:val="7F8C8D"/>
        <w:sz w:val="18"/>
        <w:szCs w:val="18"/>
      </w:rPr>
      <w:t xml:space="preserve">House Price Prediction  |  ML Regression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Calibri" w:cs="Calibri" w:eastAsia="Calibri" w:hAnsi="Calibri"/>
      <w:b/>
      <w:bCs/>
      <w:color w:val="1E3A5F"/>
      <w:sz w:val="36"/>
      <w:szCs w:val="36"/>
    </w:rPr>
  </w:style>
  <w:style w:type="paragraph" w:styleId="Heading2">
    <w:name w:val="Heading 2"/>
    <w:basedOn w:val="Normal"/>
    <w:next w:val="Normal"/>
    <w:qFormat/>
    <w:pPr>
      <w:spacing w:after="120" w:before="320"/>
      <w:outlineLvl w:val="1"/>
    </w:pPr>
    <w:rPr>
      <w:rFonts w:ascii="Calibri" w:cs="Calibri" w:eastAsia="Calibri" w:hAnsi="Calibri"/>
      <w:b/>
      <w:bCs/>
      <w:color w:val="2471A3"/>
      <w:sz w:val="28"/>
      <w:szCs w:val="28"/>
    </w:rPr>
  </w:style>
  <w:style w:type="paragraph" w:styleId="Heading3">
    <w:name w:val="Heading 3"/>
    <w:basedOn w:val="Normal"/>
    <w:next w:val="Normal"/>
    <w:qFormat/>
    <w:pPr>
      <w:spacing w:after="80" w:before="240"/>
      <w:outlineLvl w:val="2"/>
    </w:pPr>
    <w:rPr>
      <w:rFonts w:ascii="Calibri" w:cs="Calibri" w:eastAsia="Calibri" w:hAnsi="Calibri"/>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21a48fe1b76ff42212cc3b692dd4518d69bdd4a.png"/><Relationship Id="rId10" Type="http://schemas.openxmlformats.org/officeDocument/2006/relationships/image" Target="media/53dcfe98062af181b0f5cf3652a0f1b4e8d4d9b5.png"/><Relationship Id="rId11" Type="http://schemas.openxmlformats.org/officeDocument/2006/relationships/image" Target="media/9e781456bc4a2b8ee667cb7dda6d8fcc4f22dcde.png"/><Relationship Id="rId12" Type="http://schemas.openxmlformats.org/officeDocument/2006/relationships/image" Target="media/453fdd655820aa43354bc8039f039014f524ec31.png"/><Relationship Id="rId13" Type="http://schemas.openxmlformats.org/officeDocument/2006/relationships/image" Target="media/69fe8bb9eb888016ddd42b8b7c5f9dc5d183a1cb.png"/><Relationship Id="rId14" Type="http://schemas.openxmlformats.org/officeDocument/2006/relationships/image" Target="media/55031aba0680a8fb36f84f9ec14c2384c56ca9ff.png"/><Relationship Id="rId15" Type="http://schemas.openxmlformats.org/officeDocument/2006/relationships/image" Target="media/ee965f7f52da607ccc2c0238cfb381fe06dc8fc7.png"/><Relationship Id="rId16" Type="http://schemas.openxmlformats.org/officeDocument/2006/relationships/image" Target="media/770a1dfd9a96b8619fb9e39b5a2fc486d019ba68.png"/><Relationship Id="rId17" Type="http://schemas.openxmlformats.org/officeDocument/2006/relationships/image" Target="media/f1e5099ae50d511128ec0c4f873409e238bf847e.png"/><Relationship Id="rId18" Type="http://schemas.openxmlformats.org/officeDocument/2006/relationships/image" Target="media/df329915714039456d4cf8132594dada0031d22d.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2026-07-01T18:57:02.369Z</dcterms:created>
  <dcterms:modified xsi:type="dcterms:W3CDTF">2026-07-01T18:57:02.370Z</dcterms:modified>
</cp:coreProperties>
</file>

<file path=docProps/custom.xml><?xml version="1.0" encoding="utf-8"?>
<Properties xmlns="http://schemas.openxmlformats.org/officeDocument/2006/custom-properties" xmlns:vt="http://schemas.openxmlformats.org/officeDocument/2006/docPropsVTypes"/>
</file>