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" w:hAnsi="Calibri"/>
          <w:b/>
          <w:color w:val="0F2A4A"/>
          <w:sz w:val="34"/>
        </w:rPr>
        <w:t>Project Health &amp; Status Report</w:t>
      </w:r>
      <w:r>
        <w:rPr>
          <w:rFonts w:ascii="Calibri" w:hAnsi="Calibri"/>
          <w:b/>
          <w:color w:val="B8860B"/>
          <w:sz w:val="24"/>
        </w:rPr>
        <w:t xml:space="preserve"> | PTB-STS-001  ·  Live status · 40% complete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One-page status the leaders actually read: red, amber or green against the approved schedule and budget baseline, with the variance in numbers — not adjectives. The programme is ~Month 10 of 24 (40% elapsed); earned progress of 40% is ~10% behind the ~50% planned, and the phase budget is ~12% over plan.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9"/>
        <w:gridCol w:w="7699"/>
      </w:tblGrid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Document ID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PTB-STS-001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Status / RAG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AMBER — LAGGING (schedule and cost red)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Progress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40% complete against the 24-month roadmap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Schedule variance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EV 40% vs PV ≈ 50% ⇒ SV −10%; SPI ≈ 0.80 (critical path / heavy activities)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Budget variance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~12% actual vs planned phase budget (CV −12%, CPI ≈ 0.89)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Reported to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Project Sponsor (Sheikh Moeen Akhtar) and Executive Steering</w:t>
            </w:r>
          </w:p>
        </w:tc>
      </w:tr>
    </w:tbl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 1 — Project Overview &amp; Executive Summary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Scope: 7 controlled deliverables (D1–D7) / 48 work packages. Schedule: ~Month 10 of 24 (40% elapsed); earned ~40% is ~10% behind the ~50% planned, concentrated on heavy/critical-path activities. Budget: approved USD 11.5M CAPEX / 27.5M TCO envelope; phase actual ~12% over plan. USD 0 released until DEC-02.</w:t>
      </w:r>
    </w:p>
    <w:p>
      <w:pPr>
        <w:spacing w:before="0" w:after="40"/>
      </w:pPr>
      <w:r>
        <w:rPr>
          <w:rFonts w:ascii="Calibri" w:hAnsi="Calibri"/>
          <w:b w:val="0"/>
          <w:sz w:val="21"/>
        </w:rPr>
        <w:t>Executive summary (bad news first): schedule lag ~10% on the critical path and ~12% budget variance are the headline concerns. Immediate Sponsor decisions (DEC-01 effective date, DEC-02 funding release, DEC-03 delegation) are required to fund and authorise recovery.</w:t>
      </w:r>
    </w:p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Sections 3–4 — Progress &amp; Schedule (Critical Path)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Variance in numbers: EV 40% vs PV ≈ 50% ⇒ SV −10%; SPI ≈ 0.80. Basis: the ~50% PV at Month 10 reflects the time-phased baseline’s front-loaded critical-path profile (D1/D2 heavy foundation work scheduled early), not elapsed-proportional phasing. M2 foundation (D2) ~2 months late; M3 copilot pilot (D3) slipping ~2–3 months behind plan (heavy activity).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0"/>
        <w:gridCol w:w="3080"/>
        <w:gridCol w:w="3080"/>
        <w:gridCol w:w="3080"/>
        <w:gridCol w:w="3080"/>
      </w:tblGrid>
      <w:tr>
        <w:tc>
          <w:tcPr>
            <w:tcW w:type="dxa" w:w="2948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Milestone / deliverable</w:t>
            </w:r>
          </w:p>
        </w:tc>
        <w:tc>
          <w:tcPr>
            <w:tcW w:type="dxa" w:w="1247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Baseline</w:t>
            </w:r>
          </w:p>
        </w:tc>
        <w:tc>
          <w:tcPr>
            <w:tcW w:type="dxa" w:w="374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Actual / status</w:t>
            </w:r>
          </w:p>
        </w:tc>
        <w:tc>
          <w:tcPr>
            <w:tcW w:type="dxa" w:w="1587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Variance</w:t>
            </w:r>
          </w:p>
        </w:tc>
        <w:tc>
          <w:tcPr>
            <w:tcW w:type="dxa" w:w="1474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94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 Schedule baseline approved</w:t>
            </w:r>
          </w:p>
        </w:tc>
        <w:tc>
          <w:tcPr>
            <w:tcW w:type="dxa" w:w="124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M1</w:t>
            </w:r>
          </w:p>
        </w:tc>
        <w:tc>
          <w:tcPr>
            <w:tcW w:type="dxa" w:w="374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Approved</w:t>
            </w:r>
          </w:p>
        </w:tc>
        <w:tc>
          <w:tcPr>
            <w:tcW w:type="dxa" w:w="158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On track</w:t>
            </w:r>
          </w:p>
        </w:tc>
        <w:tc>
          <w:tcPr>
            <w:tcW w:type="dxa" w:w="147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OK</w:t>
            </w:r>
          </w:p>
        </w:tc>
      </w:tr>
      <w:tr>
        <w:tc>
          <w:tcPr>
            <w:tcW w:type="dxa" w:w="294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M1 Charter &amp; funding gate</w:t>
            </w:r>
          </w:p>
        </w:tc>
        <w:tc>
          <w:tcPr>
            <w:tcW w:type="dxa" w:w="124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M02</w:t>
            </w:r>
          </w:p>
        </w:tc>
        <w:tc>
          <w:tcPr>
            <w:tcW w:type="dxa" w:w="374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Approved; funding release open</w:t>
            </w:r>
          </w:p>
        </w:tc>
        <w:tc>
          <w:tcPr>
            <w:tcW w:type="dxa" w:w="158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47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OK</w:t>
            </w:r>
          </w:p>
        </w:tc>
      </w:tr>
      <w:tr>
        <w:tc>
          <w:tcPr>
            <w:tcW w:type="dxa" w:w="294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M2 Foundation accepted (D2)</w:t>
            </w:r>
          </w:p>
        </w:tc>
        <w:tc>
          <w:tcPr>
            <w:tcW w:type="dxa" w:w="124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M04</w:t>
            </w:r>
          </w:p>
        </w:tc>
        <w:tc>
          <w:tcPr>
            <w:tcW w:type="dxa" w:w="374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Partially complete; data/vendor open</w:t>
            </w:r>
          </w:p>
        </w:tc>
        <w:tc>
          <w:tcPr>
            <w:tcW w:type="dxa" w:w="158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~2 mo late</w:t>
            </w:r>
          </w:p>
        </w:tc>
        <w:tc>
          <w:tcPr>
            <w:tcW w:type="dxa" w:w="147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RED</w:t>
            </w:r>
          </w:p>
        </w:tc>
      </w:tr>
      <w:tr>
        <w:tc>
          <w:tcPr>
            <w:tcW w:type="dxa" w:w="294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M3 Copilot pilot live (D3)</w:t>
            </w:r>
          </w:p>
        </w:tc>
        <w:tc>
          <w:tcPr>
            <w:tcW w:type="dxa" w:w="124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M07</w:t>
            </w:r>
          </w:p>
        </w:tc>
        <w:tc>
          <w:tcPr>
            <w:tcW w:type="dxa" w:w="374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Slipping (heavy activity)</w:t>
            </w:r>
          </w:p>
        </w:tc>
        <w:tc>
          <w:tcPr>
            <w:tcW w:type="dxa" w:w="158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~2–3 mo late</w:t>
            </w:r>
          </w:p>
        </w:tc>
        <w:tc>
          <w:tcPr>
            <w:tcW w:type="dxa" w:w="147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RED</w:t>
            </w:r>
          </w:p>
        </w:tc>
      </w:tr>
      <w:tr>
        <w:tc>
          <w:tcPr>
            <w:tcW w:type="dxa" w:w="294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M4 Customer assistant (D4)</w:t>
            </w:r>
          </w:p>
        </w:tc>
        <w:tc>
          <w:tcPr>
            <w:tcW w:type="dxa" w:w="124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M11</w:t>
            </w:r>
          </w:p>
        </w:tc>
        <w:tc>
          <w:tcPr>
            <w:tcW w:type="dxa" w:w="374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At risk with D3</w:t>
            </w:r>
          </w:p>
        </w:tc>
        <w:tc>
          <w:tcPr>
            <w:tcW w:type="dxa" w:w="158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Attributable</w:t>
            </w:r>
          </w:p>
        </w:tc>
        <w:tc>
          <w:tcPr>
            <w:tcW w:type="dxa" w:w="147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AMBER</w:t>
            </w:r>
          </w:p>
        </w:tc>
      </w:tr>
    </w:tbl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 5 — Cost &amp; Variance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Relation of variance: the ~12% cost variance tracks the ~10% schedule lag — heavy/critical-path work is costing more than planned. Reported in numbers (CV −12%, CPI ≈ 0.89), governed by the approved envelope, routed to the Sponsor (DEC-02/DEC-03), never absorbed silently.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49"/>
        <w:gridCol w:w="3849"/>
        <w:gridCol w:w="3849"/>
        <w:gridCol w:w="3849"/>
      </w:tblGrid>
      <w:tr>
        <w:tc>
          <w:tcPr>
            <w:tcW w:type="dxa" w:w="3969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Measure</w:t>
            </w:r>
          </w:p>
        </w:tc>
        <w:tc>
          <w:tcPr>
            <w:tcW w:type="dxa" w:w="340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Value</w:t>
            </w:r>
          </w:p>
        </w:tc>
        <w:tc>
          <w:tcPr>
            <w:tcW w:type="dxa" w:w="3969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Variance (numbers)</w:t>
            </w:r>
          </w:p>
        </w:tc>
        <w:tc>
          <w:tcPr>
            <w:tcW w:type="dxa" w:w="2268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Planned Budget (phase)</w:t>
            </w:r>
          </w:p>
        </w:tc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100% plan</w:t>
            </w:r>
          </w:p>
        </w:tc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  <w:tc>
          <w:tcPr>
            <w:tcW w:type="dxa" w:w="226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OK</w:t>
            </w:r>
          </w:p>
        </w:tc>
      </w:tr>
      <w:tr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Actual Cost (AC)</w:t>
            </w:r>
          </w:p>
        </w:tc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actuals from Finance</w:t>
            </w:r>
          </w:p>
        </w:tc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~12% over plan</w:t>
            </w:r>
          </w:p>
        </w:tc>
        <w:tc>
          <w:tcPr>
            <w:tcW w:type="dxa" w:w="226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RED</w:t>
            </w:r>
          </w:p>
        </w:tc>
      </w:tr>
      <w:tr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Cost Variance (CV)</w:t>
            </w:r>
          </w:p>
        </w:tc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EV − AC</w:t>
            </w:r>
          </w:p>
        </w:tc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~12% negative</w:t>
            </w:r>
          </w:p>
        </w:tc>
        <w:tc>
          <w:tcPr>
            <w:tcW w:type="dxa" w:w="226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RED</w:t>
            </w:r>
          </w:p>
        </w:tc>
      </w:tr>
      <w:tr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Cost Performance Index (CPI)</w:t>
            </w:r>
          </w:p>
        </w:tc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≈ 0.89</w:t>
            </w:r>
          </w:p>
        </w:tc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−11%</w:t>
            </w:r>
          </w:p>
        </w:tc>
        <w:tc>
          <w:tcPr>
            <w:tcW w:type="dxa" w:w="226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RED</w:t>
            </w:r>
          </w:p>
        </w:tc>
      </w:tr>
      <w:tr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Contingency use</w:t>
            </w:r>
          </w:p>
        </w:tc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being consumed</w:t>
            </w:r>
          </w:p>
        </w:tc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early-burn flag</w:t>
            </w:r>
          </w:p>
        </w:tc>
        <w:tc>
          <w:tcPr>
            <w:tcW w:type="dxa" w:w="226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AMBER</w:t>
            </w:r>
          </w:p>
        </w:tc>
      </w:tr>
    </w:tbl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 6 — Risks, Issues &amp; Decisions Needed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What moved/fired on the register and what was done; then the 2–3 Sponsor-only calls, stated plainly with a recommendation.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33"/>
        <w:gridCol w:w="5133"/>
        <w:gridCol w:w="5133"/>
      </w:tblGrid>
      <w:tr>
        <w:tc>
          <w:tcPr>
            <w:tcW w:type="dxa" w:w="340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Risk / issue</w:t>
            </w:r>
          </w:p>
        </w:tc>
        <w:tc>
          <w:tcPr>
            <w:tcW w:type="dxa" w:w="3061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Current</w:t>
            </w:r>
          </w:p>
        </w:tc>
        <w:tc>
          <w:tcPr>
            <w:tcW w:type="dxa" w:w="7144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Action taken / recommendation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Integration failure (D2)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FIRED — foundation slip</w:t>
            </w:r>
          </w:p>
        </w:tc>
        <w:tc>
          <w:tcPr>
            <w:tcW w:type="dxa" w:w="714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Front-load API/data profiling; DEC-10 catch-up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Vendor / platform slip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RISING — no vendor yet</w:t>
            </w:r>
          </w:p>
        </w:tc>
        <w:tc>
          <w:tcPr>
            <w:tcW w:type="dxa" w:w="714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Early sourcing; Sponsor decision DEC-07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Staff / capacity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RISING — staffing open</w:t>
            </w:r>
          </w:p>
        </w:tc>
        <w:tc>
          <w:tcPr>
            <w:tcW w:type="dxa" w:w="714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DEC-05/DEC-06 appointments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Hallucination / model risk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MONITORING</w:t>
            </w:r>
          </w:p>
        </w:tc>
        <w:tc>
          <w:tcPr>
            <w:tcW w:type="dxa" w:w="714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Retrieval + handoff controls; pilot gates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Regulator concern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MONITORING</w:t>
            </w:r>
          </w:p>
        </w:tc>
        <w:tc>
          <w:tcPr>
            <w:tcW w:type="dxa" w:w="714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Compliance evidence pack; DEC-09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sz w:val="21"/>
        </w:rPr>
        <w:t>Decisions needed (Sponsor only): DEC-01 record effective date · DEC-02 release initial phase funding · DEC-03 delegate PM authority to act on the recovery. The report recommends, the Sponsor decides.</w:t>
      </w:r>
    </w:p>
    <w:sectPr w:rsidR="00FC693F" w:rsidRPr="0006063C" w:rsidSect="00034616">
      <w:headerReference w:type="default" r:id="rId9"/>
      <w:footerReference w:type="default" r:id="rId10"/>
      <w:pgSz w:w="16838" w:h="11906"/>
      <w:pgMar w:top="720" w:right="720" w:bottom="720" w:left="72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Calibri" w:hAnsi="Calibri"/>
        <w:b w:val="0"/>
        <w:color w:val="808A9B"/>
        <w:sz w:val="17"/>
      </w:rPr>
      <w:t xml:space="preserve">PTB-STS-001  ·  </w:t>
    </w:r>
    <w:r>
      <w:rPr>
        <w:rFonts w:ascii="Calibri" w:hAnsi="Calibri"/>
        <w:color w:val="808A9B"/>
        <w:sz w:val="17"/>
      </w:rPr>
      <w:t xml:space="preserve">Page </w:t>
    </w:r>
    <w:fldSimple w:instr="PAGE">
      <w:r>
        <w:rPr>
          <w:sz w:val="17"/>
          <w:color w:val="808A9B"/>
        </w:rPr>
        <w:t>1</w:t>
      </w:r>
    </w:fldSimple>
    <w:r>
      <w:rPr>
        <w:rFonts w:ascii="Calibri" w:hAnsi="Calibri"/>
        <w:b w:val="0"/>
        <w:color w:val="808A9B"/>
        <w:sz w:val="17"/>
      </w:rPr>
      <w:t xml:space="preserve">  ·  Pole Trust Bank — Synthetic Classroom Case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/>
        <w:b/>
        <w:color w:val="146B6E"/>
        <w:sz w:val="18"/>
      </w:rPr>
      <w:t>Pole Trust Bank — Integrated AI Banking Implementation Ecosystem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