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2A4A"/>
          <w:sz w:val="34"/>
        </w:rPr>
        <w:t>Project Health &amp; Status Report</w:t>
      </w:r>
      <w:r>
        <w:rPr>
          <w:rFonts w:ascii="Calibri" w:hAnsi="Calibri"/>
          <w:b/>
          <w:color w:val="B8860B"/>
          <w:sz w:val="24"/>
        </w:rPr>
        <w:t xml:space="preserve"> | PTB-STS-001  ·  Live status · 40% complete</w:t>
      </w:r>
    </w:p>
    <w:p>
      <w:pPr>
        <w:spacing w:before="60" w:after="40"/>
      </w:pPr>
      <w:r>
        <w:rPr>
          <w:rFonts w:ascii="Calibri" w:hAnsi="Calibri"/>
          <w:b w:val="0"/>
          <w:color w:val="555555"/>
          <w:sz w:val="22"/>
        </w:rPr>
        <w:t>One-page status the leaders actually read: red, amber or green against the approved schedule and budget baseline, with the variance in numbers — not adjectives. Progress is 40%; the programme is lagging ~10% on the critical path and ~12% over the planned phase budget.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PTB-STS-001</w:t>
            </w:r>
          </w:p>
        </w:tc>
      </w:tr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Status / RAG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AMBER — LAGGING (schedule and cost red)</w:t>
            </w:r>
          </w:p>
        </w:tc>
      </w:tr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Progress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40% overall vs 24-month roadmap (≈ month 9–10)</w:t>
            </w:r>
          </w:p>
        </w:tc>
      </w:tr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Schedule variance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~10% behind plan on critical path / heavy activities (SV −10%, SPI ≈ 0.80)</w:t>
            </w:r>
          </w:p>
        </w:tc>
      </w:tr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Budget variance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~12% actual vs planned phase budget (CV −12%, CPI ≈ 0.89)</w:t>
            </w:r>
          </w:p>
        </w:tc>
      </w:tr>
      <w:tr>
        <w:tc>
          <w:tcPr>
            <w:tcW w:type="dxa" w:w="2551"/>
            <w:shd w:val="clear" w:color="auto" w:fill="EAF0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Reported to</w:t>
            </w:r>
          </w:p>
        </w:tc>
        <w:tc>
          <w:tcPr>
            <w:tcW w:type="dxa" w:w="12927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Project Sponsor (Sheikh Moeen Akhtar) and Executive Steering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1 — Project Overview &amp; Executive Summary</w:t>
      </w:r>
    </w:p>
    <w:p>
      <w:pPr>
        <w:spacing w:before="60" w:after="40"/>
      </w:pPr>
      <w:r>
        <w:rPr>
          <w:rFonts w:ascii="Calibri" w:hAnsi="Calibri"/>
          <w:b w:val="0"/>
          <w:color w:val="555555"/>
          <w:sz w:val="22"/>
        </w:rPr>
        <w:t>Scope: 7 controlled deliverables (D1–D7) / 48 work packages. Schedule: 24-month critical path, ~40% elapsed, behind on heavy activities. Budget: approved USD 11.5M CAPEX / 27.5M TCO envelope; phase actual ~12% over plan. USD 0 released until DEC-02.</w:t>
      </w:r>
    </w:p>
    <w:p>
      <w:pPr>
        <w:spacing w:before="0" w:after="40"/>
      </w:pPr>
      <w:r>
        <w:rPr>
          <w:rFonts w:ascii="Calibri" w:hAnsi="Calibri"/>
          <w:b w:val="0"/>
          <w:sz w:val="21"/>
        </w:rPr>
        <w:t>Executive summary (bad news first): schedule lag ~10% on the critical path and ~12% budget variance are the headline concerns. Immediate Sponsor decisions (DEC-01 effective date, DEC-02 funding release, DEC-03 delegation) are required to fund and authorise recovery.</w:t>
      </w:r>
    </w:p>
    <w:p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Sections 3–4 — Progress &amp; Schedule (Critical Path)</w:t>
      </w:r>
    </w:p>
    <w:p>
      <w:pPr>
        <w:spacing w:before="60" w:after="40"/>
      </w:pPr>
      <w:r>
        <w:rPr>
          <w:rFonts w:ascii="Calibri" w:hAnsi="Calibri"/>
          <w:b w:val="0"/>
          <w:color w:val="555555"/>
          <w:sz w:val="22"/>
        </w:rPr>
        <w:t>Variance in numbers: EV 40% vs PV ≈ 50% ⇒ SV −10%; SPI ≈ 0.80. M2 foundation (D2) ~2 months late; M3 copilot pilot (D3) slipping ~2–3 months behind plan (heavy activity).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  <w:gridCol w:w="3080"/>
        <w:gridCol w:w="3080"/>
      </w:tblGrid>
      <w:tr>
        <w:tc>
          <w:tcPr>
            <w:tcW w:type="dxa" w:w="2948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/ deliverable</w:t>
            </w:r>
          </w:p>
        </w:tc>
        <w:tc>
          <w:tcPr>
            <w:tcW w:type="dxa" w:w="1247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3742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Actual / status</w:t>
            </w:r>
          </w:p>
        </w:tc>
        <w:tc>
          <w:tcPr>
            <w:tcW w:type="dxa" w:w="1587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Variance</w:t>
            </w:r>
          </w:p>
        </w:tc>
        <w:tc>
          <w:tcPr>
            <w:tcW w:type="dxa" w:w="1474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94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M0 Schedule baseline approved</w:t>
            </w:r>
          </w:p>
        </w:tc>
        <w:tc>
          <w:tcPr>
            <w:tcW w:type="dxa" w:w="124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M1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Approved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On track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</w:tr>
      <w:tr>
        <w:tc>
          <w:tcPr>
            <w:tcW w:type="dxa" w:w="2948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M1 Charter &amp; funding gate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M02</w:t>
            </w:r>
          </w:p>
        </w:tc>
        <w:tc>
          <w:tcPr>
            <w:tcW w:type="dxa" w:w="374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Approved; funding release open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474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</w:tr>
      <w:tr>
        <w:tc>
          <w:tcPr>
            <w:tcW w:type="dxa" w:w="294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M2 Foundation accepted (D2)</w:t>
            </w:r>
          </w:p>
        </w:tc>
        <w:tc>
          <w:tcPr>
            <w:tcW w:type="dxa" w:w="124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M04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Partially complete; data/vendor open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~2 mo late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RED</w:t>
            </w:r>
          </w:p>
        </w:tc>
      </w:tr>
      <w:tr>
        <w:tc>
          <w:tcPr>
            <w:tcW w:type="dxa" w:w="2948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M3 Copilot pilot live (D3)</w:t>
            </w:r>
          </w:p>
        </w:tc>
        <w:tc>
          <w:tcPr>
            <w:tcW w:type="dxa" w:w="1247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M07</w:t>
            </w:r>
          </w:p>
        </w:tc>
        <w:tc>
          <w:tcPr>
            <w:tcW w:type="dxa" w:w="374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Slipping (heavy activity)</w:t>
            </w:r>
          </w:p>
        </w:tc>
        <w:tc>
          <w:tcPr>
            <w:tcW w:type="dxa" w:w="1587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~2–3 mo late</w:t>
            </w:r>
          </w:p>
        </w:tc>
        <w:tc>
          <w:tcPr>
            <w:tcW w:type="dxa" w:w="1474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RED</w:t>
            </w:r>
          </w:p>
        </w:tc>
      </w:tr>
      <w:tr>
        <w:tc>
          <w:tcPr>
            <w:tcW w:type="dxa" w:w="294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M4 Customer assistant (D4)</w:t>
            </w:r>
          </w:p>
        </w:tc>
        <w:tc>
          <w:tcPr>
            <w:tcW w:type="dxa" w:w="124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M11</w:t>
            </w:r>
          </w:p>
        </w:tc>
        <w:tc>
          <w:tcPr>
            <w:tcW w:type="dxa" w:w="374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At risk with D3</w:t>
            </w:r>
          </w:p>
        </w:tc>
        <w:tc>
          <w:tcPr>
            <w:tcW w:type="dxa" w:w="1587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Attributable</w:t>
            </w:r>
          </w:p>
        </w:tc>
        <w:tc>
          <w:tcPr>
            <w:tcW w:type="dxa" w:w="147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AMBER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5 — Cost &amp; Variance</w:t>
      </w:r>
    </w:p>
    <w:p>
      <w:pPr>
        <w:spacing w:before="60" w:after="40"/>
      </w:pPr>
      <w:r>
        <w:rPr>
          <w:rFonts w:ascii="Calibri" w:hAnsi="Calibri"/>
          <w:b w:val="0"/>
          <w:color w:val="555555"/>
          <w:sz w:val="22"/>
        </w:rPr>
        <w:t>Relation of variance: the ~12% cost variance tracks the ~10% schedule delay — heavy/critical-path work is costing more than planned. Reported in numbers (CV −12%, CPI ≈ 0.89), governed by the approved envelope, routed to the Sponsor (DEC-02/DEC-03), never absorbed silently.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3969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3402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969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Variance (numbers)</w:t>
            </w:r>
          </w:p>
        </w:tc>
        <w:tc>
          <w:tcPr>
            <w:tcW w:type="dxa" w:w="2268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Planned Budget (phase)</w:t>
            </w:r>
          </w:p>
        </w:tc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100% plan</w:t>
            </w:r>
          </w:p>
        </w:tc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</w:tr>
      <w:tr>
        <w:tc>
          <w:tcPr>
            <w:tcW w:type="dxa" w:w="3969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Actual Cost (AC)</w:t>
            </w:r>
          </w:p>
        </w:tc>
        <w:tc>
          <w:tcPr>
            <w:tcW w:type="dxa" w:w="340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actuals from Finance</w:t>
            </w:r>
          </w:p>
        </w:tc>
        <w:tc>
          <w:tcPr>
            <w:tcW w:type="dxa" w:w="3969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~12% over plan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RED</w:t>
            </w:r>
          </w:p>
        </w:tc>
      </w:tr>
      <w:tr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Cost Variance (CV)</w:t>
            </w:r>
          </w:p>
        </w:tc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EV − AC</w:t>
            </w:r>
          </w:p>
        </w:tc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~12% negative</w:t>
            </w:r>
          </w:p>
        </w:tc>
        <w:tc>
          <w:tcPr>
            <w:tcW w:type="dxa" w:w="226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RED</w:t>
            </w:r>
          </w:p>
        </w:tc>
      </w:tr>
      <w:tr>
        <w:tc>
          <w:tcPr>
            <w:tcW w:type="dxa" w:w="3969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Cost Performance Index (CPI)</w:t>
            </w:r>
          </w:p>
        </w:tc>
        <w:tc>
          <w:tcPr>
            <w:tcW w:type="dxa" w:w="340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≈ 0.89</w:t>
            </w:r>
          </w:p>
        </w:tc>
        <w:tc>
          <w:tcPr>
            <w:tcW w:type="dxa" w:w="3969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−11%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RED</w:t>
            </w:r>
          </w:p>
        </w:tc>
      </w:tr>
      <w:tr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Contingency use</w:t>
            </w:r>
          </w:p>
        </w:tc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being consumed</w:t>
            </w:r>
          </w:p>
        </w:tc>
        <w:tc>
          <w:tcPr>
            <w:tcW w:type="dxa" w:w="3969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early-burn flag</w:t>
            </w:r>
          </w:p>
        </w:tc>
        <w:tc>
          <w:tcPr>
            <w:tcW w:type="dxa" w:w="2268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AMBER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6 — Risks, Issues &amp; Decisions Needed</w:t>
      </w:r>
    </w:p>
    <w:p>
      <w:pPr>
        <w:spacing w:before="60" w:after="40"/>
      </w:pPr>
      <w:r>
        <w:rPr>
          <w:rFonts w:ascii="Calibri" w:hAnsi="Calibri"/>
          <w:b w:val="0"/>
          <w:color w:val="555555"/>
          <w:sz w:val="22"/>
        </w:rPr>
        <w:t>What moved/fired on the register and what was done; then the 2–3 Sponsor-only calls, stated plainly with a recommendation.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3402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Risk / issue</w:t>
            </w:r>
          </w:p>
        </w:tc>
        <w:tc>
          <w:tcPr>
            <w:tcW w:type="dxa" w:w="3061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7144"/>
            <w:shd w:val="clear" w:color="auto" w:fill="0F2A4A"/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Action taken / recommendation</w:t>
            </w:r>
          </w:p>
        </w:tc>
      </w:tr>
      <w:tr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Integration failure (D2)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FIRED — foundation slip</w:t>
            </w:r>
          </w:p>
        </w:tc>
        <w:tc>
          <w:tcPr>
            <w:tcW w:type="dxa" w:w="714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Front-load API/data profiling; DEC-10 catch-up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Vendor / platform slip</w:t>
            </w:r>
          </w:p>
        </w:tc>
        <w:tc>
          <w:tcPr>
            <w:tcW w:type="dxa" w:w="3061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RISING — no vendor yet</w:t>
            </w:r>
          </w:p>
        </w:tc>
        <w:tc>
          <w:tcPr>
            <w:tcW w:type="dxa" w:w="7144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Early sourcing; Sponsor decision DEC-07</w:t>
            </w:r>
          </w:p>
        </w:tc>
      </w:tr>
      <w:tr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Staff / capacity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RISING — staffing open</w:t>
            </w:r>
          </w:p>
        </w:tc>
        <w:tc>
          <w:tcPr>
            <w:tcW w:type="dxa" w:w="714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DEC-05/DEC-06 appointments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Hallucination / model risk</w:t>
            </w:r>
          </w:p>
        </w:tc>
        <w:tc>
          <w:tcPr>
            <w:tcW w:type="dxa" w:w="3061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MONITORING</w:t>
            </w:r>
          </w:p>
        </w:tc>
        <w:tc>
          <w:tcPr>
            <w:tcW w:type="dxa" w:w="7144"/>
            <w:shd w:val="clear" w:color="auto" w:fill="F4F7FA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Retrieval + handoff controls; pilot gates</w:t>
            </w:r>
          </w:p>
        </w:tc>
      </w:tr>
      <w:tr>
        <w:tc>
          <w:tcPr>
            <w:tcW w:type="dxa" w:w="3402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Regulator concern</w:t>
            </w:r>
          </w:p>
        </w:tc>
        <w:tc>
          <w:tcPr>
            <w:tcW w:type="dxa" w:w="3061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MONITORING</w:t>
            </w:r>
          </w:p>
        </w:tc>
        <w:tc>
          <w:tcPr>
            <w:tcW w:type="dxa" w:w="7144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9"/>
              </w:rPr>
              <w:t>Compliance evidence pack; DEC-09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sz w:val="21"/>
        </w:rPr>
        <w:t>Decisions needed (Sponsor only): DEC-01 record effective date · DEC-02 release initial phase funding · DEC-03 delegate PM authority to act on the recovery. The report recommends, the Sponsor decides.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20" w:right="720" w:bottom="720" w:left="72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color w:val="808A9B"/>
        <w:sz w:val="17"/>
      </w:rPr>
      <w:t xml:space="preserve">PTB-STS-001  ·  </w:t>
    </w:r>
    <w:r>
      <w:rPr>
        <w:rFonts w:ascii="Calibri" w:hAnsi="Calibri"/>
        <w:color w:val="808A9B"/>
        <w:sz w:val="17"/>
      </w:rPr>
      <w:t xml:space="preserve">Page </w:t>
    </w:r>
    <w:fldSimple w:instr="PAGE">
      <w:r>
        <w:rPr>
          <w:sz w:val="17"/>
          <w:color w:val="808A9B"/>
        </w:rPr>
        <w:t>1</w:t>
      </w:r>
    </w:fldSimple>
    <w:r>
      <w:rPr>
        <w:rFonts w:ascii="Calibri" w:hAnsi="Calibri"/>
        <w:b w:val="0"/>
        <w:color w:val="808A9B"/>
        <w:sz w:val="17"/>
      </w:rPr>
      <w:t xml:space="preserve">  ·  Pole Trust Bank — Synthetic Classroom Case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146B6E"/>
        <w:sz w:val="18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