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09B" w:rsidRDefault="00122112" w:rsidP="00956F53">
      <w:pPr>
        <w:spacing w:after="40"/>
        <w:jc w:val="center"/>
      </w:pPr>
      <w:r>
        <w:rPr>
          <w:b/>
          <w:color w:val="0F2A4A"/>
          <w:sz w:val="34"/>
        </w:rPr>
        <w:t>Business Case &amp; Feasibility Study</w:t>
      </w:r>
      <w:r w:rsidR="00956F53">
        <w:rPr>
          <w:b/>
          <w:color w:val="0F2A4A"/>
          <w:sz w:val="34"/>
        </w:rPr>
        <w:t xml:space="preserve"> | </w:t>
      </w:r>
      <w:r w:rsidR="00E72A6B">
        <w:rPr>
          <w:b/>
          <w:color w:val="B8860B"/>
          <w:sz w:val="28"/>
        </w:rPr>
        <w:t>PTB-BCFS-001 -</w:t>
      </w:r>
      <w:r w:rsidRPr="00956F53">
        <w:rPr>
          <w:b/>
          <w:color w:val="B8860B"/>
          <w:sz w:val="28"/>
        </w:rPr>
        <w:t xml:space="preserve"> </w:t>
      </w:r>
      <w:r w:rsidRPr="00956F53">
        <w:rPr>
          <w:b/>
          <w:color w:val="B8860B"/>
          <w:sz w:val="28"/>
        </w:rPr>
        <w:t>Baseline Approved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7597"/>
      </w:tblGrid>
      <w:tr w:rsidR="0063509B">
        <w:tc>
          <w:tcPr>
            <w:tcW w:w="2608" w:type="dxa"/>
            <w:shd w:val="clear" w:color="auto" w:fill="EAF0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0F2A4A"/>
                <w:sz w:val="17"/>
              </w:rPr>
              <w:t>Document ID</w:t>
            </w:r>
          </w:p>
        </w:tc>
        <w:tc>
          <w:tcPr>
            <w:tcW w:w="75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PTB-BCFS-001</w:t>
            </w:r>
          </w:p>
        </w:tc>
      </w:tr>
      <w:tr w:rsidR="0063509B">
        <w:tc>
          <w:tcPr>
            <w:tcW w:w="2608" w:type="dxa"/>
            <w:shd w:val="clear" w:color="auto" w:fill="EAF0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0F2A4A"/>
                <w:sz w:val="17"/>
              </w:rPr>
              <w:t>Version / date</w:t>
            </w:r>
          </w:p>
        </w:tc>
        <w:tc>
          <w:tcPr>
            <w:tcW w:w="75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Source-locked 31 July 2026 · baseline approved 2 August 2026</w:t>
            </w:r>
          </w:p>
        </w:tc>
      </w:tr>
      <w:tr w:rsidR="0063509B">
        <w:tc>
          <w:tcPr>
            <w:tcW w:w="2608" w:type="dxa"/>
            <w:shd w:val="clear" w:color="auto" w:fill="EAF0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0F2A4A"/>
                <w:sz w:val="17"/>
              </w:rPr>
              <w:t>Status</w:t>
            </w:r>
          </w:p>
        </w:tc>
        <w:tc>
          <w:tcPr>
            <w:tcW w:w="75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 xml:space="preserve">Four-document pack approved · WBS correction </w:t>
            </w:r>
            <w:r>
              <w:rPr>
                <w:sz w:val="17"/>
              </w:rPr>
              <w:t>incorporated 3 August 2026</w:t>
            </w:r>
          </w:p>
        </w:tc>
      </w:tr>
      <w:tr w:rsidR="0063509B">
        <w:tc>
          <w:tcPr>
            <w:tcW w:w="2608" w:type="dxa"/>
            <w:shd w:val="clear" w:color="auto" w:fill="EAF0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0F2A4A"/>
                <w:sz w:val="17"/>
              </w:rPr>
              <w:t>Organization</w:t>
            </w:r>
          </w:p>
        </w:tc>
        <w:tc>
          <w:tcPr>
            <w:tcW w:w="75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Pole Trust Bank, Toronto, Canada (synthetic classroom case)</w:t>
            </w:r>
          </w:p>
        </w:tc>
      </w:tr>
      <w:tr w:rsidR="0063509B">
        <w:tc>
          <w:tcPr>
            <w:tcW w:w="2608" w:type="dxa"/>
            <w:shd w:val="clear" w:color="auto" w:fill="EAF0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0F2A4A"/>
                <w:sz w:val="17"/>
              </w:rPr>
              <w:t>Project Sponsor</w:t>
            </w:r>
          </w:p>
        </w:tc>
        <w:tc>
          <w:tcPr>
            <w:tcW w:w="75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Sheikh Moeen Akhtar</w:t>
            </w:r>
            <w:bookmarkStart w:id="0" w:name="_GoBack"/>
            <w:bookmarkEnd w:id="0"/>
          </w:p>
        </w:tc>
      </w:tr>
      <w:tr w:rsidR="0063509B">
        <w:tc>
          <w:tcPr>
            <w:tcW w:w="2608" w:type="dxa"/>
            <w:shd w:val="clear" w:color="auto" w:fill="EAF0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0F2A4A"/>
                <w:sz w:val="17"/>
              </w:rPr>
              <w:t>Project/Program Manager</w:t>
            </w:r>
          </w:p>
        </w:tc>
        <w:tc>
          <w:tcPr>
            <w:tcW w:w="75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Salman Zaman (working role accepted)</w:t>
            </w:r>
          </w:p>
        </w:tc>
      </w:tr>
      <w:tr w:rsidR="0063509B">
        <w:tc>
          <w:tcPr>
            <w:tcW w:w="2608" w:type="dxa"/>
            <w:shd w:val="clear" w:color="auto" w:fill="EAF0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0F2A4A"/>
                <w:sz w:val="17"/>
              </w:rPr>
              <w:t>Decision required</w:t>
            </w:r>
          </w:p>
        </w:tc>
        <w:tc>
          <w:tcPr>
            <w:tcW w:w="75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Select one of five BC/FS pairs as the</w:t>
            </w:r>
            <w:r>
              <w:rPr>
                <w:sz w:val="17"/>
              </w:rPr>
              <w:t xml:space="preserve"> priority initiative</w:t>
            </w:r>
          </w:p>
        </w:tc>
      </w:tr>
      <w:tr w:rsidR="0063509B">
        <w:tc>
          <w:tcPr>
            <w:tcW w:w="2608" w:type="dxa"/>
            <w:shd w:val="clear" w:color="auto" w:fill="EAF0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0F2A4A"/>
                <w:sz w:val="17"/>
              </w:rPr>
              <w:t>Decision outcome</w:t>
            </w:r>
          </w:p>
        </w:tc>
        <w:tc>
          <w:tcPr>
            <w:tcW w:w="75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sz w:val="17"/>
              </w:rPr>
              <w:t>Pair 5 — Integrated AI Banking Implementation Ecosystem (APPROVED)</w:t>
            </w:r>
          </w:p>
        </w:tc>
      </w:tr>
    </w:tbl>
    <w:p w:rsidR="0063509B" w:rsidRPr="00956F53" w:rsidRDefault="00122112">
      <w:pPr>
        <w:spacing w:after="80"/>
        <w:rPr>
          <w:sz w:val="21"/>
        </w:rPr>
      </w:pPr>
      <w:r w:rsidRPr="00956F53">
        <w:rPr>
          <w:i/>
          <w:color w:val="555555"/>
        </w:rPr>
        <w:t>Operating context: 2.1M customers · 4,800 employees · 160 branches · 5 regional markets · 88% of executives rate AI a strategic priority · digital-su</w:t>
      </w:r>
      <w:r w:rsidRPr="00956F53">
        <w:rPr>
          <w:i/>
          <w:color w:val="555555"/>
        </w:rPr>
        <w:t>pport demand growing 18% annually · 25–35% of repetitive workflows are AI-assistable.</w:t>
      </w:r>
    </w:p>
    <w:p w:rsidR="0063509B" w:rsidRDefault="0063509B">
      <w:pPr>
        <w:pBdr>
          <w:bottom w:val="single" w:sz="8" w:space="1" w:color="B8860B"/>
        </w:pBdr>
        <w:spacing w:after="40"/>
      </w:pPr>
    </w:p>
    <w:p w:rsidR="0063509B" w:rsidRDefault="00122112">
      <w:pPr>
        <w:keepNext/>
        <w:spacing w:before="160" w:after="80"/>
      </w:pPr>
      <w:r>
        <w:rPr>
          <w:b/>
          <w:color w:val="0F2A4A"/>
          <w:sz w:val="26"/>
        </w:rPr>
        <w:t>1. Selection Method &amp; Weighted Criteria</w:t>
      </w:r>
    </w:p>
    <w:p w:rsidR="0063509B" w:rsidRDefault="00122112">
      <w:pPr>
        <w:spacing w:after="80"/>
      </w:pPr>
      <w:r>
        <w:t>Each option is rated 1 (weak) to 5 (very strong); weighted points = rating ÷ 5 × weight. Scores are comparative judgments on supp</w:t>
      </w:r>
      <w:r>
        <w:t>lied evidence only — not certainty of delivery.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247"/>
        <w:gridCol w:w="6009"/>
      </w:tblGrid>
      <w:tr w:rsidR="0063509B">
        <w:trPr>
          <w:jc w:val="center"/>
        </w:trPr>
        <w:tc>
          <w:tcPr>
            <w:tcW w:w="2948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w="1247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center"/>
            </w:pPr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w="6009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FFFFFF"/>
                <w:sz w:val="17"/>
              </w:rPr>
              <w:t>Evidence tested</w:t>
            </w:r>
          </w:p>
        </w:tc>
      </w:tr>
      <w:tr w:rsidR="0063509B">
        <w:trPr>
          <w:jc w:val="center"/>
        </w:trPr>
        <w:tc>
          <w:tcPr>
            <w:tcW w:w="29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Strategic alignment</w:t>
            </w:r>
          </w:p>
        </w:tc>
        <w:tc>
          <w:tcPr>
            <w:tcW w:w="124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20%</w:t>
            </w:r>
          </w:p>
        </w:tc>
        <w:tc>
          <w:tcPr>
            <w:tcW w:w="6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Digital transformation, customer experience, risk, leadership decisions</w:t>
            </w:r>
          </w:p>
        </w:tc>
      </w:tr>
      <w:tr w:rsidR="0063509B">
        <w:trPr>
          <w:jc w:val="center"/>
        </w:trPr>
        <w:tc>
          <w:tcPr>
            <w:tcW w:w="2948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Business impact</w:t>
            </w:r>
          </w:p>
        </w:tc>
        <w:tc>
          <w:tcPr>
            <w:tcW w:w="1247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20%</w:t>
            </w:r>
          </w:p>
        </w:tc>
        <w:tc>
          <w:tcPr>
            <w:tcW w:w="6009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 xml:space="preserve">Cost, revenue, risk reduction, productivity, customer </w:t>
            </w:r>
            <w:r>
              <w:rPr>
                <w:sz w:val="17"/>
              </w:rPr>
              <w:t>outcomes</w:t>
            </w:r>
          </w:p>
        </w:tc>
      </w:tr>
      <w:tr w:rsidR="0063509B">
        <w:trPr>
          <w:jc w:val="center"/>
        </w:trPr>
        <w:tc>
          <w:tcPr>
            <w:tcW w:w="29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Technical feasibility</w:t>
            </w:r>
          </w:p>
        </w:tc>
        <w:tc>
          <w:tcPr>
            <w:tcW w:w="124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15%</w:t>
            </w:r>
          </w:p>
        </w:tc>
        <w:tc>
          <w:tcPr>
            <w:tcW w:w="6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Architecture, data readiness, integration, security realism</w:t>
            </w:r>
          </w:p>
        </w:tc>
      </w:tr>
      <w:tr w:rsidR="0063509B">
        <w:trPr>
          <w:jc w:val="center"/>
        </w:trPr>
        <w:tc>
          <w:tcPr>
            <w:tcW w:w="2948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Operational feasibility</w:t>
            </w:r>
          </w:p>
        </w:tc>
        <w:tc>
          <w:tcPr>
            <w:tcW w:w="1247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15%</w:t>
            </w:r>
          </w:p>
        </w:tc>
        <w:tc>
          <w:tcPr>
            <w:tcW w:w="6009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Readiness, change impact, training, adoption likelihood</w:t>
            </w:r>
          </w:p>
        </w:tc>
      </w:tr>
      <w:tr w:rsidR="0063509B">
        <w:trPr>
          <w:jc w:val="center"/>
        </w:trPr>
        <w:tc>
          <w:tcPr>
            <w:tcW w:w="29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Economic feasibility</w:t>
            </w:r>
          </w:p>
        </w:tc>
        <w:tc>
          <w:tcPr>
            <w:tcW w:w="124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15%</w:t>
            </w:r>
          </w:p>
        </w:tc>
        <w:tc>
          <w:tcPr>
            <w:tcW w:w="6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CAPEX, OPEX, TCO, NPV, ROI horizon, sensitivity</w:t>
            </w:r>
          </w:p>
        </w:tc>
      </w:tr>
      <w:tr w:rsidR="0063509B">
        <w:trPr>
          <w:jc w:val="center"/>
        </w:trPr>
        <w:tc>
          <w:tcPr>
            <w:tcW w:w="2948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Risk &amp; compliance</w:t>
            </w:r>
          </w:p>
        </w:tc>
        <w:tc>
          <w:tcPr>
            <w:tcW w:w="1247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10%</w:t>
            </w:r>
          </w:p>
        </w:tc>
        <w:tc>
          <w:tcPr>
            <w:tcW w:w="6009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Privacy, regulatory, model, bias, operational controls</w:t>
            </w:r>
          </w:p>
        </w:tc>
      </w:tr>
      <w:tr w:rsidR="0063509B">
        <w:trPr>
          <w:jc w:val="center"/>
        </w:trPr>
        <w:tc>
          <w:tcPr>
            <w:tcW w:w="29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Scalability &amp; time to value</w:t>
            </w:r>
          </w:p>
        </w:tc>
        <w:tc>
          <w:tcPr>
            <w:tcW w:w="124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5%</w:t>
            </w:r>
          </w:p>
        </w:tc>
        <w:tc>
          <w:tcPr>
            <w:tcW w:w="6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Enterprise reach and credible early benefits</w:t>
            </w:r>
          </w:p>
        </w:tc>
      </w:tr>
    </w:tbl>
    <w:p w:rsidR="0063509B" w:rsidRDefault="00122112">
      <w:pPr>
        <w:keepNext/>
        <w:spacing w:before="160" w:after="80"/>
      </w:pPr>
      <w:r>
        <w:rPr>
          <w:b/>
          <w:color w:val="0F2A4A"/>
          <w:sz w:val="26"/>
        </w:rPr>
        <w:t>2. Five-Option Weighted Assessment (rating / weighted points)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964"/>
        <w:gridCol w:w="964"/>
        <w:gridCol w:w="964"/>
        <w:gridCol w:w="964"/>
        <w:gridCol w:w="964"/>
        <w:gridCol w:w="794"/>
        <w:gridCol w:w="794"/>
        <w:gridCol w:w="794"/>
        <w:gridCol w:w="624"/>
      </w:tblGrid>
      <w:tr w:rsidR="0063509B">
        <w:trPr>
          <w:jc w:val="center"/>
        </w:trPr>
        <w:tc>
          <w:tcPr>
            <w:tcW w:w="2381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FFFFFF"/>
                <w:sz w:val="17"/>
              </w:rPr>
              <w:t>Option</w:t>
            </w:r>
          </w:p>
        </w:tc>
        <w:tc>
          <w:tcPr>
            <w:tcW w:w="964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center"/>
            </w:pPr>
            <w:r>
              <w:rPr>
                <w:b/>
                <w:color w:val="FFFFFF"/>
                <w:sz w:val="17"/>
              </w:rPr>
              <w:t>Strategic 20%</w:t>
            </w:r>
          </w:p>
        </w:tc>
        <w:tc>
          <w:tcPr>
            <w:tcW w:w="964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center"/>
            </w:pPr>
            <w:r>
              <w:rPr>
                <w:b/>
                <w:color w:val="FFFFFF"/>
                <w:sz w:val="17"/>
              </w:rPr>
              <w:t>Impact 20%</w:t>
            </w:r>
          </w:p>
        </w:tc>
        <w:tc>
          <w:tcPr>
            <w:tcW w:w="964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center"/>
            </w:pPr>
            <w:r>
              <w:rPr>
                <w:b/>
                <w:color w:val="FFFFFF"/>
                <w:sz w:val="17"/>
              </w:rPr>
              <w:t>Technical 15%</w:t>
            </w:r>
          </w:p>
        </w:tc>
        <w:tc>
          <w:tcPr>
            <w:tcW w:w="964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center"/>
            </w:pPr>
            <w:r>
              <w:rPr>
                <w:b/>
                <w:color w:val="FFFFFF"/>
                <w:sz w:val="17"/>
              </w:rPr>
              <w:t>Operational 15%</w:t>
            </w:r>
          </w:p>
        </w:tc>
        <w:tc>
          <w:tcPr>
            <w:tcW w:w="964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center"/>
            </w:pPr>
            <w:r>
              <w:rPr>
                <w:b/>
                <w:color w:val="FFFFFF"/>
                <w:sz w:val="17"/>
              </w:rPr>
              <w:t>Economic 15%</w:t>
            </w:r>
          </w:p>
        </w:tc>
        <w:tc>
          <w:tcPr>
            <w:tcW w:w="794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center"/>
            </w:pPr>
            <w:r>
              <w:rPr>
                <w:b/>
                <w:color w:val="FFFFFF"/>
                <w:sz w:val="17"/>
              </w:rPr>
              <w:t>Risk 10%</w:t>
            </w:r>
          </w:p>
        </w:tc>
        <w:tc>
          <w:tcPr>
            <w:tcW w:w="794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center"/>
            </w:pPr>
            <w:r>
              <w:rPr>
                <w:b/>
                <w:color w:val="FFFFFF"/>
                <w:sz w:val="17"/>
              </w:rPr>
              <w:t>Scale 5%</w:t>
            </w:r>
          </w:p>
        </w:tc>
        <w:tc>
          <w:tcPr>
            <w:tcW w:w="794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center"/>
            </w:pPr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w="624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center"/>
            </w:pPr>
            <w:r>
              <w:rPr>
                <w:b/>
                <w:color w:val="FFFFFF"/>
                <w:sz w:val="17"/>
              </w:rPr>
              <w:t>Rank</w:t>
            </w:r>
          </w:p>
        </w:tc>
      </w:tr>
      <w:tr w:rsidR="0063509B">
        <w:trPr>
          <w:jc w:val="center"/>
        </w:trPr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1 · Digital Assistant</w:t>
            </w:r>
          </w:p>
        </w:tc>
        <w:tc>
          <w:tcPr>
            <w:tcW w:w="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4/16</w:t>
            </w:r>
          </w:p>
        </w:tc>
        <w:tc>
          <w:tcPr>
            <w:tcW w:w="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4/16</w:t>
            </w:r>
          </w:p>
        </w:tc>
        <w:tc>
          <w:tcPr>
            <w:tcW w:w="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4/12</w:t>
            </w:r>
          </w:p>
        </w:tc>
        <w:tc>
          <w:tcPr>
            <w:tcW w:w="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4/12</w:t>
            </w:r>
          </w:p>
        </w:tc>
        <w:tc>
          <w:tcPr>
            <w:tcW w:w="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4/12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4/8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4/4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80</w:t>
            </w:r>
          </w:p>
        </w:tc>
        <w:tc>
          <w:tcPr>
            <w:tcW w:w="6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2</w:t>
            </w:r>
          </w:p>
        </w:tc>
      </w:tr>
      <w:tr w:rsidR="0063509B">
        <w:trPr>
          <w:jc w:val="center"/>
        </w:trPr>
        <w:tc>
          <w:tcPr>
            <w:tcW w:w="2381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2 · Lending Support</w:t>
            </w:r>
          </w:p>
        </w:tc>
        <w:tc>
          <w:tcPr>
            <w:tcW w:w="96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4/16</w:t>
            </w:r>
          </w:p>
        </w:tc>
        <w:tc>
          <w:tcPr>
            <w:tcW w:w="96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5/20</w:t>
            </w:r>
          </w:p>
        </w:tc>
        <w:tc>
          <w:tcPr>
            <w:tcW w:w="96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3/9</w:t>
            </w:r>
          </w:p>
        </w:tc>
        <w:tc>
          <w:tcPr>
            <w:tcW w:w="96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3/9</w:t>
            </w:r>
          </w:p>
        </w:tc>
        <w:tc>
          <w:tcPr>
            <w:tcW w:w="96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4/12</w:t>
            </w:r>
          </w:p>
        </w:tc>
        <w:tc>
          <w:tcPr>
            <w:tcW w:w="79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2/4</w:t>
            </w:r>
          </w:p>
        </w:tc>
        <w:tc>
          <w:tcPr>
            <w:tcW w:w="79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3/3</w:t>
            </w:r>
          </w:p>
        </w:tc>
        <w:tc>
          <w:tcPr>
            <w:tcW w:w="79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73</w:t>
            </w:r>
          </w:p>
        </w:tc>
        <w:tc>
          <w:tcPr>
            <w:tcW w:w="62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=3</w:t>
            </w:r>
          </w:p>
        </w:tc>
      </w:tr>
      <w:tr w:rsidR="0063509B">
        <w:trPr>
          <w:jc w:val="center"/>
        </w:trPr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3 · Fraud Enhancement</w:t>
            </w:r>
          </w:p>
        </w:tc>
        <w:tc>
          <w:tcPr>
            <w:tcW w:w="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4/16</w:t>
            </w:r>
          </w:p>
        </w:tc>
        <w:tc>
          <w:tcPr>
            <w:tcW w:w="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5/20</w:t>
            </w:r>
          </w:p>
        </w:tc>
        <w:tc>
          <w:tcPr>
            <w:tcW w:w="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3/9</w:t>
            </w:r>
          </w:p>
        </w:tc>
        <w:tc>
          <w:tcPr>
            <w:tcW w:w="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3/9</w:t>
            </w:r>
          </w:p>
        </w:tc>
        <w:tc>
          <w:tcPr>
            <w:tcW w:w="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4/12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2/4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3/3</w:t>
            </w:r>
          </w:p>
        </w:tc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73</w:t>
            </w:r>
          </w:p>
        </w:tc>
        <w:tc>
          <w:tcPr>
            <w:tcW w:w="6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=3</w:t>
            </w:r>
          </w:p>
        </w:tc>
      </w:tr>
      <w:tr w:rsidR="0063509B">
        <w:trPr>
          <w:jc w:val="center"/>
        </w:trPr>
        <w:tc>
          <w:tcPr>
            <w:tcW w:w="2381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 xml:space="preserve">4 · </w:t>
            </w:r>
            <w:r>
              <w:rPr>
                <w:sz w:val="17"/>
              </w:rPr>
              <w:t>Internal Copilot</w:t>
            </w:r>
          </w:p>
        </w:tc>
        <w:tc>
          <w:tcPr>
            <w:tcW w:w="96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3/12</w:t>
            </w:r>
          </w:p>
        </w:tc>
        <w:tc>
          <w:tcPr>
            <w:tcW w:w="96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3/12</w:t>
            </w:r>
          </w:p>
        </w:tc>
        <w:tc>
          <w:tcPr>
            <w:tcW w:w="96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5/15</w:t>
            </w:r>
          </w:p>
        </w:tc>
        <w:tc>
          <w:tcPr>
            <w:tcW w:w="96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5/15</w:t>
            </w:r>
          </w:p>
        </w:tc>
        <w:tc>
          <w:tcPr>
            <w:tcW w:w="96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2/6</w:t>
            </w:r>
          </w:p>
        </w:tc>
        <w:tc>
          <w:tcPr>
            <w:tcW w:w="79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4/8</w:t>
            </w:r>
          </w:p>
        </w:tc>
        <w:tc>
          <w:tcPr>
            <w:tcW w:w="79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4/4</w:t>
            </w:r>
          </w:p>
        </w:tc>
        <w:tc>
          <w:tcPr>
            <w:tcW w:w="79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72</w:t>
            </w:r>
          </w:p>
        </w:tc>
        <w:tc>
          <w:tcPr>
            <w:tcW w:w="62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5</w:t>
            </w:r>
          </w:p>
        </w:tc>
      </w:tr>
      <w:tr w:rsidR="0063509B">
        <w:trPr>
          <w:jc w:val="center"/>
        </w:trPr>
        <w:tc>
          <w:tcPr>
            <w:tcW w:w="2381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sz w:val="17"/>
              </w:rPr>
              <w:t>5 · Integrated Ecosystem</w:t>
            </w:r>
          </w:p>
        </w:tc>
        <w:tc>
          <w:tcPr>
            <w:tcW w:w="964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b/>
                <w:sz w:val="17"/>
              </w:rPr>
              <w:t>5/20</w:t>
            </w:r>
          </w:p>
        </w:tc>
        <w:tc>
          <w:tcPr>
            <w:tcW w:w="964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b/>
                <w:sz w:val="17"/>
              </w:rPr>
              <w:t>5/20</w:t>
            </w:r>
          </w:p>
        </w:tc>
        <w:tc>
          <w:tcPr>
            <w:tcW w:w="964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b/>
                <w:sz w:val="17"/>
              </w:rPr>
              <w:t>4/12</w:t>
            </w:r>
          </w:p>
        </w:tc>
        <w:tc>
          <w:tcPr>
            <w:tcW w:w="964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b/>
                <w:sz w:val="17"/>
              </w:rPr>
              <w:t>4/12</w:t>
            </w:r>
          </w:p>
        </w:tc>
        <w:tc>
          <w:tcPr>
            <w:tcW w:w="964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b/>
                <w:sz w:val="17"/>
              </w:rPr>
              <w:t>5/15</w:t>
            </w:r>
          </w:p>
        </w:tc>
        <w:tc>
          <w:tcPr>
            <w:tcW w:w="794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b/>
                <w:sz w:val="17"/>
              </w:rPr>
              <w:t>4/8</w:t>
            </w:r>
          </w:p>
        </w:tc>
        <w:tc>
          <w:tcPr>
            <w:tcW w:w="794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b/>
                <w:sz w:val="17"/>
              </w:rPr>
              <w:t>5/5</w:t>
            </w:r>
          </w:p>
        </w:tc>
        <w:tc>
          <w:tcPr>
            <w:tcW w:w="794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b/>
                <w:sz w:val="17"/>
              </w:rPr>
              <w:t>92</w:t>
            </w:r>
          </w:p>
        </w:tc>
        <w:tc>
          <w:tcPr>
            <w:tcW w:w="624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b/>
                <w:sz w:val="17"/>
              </w:rPr>
              <w:t>1</w:t>
            </w:r>
          </w:p>
        </w:tc>
      </w:tr>
    </w:tbl>
    <w:p w:rsidR="0063509B" w:rsidRPr="00956F53" w:rsidRDefault="00122112">
      <w:pPr>
        <w:spacing w:after="80"/>
        <w:rPr>
          <w:sz w:val="21"/>
        </w:rPr>
      </w:pPr>
      <w:r w:rsidRPr="00956F53">
        <w:rPr>
          <w:i/>
          <w:color w:val="555555"/>
        </w:rPr>
        <w:t xml:space="preserve">Decisive gap: Pair 5 leads the next-best option by 12 weighted points — the only option scoring 5/5 on the two highest-weighted criteria </w:t>
      </w:r>
      <w:r w:rsidRPr="00956F53">
        <w:rPr>
          <w:i/>
          <w:color w:val="555555"/>
        </w:rPr>
        <w:t>(strategic + impact).</w:t>
      </w:r>
    </w:p>
    <w:p w:rsidR="0063509B" w:rsidRDefault="00122112">
      <w:pPr>
        <w:keepNext/>
        <w:spacing w:before="160" w:after="80"/>
      </w:pPr>
      <w:r>
        <w:rPr>
          <w:b/>
          <w:color w:val="0F2A4A"/>
          <w:sz w:val="26"/>
        </w:rPr>
        <w:t>3. Financial Cross-Check (source package)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1134"/>
        <w:gridCol w:w="1134"/>
        <w:gridCol w:w="1247"/>
        <w:gridCol w:w="1134"/>
        <w:gridCol w:w="1474"/>
        <w:gridCol w:w="1134"/>
      </w:tblGrid>
      <w:tr w:rsidR="0063509B">
        <w:trPr>
          <w:jc w:val="center"/>
        </w:trPr>
        <w:tc>
          <w:tcPr>
            <w:tcW w:w="2608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FFFFFF"/>
                <w:sz w:val="17"/>
              </w:rPr>
              <w:t>Pair</w:t>
            </w:r>
          </w:p>
        </w:tc>
        <w:tc>
          <w:tcPr>
            <w:tcW w:w="1134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center"/>
            </w:pPr>
            <w:r>
              <w:rPr>
                <w:b/>
                <w:color w:val="FFFFFF"/>
                <w:sz w:val="17"/>
              </w:rPr>
              <w:t>CAPEX</w:t>
            </w:r>
          </w:p>
        </w:tc>
        <w:tc>
          <w:tcPr>
            <w:tcW w:w="1134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center"/>
            </w:pPr>
            <w:r>
              <w:rPr>
                <w:b/>
                <w:color w:val="FFFFFF"/>
                <w:sz w:val="17"/>
              </w:rPr>
              <w:t>Ann. OPEX</w:t>
            </w:r>
          </w:p>
        </w:tc>
        <w:tc>
          <w:tcPr>
            <w:tcW w:w="1247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center"/>
            </w:pPr>
            <w:r>
              <w:rPr>
                <w:b/>
                <w:color w:val="FFFFFF"/>
                <w:sz w:val="17"/>
              </w:rPr>
              <w:t>5-yr TCO</w:t>
            </w:r>
          </w:p>
        </w:tc>
        <w:tc>
          <w:tcPr>
            <w:tcW w:w="1134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center"/>
            </w:pPr>
            <w:r>
              <w:rPr>
                <w:b/>
                <w:color w:val="FFFFFF"/>
                <w:sz w:val="17"/>
              </w:rPr>
              <w:t>5-yr NPV</w:t>
            </w:r>
          </w:p>
        </w:tc>
        <w:tc>
          <w:tcPr>
            <w:tcW w:w="1474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FFFFFF"/>
                <w:sz w:val="17"/>
              </w:rPr>
              <w:t>ROI horizon</w:t>
            </w:r>
          </w:p>
        </w:tc>
        <w:tc>
          <w:tcPr>
            <w:tcW w:w="1134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FFFFFF"/>
                <w:sz w:val="17"/>
              </w:rPr>
              <w:t>Schedule</w:t>
            </w:r>
          </w:p>
        </w:tc>
      </w:tr>
      <w:tr w:rsidR="0063509B">
        <w:trPr>
          <w:jc w:val="center"/>
        </w:trPr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1 · Digital Assistant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$3.5M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$1.2M</w:t>
            </w:r>
          </w:p>
        </w:tc>
        <w:tc>
          <w:tcPr>
            <w:tcW w:w="124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$9.5M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+$1.8M</w:t>
            </w:r>
          </w:p>
        </w:tc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18–24 mo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12 mo</w:t>
            </w:r>
          </w:p>
        </w:tc>
      </w:tr>
      <w:tr w:rsidR="0063509B">
        <w:trPr>
          <w:jc w:val="center"/>
        </w:trPr>
        <w:tc>
          <w:tcPr>
            <w:tcW w:w="2608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2 · Lending Support</w:t>
            </w:r>
          </w:p>
        </w:tc>
        <w:tc>
          <w:tcPr>
            <w:tcW w:w="113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$6.2M</w:t>
            </w:r>
          </w:p>
        </w:tc>
        <w:tc>
          <w:tcPr>
            <w:tcW w:w="113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$1.8M</w:t>
            </w:r>
          </w:p>
        </w:tc>
        <w:tc>
          <w:tcPr>
            <w:tcW w:w="1247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$15.2M</w:t>
            </w:r>
          </w:p>
        </w:tc>
        <w:tc>
          <w:tcPr>
            <w:tcW w:w="113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+$3.1M</w:t>
            </w:r>
          </w:p>
        </w:tc>
        <w:tc>
          <w:tcPr>
            <w:tcW w:w="147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24–30 mo</w:t>
            </w:r>
          </w:p>
        </w:tc>
        <w:tc>
          <w:tcPr>
            <w:tcW w:w="113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15 mo</w:t>
            </w:r>
          </w:p>
        </w:tc>
      </w:tr>
      <w:tr w:rsidR="0063509B">
        <w:trPr>
          <w:jc w:val="center"/>
        </w:trPr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 xml:space="preserve">3 · </w:t>
            </w:r>
            <w:r>
              <w:rPr>
                <w:sz w:val="17"/>
              </w:rPr>
              <w:t>Fraud Enhancement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$7.8M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$2.2M</w:t>
            </w:r>
          </w:p>
        </w:tc>
        <w:tc>
          <w:tcPr>
            <w:tcW w:w="124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$18.8M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+$4.3M</w:t>
            </w:r>
          </w:p>
        </w:tc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24–32 mo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16 mo</w:t>
            </w:r>
          </w:p>
        </w:tc>
      </w:tr>
      <w:tr w:rsidR="0063509B">
        <w:trPr>
          <w:jc w:val="center"/>
        </w:trPr>
        <w:tc>
          <w:tcPr>
            <w:tcW w:w="2608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4 · Internal Copilot</w:t>
            </w:r>
          </w:p>
        </w:tc>
        <w:tc>
          <w:tcPr>
            <w:tcW w:w="113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$2.4M</w:t>
            </w:r>
          </w:p>
        </w:tc>
        <w:tc>
          <w:tcPr>
            <w:tcW w:w="113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$1.9M</w:t>
            </w:r>
          </w:p>
        </w:tc>
        <w:tc>
          <w:tcPr>
            <w:tcW w:w="1247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$11.9M</w:t>
            </w:r>
          </w:p>
        </w:tc>
        <w:tc>
          <w:tcPr>
            <w:tcW w:w="113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−</w:t>
            </w:r>
            <w:r>
              <w:rPr>
                <w:sz w:val="17"/>
              </w:rPr>
              <w:t>$0.3M</w:t>
            </w:r>
          </w:p>
        </w:tc>
        <w:tc>
          <w:tcPr>
            <w:tcW w:w="147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24–36 mo</w:t>
            </w:r>
          </w:p>
        </w:tc>
        <w:tc>
          <w:tcPr>
            <w:tcW w:w="113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9 mo</w:t>
            </w:r>
          </w:p>
        </w:tc>
      </w:tr>
      <w:tr w:rsidR="0063509B">
        <w:trPr>
          <w:jc w:val="center"/>
        </w:trPr>
        <w:tc>
          <w:tcPr>
            <w:tcW w:w="2608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sz w:val="17"/>
              </w:rPr>
              <w:t>5 · Integrated Ecosystem</w:t>
            </w:r>
          </w:p>
        </w:tc>
        <w:tc>
          <w:tcPr>
            <w:tcW w:w="1134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b/>
                <w:sz w:val="17"/>
              </w:rPr>
              <w:t>$11.5M</w:t>
            </w:r>
          </w:p>
        </w:tc>
        <w:tc>
          <w:tcPr>
            <w:tcW w:w="1134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b/>
                <w:sz w:val="17"/>
              </w:rPr>
              <w:t>$3.2M</w:t>
            </w:r>
          </w:p>
        </w:tc>
        <w:tc>
          <w:tcPr>
            <w:tcW w:w="1247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b/>
                <w:sz w:val="17"/>
              </w:rPr>
              <w:t>$27.5M</w:t>
            </w:r>
          </w:p>
        </w:tc>
        <w:tc>
          <w:tcPr>
            <w:tcW w:w="1134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b/>
                <w:sz w:val="17"/>
              </w:rPr>
              <w:t>+$9.1M</w:t>
            </w:r>
          </w:p>
        </w:tc>
        <w:tc>
          <w:tcPr>
            <w:tcW w:w="1474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sz w:val="17"/>
              </w:rPr>
              <w:t>24 mo after rollout</w:t>
            </w:r>
          </w:p>
        </w:tc>
        <w:tc>
          <w:tcPr>
            <w:tcW w:w="1134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sz w:val="17"/>
              </w:rPr>
              <w:t>24 mo</w:t>
            </w:r>
          </w:p>
        </w:tc>
      </w:tr>
    </w:tbl>
    <w:p w:rsidR="0063509B" w:rsidRPr="00956F53" w:rsidRDefault="00122112">
      <w:pPr>
        <w:spacing w:after="80"/>
        <w:rPr>
          <w:sz w:val="21"/>
        </w:rPr>
      </w:pPr>
      <w:r w:rsidRPr="00956F53">
        <w:rPr>
          <w:i/>
          <w:color w:val="555555"/>
        </w:rPr>
        <w:lastRenderedPageBreak/>
        <w:t xml:space="preserve">Insight: Pair 5 has the highest TCO but the strongest </w:t>
      </w:r>
      <w:r w:rsidRPr="00956F53">
        <w:rPr>
          <w:i/>
          <w:color w:val="555555"/>
        </w:rPr>
        <w:t>NPV — it trades a premium cost envelope for enterprise-scale, diversified value.</w:t>
      </w:r>
    </w:p>
    <w:p w:rsidR="0063509B" w:rsidRDefault="00122112">
      <w:pPr>
        <w:keepNext/>
        <w:spacing w:before="160" w:after="80"/>
      </w:pPr>
      <w:r>
        <w:rPr>
          <w:b/>
          <w:color w:val="0F2A4A"/>
          <w:sz w:val="26"/>
        </w:rPr>
        <w:t>4. Trade-offs, Assumptions &amp; Risks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9"/>
        <w:gridCol w:w="4950"/>
        <w:gridCol w:w="4625"/>
      </w:tblGrid>
      <w:tr w:rsidR="0063509B" w:rsidTr="00956F53">
        <w:trPr>
          <w:jc w:val="center"/>
        </w:trPr>
        <w:tc>
          <w:tcPr>
            <w:tcW w:w="629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FFFFFF"/>
                <w:sz w:val="17"/>
              </w:rPr>
              <w:t>Pair</w:t>
            </w:r>
          </w:p>
        </w:tc>
        <w:tc>
          <w:tcPr>
            <w:tcW w:w="4950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FFFFFF"/>
                <w:sz w:val="17"/>
              </w:rPr>
              <w:t>Strengths</w:t>
            </w:r>
          </w:p>
        </w:tc>
        <w:tc>
          <w:tcPr>
            <w:tcW w:w="4625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FFFFFF"/>
                <w:sz w:val="17"/>
              </w:rPr>
              <w:t>Material limitation / principal risk</w:t>
            </w:r>
          </w:p>
        </w:tc>
      </w:tr>
      <w:tr w:rsidR="0063509B" w:rsidTr="00956F53">
        <w:trPr>
          <w:jc w:val="center"/>
        </w:trPr>
        <w:tc>
          <w:tcPr>
            <w:tcW w:w="6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1</w:t>
            </w:r>
          </w:p>
        </w:tc>
        <w:tc>
          <w:tcPr>
            <w:tcW w:w="4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Fast customer value, call-cost savings, moderate-high readiness</w:t>
            </w:r>
          </w:p>
        </w:tc>
        <w:tc>
          <w:tcPr>
            <w:tcW w:w="46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 xml:space="preserve">Narrow strategic </w:t>
            </w:r>
            <w:r>
              <w:rPr>
                <w:sz w:val="17"/>
              </w:rPr>
              <w:t>reach; &gt;36-month ROI at 20% deflection</w:t>
            </w:r>
          </w:p>
        </w:tc>
      </w:tr>
      <w:tr w:rsidR="0063509B" w:rsidTr="00956F53">
        <w:trPr>
          <w:jc w:val="center"/>
        </w:trPr>
        <w:tc>
          <w:tcPr>
            <w:tcW w:w="629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2</w:t>
            </w:r>
          </w:p>
        </w:tc>
        <w:tc>
          <w:tcPr>
            <w:tcW w:w="4950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Strong conversion/processing value; human authority retained</w:t>
            </w:r>
          </w:p>
        </w:tc>
        <w:tc>
          <w:tcPr>
            <w:tcW w:w="4625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Fairness, explainability, data-quality exposure</w:t>
            </w:r>
          </w:p>
        </w:tc>
      </w:tr>
      <w:tr w:rsidR="0063509B" w:rsidTr="00956F53">
        <w:trPr>
          <w:jc w:val="center"/>
        </w:trPr>
        <w:tc>
          <w:tcPr>
            <w:tcW w:w="6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3</w:t>
            </w:r>
          </w:p>
        </w:tc>
        <w:tc>
          <w:tcPr>
            <w:tcW w:w="4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Largest standalone NPV; strong fraud-loss reduction</w:t>
            </w:r>
          </w:p>
        </w:tc>
        <w:tc>
          <w:tcPr>
            <w:tcW w:w="46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Compliance-heavy; no automated blocking</w:t>
            </w:r>
          </w:p>
        </w:tc>
      </w:tr>
      <w:tr w:rsidR="0063509B" w:rsidTr="00956F53">
        <w:trPr>
          <w:jc w:val="center"/>
        </w:trPr>
        <w:tc>
          <w:tcPr>
            <w:tcW w:w="629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4</w:t>
            </w:r>
          </w:p>
        </w:tc>
        <w:tc>
          <w:tcPr>
            <w:tcW w:w="4950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 xml:space="preserve">Lowest </w:t>
            </w:r>
            <w:r>
              <w:rPr>
                <w:sz w:val="17"/>
              </w:rPr>
              <w:t>CAPEX, fastest, highest feasibility</w:t>
            </w:r>
          </w:p>
        </w:tc>
        <w:tc>
          <w:tcPr>
            <w:tcW w:w="4625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Negative base NPV; weak benefit attribution</w:t>
            </w:r>
          </w:p>
        </w:tc>
      </w:tr>
      <w:tr w:rsidR="0063509B" w:rsidTr="00956F53">
        <w:trPr>
          <w:jc w:val="center"/>
        </w:trPr>
        <w:tc>
          <w:tcPr>
            <w:tcW w:w="6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5</w:t>
            </w:r>
          </w:p>
        </w:tc>
        <w:tc>
          <w:tcPr>
            <w:tcW w:w="4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Highest reach, strongest economics, shared governance</w:t>
            </w:r>
          </w:p>
        </w:tc>
        <w:tc>
          <w:tcPr>
            <w:tcW w:w="46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Highest TCO/complexity; depends on stage gates</w:t>
            </w:r>
          </w:p>
        </w:tc>
      </w:tr>
    </w:tbl>
    <w:p w:rsidR="0063509B" w:rsidRPr="00956F53" w:rsidRDefault="00122112">
      <w:pPr>
        <w:spacing w:after="80"/>
        <w:rPr>
          <w:sz w:val="21"/>
        </w:rPr>
      </w:pPr>
      <w:r w:rsidRPr="00956F53">
        <w:rPr>
          <w:i/>
          <w:color w:val="555555"/>
        </w:rPr>
        <w:t xml:space="preserve">Key source assumptions (all pairs): usable APIs/policies · sufficient </w:t>
      </w:r>
      <w:r w:rsidRPr="00956F53">
        <w:rPr>
          <w:i/>
          <w:color w:val="555555"/>
        </w:rPr>
        <w:t>labelled historical data · near-real-time transaction feeds · organized repositories · sustained executive sponsorship and phased funding.</w:t>
      </w:r>
    </w:p>
    <w:p w:rsidR="0063509B" w:rsidRDefault="00122112">
      <w:pPr>
        <w:keepNext/>
        <w:spacing w:before="160" w:after="80"/>
      </w:pPr>
      <w:r>
        <w:rPr>
          <w:b/>
          <w:color w:val="0F2A4A"/>
          <w:sz w:val="26"/>
        </w:rPr>
        <w:t>5. Pair 5 Business Case</w:t>
      </w:r>
    </w:p>
    <w:p w:rsidR="0063509B" w:rsidRDefault="00122112">
      <w:pPr>
        <w:keepNext/>
        <w:spacing w:before="100" w:after="40"/>
      </w:pPr>
      <w:r>
        <w:rPr>
          <w:b/>
          <w:color w:val="146B6E"/>
          <w:sz w:val="21"/>
        </w:rPr>
        <w:t>Problem</w:t>
      </w:r>
    </w:p>
    <w:p w:rsidR="0063509B" w:rsidRDefault="00122112">
      <w:pPr>
        <w:spacing w:after="80"/>
      </w:pPr>
      <w:r>
        <w:t>Fragmented AI experiments, no unified governance or benefits tracking, rising service</w:t>
      </w:r>
      <w:r>
        <w:t xml:space="preserve"> costs, slow manual lending, high fraud-alert workload, inconsistent employee AI practices.</w:t>
      </w:r>
    </w:p>
    <w:p w:rsidR="0063509B" w:rsidRDefault="00122112">
      <w:pPr>
        <w:keepNext/>
        <w:spacing w:before="100" w:after="40"/>
      </w:pPr>
      <w:r>
        <w:rPr>
          <w:b/>
          <w:color w:val="146B6E"/>
          <w:sz w:val="21"/>
        </w:rPr>
        <w:t>Phased solution</w:t>
      </w:r>
    </w:p>
    <w:p w:rsidR="0063509B" w:rsidRDefault="00122112">
      <w:pPr>
        <w:spacing w:after="80"/>
      </w:pPr>
      <w:r>
        <w:t>(1) copilot + AI governance foundation → (2) customer digital assistant → (3) lending decision-support pilot → (4) fraud alert prioritization + inve</w:t>
      </w:r>
      <w:r>
        <w:t>stigator assist.</w:t>
      </w:r>
    </w:p>
    <w:p w:rsidR="0063509B" w:rsidRDefault="00122112">
      <w:pPr>
        <w:keepNext/>
        <w:spacing w:before="100" w:after="40"/>
      </w:pPr>
      <w:r>
        <w:rPr>
          <w:b/>
          <w:color w:val="146B6E"/>
          <w:sz w:val="21"/>
        </w:rPr>
        <w:t>Expected outcomes (7 success criteria)</w:t>
      </w:r>
    </w:p>
    <w:p w:rsidR="0063509B" w:rsidRDefault="00122112">
      <w:pPr>
        <w:pStyle w:val="ListBullet"/>
        <w:spacing w:after="20"/>
      </w:pPr>
      <w:r>
        <w:rPr>
          <w:sz w:val="18"/>
        </w:rPr>
        <w:t>35% fewer repetitive customer inquiries</w:t>
      </w:r>
    </w:p>
    <w:p w:rsidR="0063509B" w:rsidRDefault="00122112">
      <w:pPr>
        <w:pStyle w:val="ListBullet"/>
        <w:spacing w:after="20"/>
      </w:pPr>
      <w:r>
        <w:rPr>
          <w:sz w:val="18"/>
        </w:rPr>
        <w:t>30% less internal report-preparation time</w:t>
      </w:r>
    </w:p>
    <w:p w:rsidR="0063509B" w:rsidRDefault="00122112">
      <w:pPr>
        <w:pStyle w:val="ListBullet"/>
        <w:spacing w:after="20"/>
      </w:pPr>
      <w:r>
        <w:rPr>
          <w:sz w:val="18"/>
        </w:rPr>
        <w:t>35% less lending-documentation rework</w:t>
      </w:r>
    </w:p>
    <w:p w:rsidR="0063509B" w:rsidRDefault="00122112">
      <w:pPr>
        <w:pStyle w:val="ListBullet"/>
        <w:spacing w:after="20"/>
      </w:pPr>
      <w:r>
        <w:rPr>
          <w:sz w:val="18"/>
        </w:rPr>
        <w:t>25% fewer fraud false positives (pilot scope)</w:t>
      </w:r>
    </w:p>
    <w:p w:rsidR="0063509B" w:rsidRDefault="00122112">
      <w:pPr>
        <w:pStyle w:val="ListBullet"/>
        <w:spacing w:after="20"/>
      </w:pPr>
      <w:r>
        <w:rPr>
          <w:sz w:val="18"/>
        </w:rPr>
        <w:t>&gt;60% adoption in target groups</w:t>
      </w:r>
    </w:p>
    <w:p w:rsidR="0063509B" w:rsidRDefault="00122112">
      <w:pPr>
        <w:pStyle w:val="ListBullet"/>
        <w:spacing w:after="20"/>
      </w:pPr>
      <w:r>
        <w:rPr>
          <w:sz w:val="18"/>
        </w:rPr>
        <w:t>Zer</w:t>
      </w:r>
      <w:r>
        <w:rPr>
          <w:sz w:val="18"/>
        </w:rPr>
        <w:t>o critical compliance breaches during pilots</w:t>
      </w:r>
    </w:p>
    <w:p w:rsidR="0063509B" w:rsidRDefault="00122112">
      <w:pPr>
        <w:pStyle w:val="ListBullet"/>
        <w:spacing w:after="20"/>
      </w:pPr>
      <w:r>
        <w:rPr>
          <w:sz w:val="18"/>
        </w:rPr>
        <w:t>Positive NPV within 5-year horizon (Finance-validated)</w:t>
      </w:r>
    </w:p>
    <w:p w:rsidR="0063509B" w:rsidRDefault="00122112">
      <w:pPr>
        <w:keepNext/>
        <w:spacing w:before="100" w:after="40"/>
      </w:pPr>
      <w:r>
        <w:rPr>
          <w:b/>
          <w:color w:val="146B6E"/>
          <w:sz w:val="21"/>
        </w:rPr>
        <w:t>Delivery model</w:t>
      </w:r>
    </w:p>
    <w:p w:rsidR="0063509B" w:rsidRDefault="00122112">
      <w:pPr>
        <w:spacing w:after="80"/>
      </w:pPr>
      <w:r>
        <w:t>Waterfall authorization/stage gates + Agile MVP delivery; no sprint advances to scale without gate acceptance.</w:t>
      </w:r>
    </w:p>
    <w:p w:rsidR="0063509B" w:rsidRDefault="00122112">
      <w:pPr>
        <w:keepNext/>
        <w:spacing w:before="160" w:after="80"/>
      </w:pPr>
      <w:r>
        <w:rPr>
          <w:b/>
          <w:color w:val="0F2A4A"/>
          <w:sz w:val="26"/>
        </w:rPr>
        <w:t>6. Financial Reconciliation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474"/>
        <w:gridCol w:w="5783"/>
      </w:tblGrid>
      <w:tr w:rsidR="0063509B">
        <w:trPr>
          <w:jc w:val="center"/>
        </w:trPr>
        <w:tc>
          <w:tcPr>
            <w:tcW w:w="2948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FFFFFF"/>
                <w:sz w:val="17"/>
              </w:rPr>
              <w:t>Concept</w:t>
            </w:r>
          </w:p>
        </w:tc>
        <w:tc>
          <w:tcPr>
            <w:tcW w:w="1474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center"/>
            </w:pPr>
            <w:r>
              <w:rPr>
                <w:b/>
                <w:color w:val="FFFFFF"/>
                <w:sz w:val="17"/>
              </w:rPr>
              <w:t>Amount</w:t>
            </w:r>
          </w:p>
        </w:tc>
        <w:tc>
          <w:tcPr>
            <w:tcW w:w="5783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63509B">
        <w:trPr>
          <w:jc w:val="center"/>
        </w:trPr>
        <w:tc>
          <w:tcPr>
            <w:tcW w:w="29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Implementation CAPEX</w:t>
            </w:r>
          </w:p>
        </w:tc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$11.5M</w:t>
            </w:r>
          </w:p>
        </w:tc>
        <w:tc>
          <w:tcPr>
            <w:tcW w:w="57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One-time source-stated investment</w:t>
            </w:r>
          </w:p>
        </w:tc>
      </w:tr>
      <w:tr w:rsidR="0063509B">
        <w:trPr>
          <w:jc w:val="center"/>
        </w:trPr>
        <w:tc>
          <w:tcPr>
            <w:tcW w:w="2948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Annual OPEX</w:t>
            </w:r>
          </w:p>
        </w:tc>
        <w:tc>
          <w:tcPr>
            <w:tcW w:w="147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$3.2M</w:t>
            </w:r>
          </w:p>
        </w:tc>
        <w:tc>
          <w:tcPr>
            <w:tcW w:w="5783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Recurring annual operating cost</w:t>
            </w:r>
          </w:p>
        </w:tc>
      </w:tr>
      <w:tr w:rsidR="0063509B">
        <w:trPr>
          <w:jc w:val="center"/>
        </w:trPr>
        <w:tc>
          <w:tcPr>
            <w:tcW w:w="29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Five-year OPEX</w:t>
            </w:r>
          </w:p>
        </w:tc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sz w:val="17"/>
              </w:rPr>
              <w:t>$16.0M</w:t>
            </w:r>
          </w:p>
        </w:tc>
        <w:tc>
          <w:tcPr>
            <w:tcW w:w="57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$3.2M × 5</w:t>
            </w:r>
          </w:p>
        </w:tc>
      </w:tr>
      <w:tr w:rsidR="0063509B">
        <w:trPr>
          <w:jc w:val="center"/>
        </w:trPr>
        <w:tc>
          <w:tcPr>
            <w:tcW w:w="2948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sz w:val="17"/>
              </w:rPr>
              <w:t>Five-year TCO</w:t>
            </w:r>
          </w:p>
        </w:tc>
        <w:tc>
          <w:tcPr>
            <w:tcW w:w="1474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pPr>
              <w:jc w:val="right"/>
            </w:pPr>
            <w:r>
              <w:rPr>
                <w:b/>
                <w:sz w:val="17"/>
              </w:rPr>
              <w:t>$27.5M</w:t>
            </w:r>
          </w:p>
        </w:tc>
        <w:tc>
          <w:tcPr>
            <w:tcW w:w="5783" w:type="dxa"/>
            <w:shd w:val="clear" w:color="auto" w:fill="F3E8C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sz w:val="17"/>
              </w:rPr>
              <w:t>$11.5M + $16.0M</w:t>
            </w:r>
          </w:p>
        </w:tc>
      </w:tr>
    </w:tbl>
    <w:p w:rsidR="0063509B" w:rsidRPr="00956F53" w:rsidRDefault="00122112">
      <w:pPr>
        <w:spacing w:after="80"/>
        <w:rPr>
          <w:sz w:val="21"/>
        </w:rPr>
      </w:pPr>
      <w:r w:rsidRPr="00956F53">
        <w:rPr>
          <w:sz w:val="20"/>
        </w:rPr>
        <w:t>NPV (9%): Σ[net cash flow ÷ (1.09)^t] = +$9.10M</w:t>
      </w:r>
      <w:r w:rsidRPr="00956F53">
        <w:rPr>
          <w:sz w:val="20"/>
        </w:rPr>
        <w:t xml:space="preserve"> (illustrative benefit ramp; Finance must validate).</w:t>
      </w:r>
    </w:p>
    <w:p w:rsidR="0063509B" w:rsidRDefault="00122112">
      <w:pPr>
        <w:keepNext/>
        <w:spacing w:before="160" w:after="80"/>
      </w:pPr>
      <w:r>
        <w:rPr>
          <w:b/>
          <w:color w:val="0F2A4A"/>
          <w:sz w:val="26"/>
        </w:rPr>
        <w:t>7. Feasibility &amp; Regulatory Validation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402"/>
        <w:gridCol w:w="5329"/>
      </w:tblGrid>
      <w:tr w:rsidR="0063509B">
        <w:trPr>
          <w:jc w:val="center"/>
        </w:trPr>
        <w:tc>
          <w:tcPr>
            <w:tcW w:w="1474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w="3402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w="5329" w:type="dxa"/>
            <w:shd w:val="clear" w:color="auto" w:fill="0F2A4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b/>
                <w:color w:val="FFFFFF"/>
                <w:sz w:val="17"/>
              </w:rPr>
              <w:t>Required validation before release</w:t>
            </w:r>
          </w:p>
        </w:tc>
      </w:tr>
      <w:tr w:rsidR="0063509B">
        <w:trPr>
          <w:jc w:val="center"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Technical</w:t>
            </w: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Medium-high; multi-use-case under one architecture</w:t>
            </w:r>
          </w:p>
        </w:tc>
        <w:tc>
          <w:tcPr>
            <w:tcW w:w="53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 xml:space="preserve">APIs, data quality, security, vendor due </w:t>
            </w:r>
            <w:r>
              <w:rPr>
                <w:sz w:val="17"/>
              </w:rPr>
              <w:t>diligence</w:t>
            </w:r>
          </w:p>
        </w:tc>
      </w:tr>
      <w:tr w:rsidR="0063509B">
        <w:trPr>
          <w:jc w:val="center"/>
        </w:trPr>
        <w:tc>
          <w:tcPr>
            <w:tcW w:w="147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Operational</w:t>
            </w:r>
          </w:p>
        </w:tc>
        <w:tc>
          <w:tcPr>
            <w:tcW w:w="3402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Strong if phased; AI PMO + product owners</w:t>
            </w:r>
          </w:p>
        </w:tc>
        <w:tc>
          <w:tcPr>
            <w:tcW w:w="5329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Named owners, capacity, change approach, baselines</w:t>
            </w:r>
          </w:p>
        </w:tc>
      </w:tr>
      <w:tr w:rsidR="0063509B">
        <w:trPr>
          <w:jc w:val="center"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Economic</w:t>
            </w: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Strongest of five; +NPV at 9%</w:t>
            </w:r>
          </w:p>
        </w:tc>
        <w:tc>
          <w:tcPr>
            <w:tcW w:w="53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Cash-flow timing, attribution, gate thresholds</w:t>
            </w:r>
          </w:p>
        </w:tc>
      </w:tr>
      <w:tr w:rsidR="0063509B">
        <w:trPr>
          <w:jc w:val="center"/>
        </w:trPr>
        <w:tc>
          <w:tcPr>
            <w:tcW w:w="1474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Schedule</w:t>
            </w:r>
          </w:p>
        </w:tc>
        <w:tc>
          <w:tcPr>
            <w:tcW w:w="3402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24-month realistic</w:t>
            </w:r>
          </w:p>
        </w:tc>
        <w:tc>
          <w:tcPr>
            <w:tcW w:w="5329" w:type="dxa"/>
            <w:shd w:val="clear" w:color="auto" w:fill="F4F7F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 xml:space="preserve">Critical path: </w:t>
            </w:r>
            <w:r>
              <w:rPr>
                <w:sz w:val="17"/>
              </w:rPr>
              <w:t>governance → architecture → pilots → benefits</w:t>
            </w:r>
          </w:p>
        </w:tc>
      </w:tr>
      <w:tr w:rsidR="0063509B">
        <w:trPr>
          <w:jc w:val="center"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Legal/compliance</w:t>
            </w: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Feasible with human accountability</w:t>
            </w:r>
          </w:p>
        </w:tc>
        <w:tc>
          <w:tcPr>
            <w:tcW w:w="53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3509B" w:rsidRDefault="00122112">
            <w:r>
              <w:rPr>
                <w:sz w:val="17"/>
              </w:rPr>
              <w:t>Keep autonomous credit/advice/blocking out of scope</w:t>
            </w:r>
          </w:p>
        </w:tc>
      </w:tr>
    </w:tbl>
    <w:p w:rsidR="0063509B" w:rsidRDefault="00122112">
      <w:pPr>
        <w:keepNext/>
        <w:spacing w:before="100" w:after="40"/>
      </w:pPr>
      <w:r>
        <w:rPr>
          <w:b/>
          <w:color w:val="146B6E"/>
          <w:sz w:val="21"/>
        </w:rPr>
        <w:lastRenderedPageBreak/>
        <w:t>Canadian regulatory map</w:t>
      </w:r>
    </w:p>
    <w:p w:rsidR="0063509B" w:rsidRDefault="00122112">
      <w:pPr>
        <w:spacing w:after="80"/>
      </w:pPr>
      <w:r>
        <w:rPr>
          <w:sz w:val="18"/>
        </w:rPr>
        <w:t>OSFI/EDGE (governance, model risk) · PIPEDA (privacy, minimization) · FCAC (fair</w:t>
      </w:r>
      <w:r>
        <w:rPr>
          <w:sz w:val="18"/>
        </w:rPr>
        <w:t xml:space="preserve"> treatment, disclosure) · FINTRAC (financial-crime reporting, investigator authority).</w:t>
      </w:r>
    </w:p>
    <w:sectPr w:rsidR="0063509B" w:rsidSect="00034616">
      <w:headerReference w:type="default" r:id="rId8"/>
      <w:footerReference w:type="default" r:id="rId9"/>
      <w:pgSz w:w="11906" w:h="16838"/>
      <w:pgMar w:top="850" w:right="850" w:bottom="79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2112" w:rsidRDefault="00122112">
      <w:pPr>
        <w:spacing w:after="0" w:line="240" w:lineRule="auto"/>
      </w:pPr>
      <w:r>
        <w:separator/>
      </w:r>
    </w:p>
  </w:endnote>
  <w:endnote w:type="continuationSeparator" w:id="0">
    <w:p w:rsidR="00122112" w:rsidRDefault="00122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509B" w:rsidRDefault="00122112">
    <w:pPr>
      <w:pStyle w:val="Footer"/>
      <w:jc w:val="center"/>
    </w:pPr>
    <w:r>
      <w:rPr>
        <w:color w:val="555555"/>
        <w:sz w:val="16"/>
      </w:rPr>
      <w:t xml:space="preserve">PTB-BCFS-001  ·  Page </w:t>
    </w:r>
    <w:r>
      <w:rPr>
        <w:color w:val="555555"/>
        <w:sz w:val="16"/>
      </w:rPr>
      <w:fldChar w:fldCharType="begin"/>
    </w:r>
    <w:r>
      <w:rPr>
        <w:color w:val="555555"/>
        <w:sz w:val="16"/>
      </w:rPr>
      <w:instrText>PAGE</w:instrText>
    </w:r>
    <w:r w:rsidR="00956F53">
      <w:rPr>
        <w:color w:val="555555"/>
        <w:sz w:val="16"/>
      </w:rPr>
      <w:fldChar w:fldCharType="separate"/>
    </w:r>
    <w:r w:rsidR="00E72A6B">
      <w:rPr>
        <w:noProof/>
        <w:color w:val="555555"/>
        <w:sz w:val="16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</w:rPr>
      <w:t xml:space="preserve">  ·  P</w:t>
    </w:r>
    <w:r>
      <w:rPr>
        <w:color w:val="555555"/>
        <w:sz w:val="16"/>
      </w:rPr>
      <w:t>ole Trust Bank — Synthetic Classroom Case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2112" w:rsidRDefault="00122112">
      <w:pPr>
        <w:spacing w:after="0" w:line="240" w:lineRule="auto"/>
      </w:pPr>
      <w:r>
        <w:separator/>
      </w:r>
    </w:p>
  </w:footnote>
  <w:footnote w:type="continuationSeparator" w:id="0">
    <w:p w:rsidR="00122112" w:rsidRDefault="00122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509B" w:rsidRDefault="00122112">
    <w:pPr>
      <w:pStyle w:val="Header"/>
      <w:jc w:val="center"/>
    </w:pPr>
    <w:r>
      <w:rPr>
        <w:i/>
        <w:color w:val="555555"/>
        <w:sz w:val="16"/>
      </w:rPr>
      <w:t>Pole Trust Bank — Integrated AI Banking Implementation Ecosystem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2112"/>
    <w:rsid w:val="0015074B"/>
    <w:rsid w:val="0029639D"/>
    <w:rsid w:val="00326F90"/>
    <w:rsid w:val="0063509B"/>
    <w:rsid w:val="00956F53"/>
    <w:rsid w:val="00AA1D8D"/>
    <w:rsid w:val="00B47730"/>
    <w:rsid w:val="00CB0664"/>
    <w:rsid w:val="00E72A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7824D"/>
  <w14:defaultImageDpi w14:val="300"/>
  <w15:docId w15:val="{7DAFD3D7-4D93-45A8-8497-FB055D5EC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497756-72BA-4833-B9A6-E7DA703DA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HAROON TRADERS</cp:lastModifiedBy>
  <cp:revision>3</cp:revision>
  <dcterms:created xsi:type="dcterms:W3CDTF">2013-12-23T23:15:00Z</dcterms:created>
  <dcterms:modified xsi:type="dcterms:W3CDTF">2026-08-13T17:09:00Z</dcterms:modified>
  <cp:category/>
</cp:coreProperties>
</file>