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3F52" w:rsidRPr="00910266" w:rsidRDefault="00DE2884">
      <w:pPr>
        <w:spacing w:after="80"/>
        <w:jc w:val="center"/>
        <w:rPr>
          <w:sz w:val="22"/>
        </w:rPr>
      </w:pPr>
      <w:r w:rsidRPr="00910266">
        <w:rPr>
          <w:b/>
          <w:color w:val="0F2A4A"/>
          <w:sz w:val="36"/>
        </w:rPr>
        <w:t xml:space="preserve">Scope Management Plan &amp; Detailed Scope Statement | </w:t>
      </w:r>
      <w:r w:rsidRPr="00910266">
        <w:rPr>
          <w:b/>
          <w:color w:val="B8860B"/>
          <w:sz w:val="26"/>
        </w:rPr>
        <w:t>PT</w:t>
      </w:r>
      <w:r w:rsidR="00606148" w:rsidRPr="00910266">
        <w:rPr>
          <w:b/>
          <w:color w:val="B8860B"/>
          <w:sz w:val="26"/>
        </w:rPr>
        <w:t xml:space="preserve">B-SCOPE-001  ·  Version 1.0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12926"/>
      </w:tblGrid>
      <w:tr w:rsidR="000F3F52" w:rsidRPr="00910266">
        <w:tc>
          <w:tcPr>
            <w:tcW w:w="2551" w:type="dxa"/>
            <w:shd w:val="clear" w:color="auto" w:fill="EAF0F5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color w:val="0F2A4A"/>
                <w:sz w:val="19"/>
              </w:rPr>
              <w:t>Document ID</w:t>
            </w:r>
          </w:p>
        </w:tc>
        <w:tc>
          <w:tcPr>
            <w:tcW w:w="1292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19"/>
              </w:rPr>
              <w:t>PTB-SCOPE-001</w:t>
            </w:r>
          </w:p>
        </w:tc>
      </w:tr>
      <w:tr w:rsidR="000F3F52" w:rsidRPr="00910266">
        <w:tc>
          <w:tcPr>
            <w:tcW w:w="2551" w:type="dxa"/>
            <w:shd w:val="clear" w:color="auto" w:fill="EAF0F5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color w:val="0F2A4A"/>
                <w:sz w:val="19"/>
              </w:rPr>
              <w:t>Version / date</w:t>
            </w:r>
          </w:p>
        </w:tc>
        <w:tc>
          <w:tcPr>
            <w:tcW w:w="1292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19"/>
              </w:rPr>
              <w:t>1.0 / 2 August 2026</w:t>
            </w:r>
          </w:p>
        </w:tc>
      </w:tr>
      <w:tr w:rsidR="000F3F52" w:rsidRPr="00910266">
        <w:tc>
          <w:tcPr>
            <w:tcW w:w="2551" w:type="dxa"/>
            <w:shd w:val="clear" w:color="auto" w:fill="EAF0F5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color w:val="0F2A4A"/>
                <w:sz w:val="19"/>
              </w:rPr>
              <w:t>Status</w:t>
            </w:r>
          </w:p>
        </w:tc>
        <w:tc>
          <w:tcPr>
            <w:tcW w:w="1292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19"/>
              </w:rPr>
              <w:t>Refined planning baseline · Sponsor review</w:t>
            </w:r>
          </w:p>
        </w:tc>
      </w:tr>
      <w:tr w:rsidR="000F3F52" w:rsidRPr="00910266">
        <w:tc>
          <w:tcPr>
            <w:tcW w:w="2551" w:type="dxa"/>
            <w:shd w:val="clear" w:color="auto" w:fill="EAF0F5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color w:val="0F2A4A"/>
                <w:sz w:val="19"/>
              </w:rPr>
              <w:t>Project</w:t>
            </w:r>
          </w:p>
        </w:tc>
        <w:tc>
          <w:tcPr>
            <w:tcW w:w="1292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19"/>
              </w:rPr>
              <w:t>Integrated AI Banking Implementation Ecosystem (Pair 5)</w:t>
            </w:r>
          </w:p>
        </w:tc>
      </w:tr>
      <w:tr w:rsidR="000F3F52" w:rsidRPr="00910266">
        <w:tc>
          <w:tcPr>
            <w:tcW w:w="2551" w:type="dxa"/>
            <w:shd w:val="clear" w:color="auto" w:fill="EAF0F5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color w:val="0F2A4A"/>
                <w:sz w:val="19"/>
              </w:rPr>
              <w:t>Project Sponsor</w:t>
            </w:r>
          </w:p>
        </w:tc>
        <w:tc>
          <w:tcPr>
            <w:tcW w:w="1292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19"/>
              </w:rPr>
              <w:t>Sheikh Moeen Akhtar</w:t>
            </w:r>
          </w:p>
        </w:tc>
      </w:tr>
      <w:tr w:rsidR="000F3F52" w:rsidRPr="00910266">
        <w:tc>
          <w:tcPr>
            <w:tcW w:w="2551" w:type="dxa"/>
            <w:shd w:val="clear" w:color="auto" w:fill="EAF0F5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color w:val="0F2A4A"/>
                <w:sz w:val="19"/>
              </w:rPr>
              <w:t>Project/Program Manager</w:t>
            </w:r>
          </w:p>
        </w:tc>
        <w:tc>
          <w:tcPr>
            <w:tcW w:w="1292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19"/>
              </w:rPr>
              <w:t>Salman Zaman (working role accepted)</w:t>
            </w:r>
          </w:p>
        </w:tc>
      </w:tr>
      <w:tr w:rsidR="000F3F52" w:rsidRPr="00910266">
        <w:tc>
          <w:tcPr>
            <w:tcW w:w="2551" w:type="dxa"/>
            <w:shd w:val="clear" w:color="auto" w:fill="EAF0F5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color w:val="0F2A4A"/>
                <w:sz w:val="19"/>
              </w:rPr>
              <w:t>Change authority</w:t>
            </w:r>
          </w:p>
        </w:tc>
        <w:tc>
          <w:tcPr>
            <w:tcW w:w="1292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19"/>
              </w:rPr>
              <w:t>Project Sponsor (or expressly delegated Steering under DEC-04)</w:t>
            </w:r>
          </w:p>
        </w:tc>
      </w:tr>
      <w:tr w:rsidR="000F3F52" w:rsidRPr="00910266">
        <w:tc>
          <w:tcPr>
            <w:tcW w:w="2551" w:type="dxa"/>
            <w:shd w:val="clear" w:color="auto" w:fill="EAF0F5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color w:val="0F2A4A"/>
                <w:sz w:val="19"/>
              </w:rPr>
              <w:t>Financial boundary</w:t>
            </w:r>
          </w:p>
        </w:tc>
        <w:tc>
          <w:tcPr>
            <w:tcW w:w="1292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19"/>
              </w:rPr>
              <w:t>$11.5M CAPEX / $27.5M TCO; commitment authority $0 until DEC-02</w:t>
            </w:r>
          </w:p>
        </w:tc>
      </w:tr>
    </w:tbl>
    <w:p w:rsidR="000F3F52" w:rsidRPr="00910266" w:rsidRDefault="00DE2884" w:rsidP="00910266">
      <w:pPr>
        <w:keepNext/>
        <w:spacing w:before="240"/>
        <w:rPr>
          <w:sz w:val="22"/>
        </w:rPr>
      </w:pPr>
      <w:r w:rsidRPr="00910266">
        <w:rPr>
          <w:b/>
          <w:color w:val="0F2A4A"/>
          <w:sz w:val="28"/>
        </w:rPr>
        <w:t>Section 1 — Scope Management Approach</w:t>
      </w:r>
    </w:p>
    <w:p w:rsidR="000F3F52" w:rsidRPr="00910266" w:rsidRDefault="00DE2884">
      <w:pPr>
        <w:rPr>
          <w:sz w:val="22"/>
        </w:rPr>
      </w:pPr>
      <w:r w:rsidRPr="00910266">
        <w:rPr>
          <w:sz w:val="21"/>
        </w:rPr>
        <w:t>Product scope: governed enterprise AI ecosystem — one platform/control foundation + four human-accountable MVPs (copilot, customer assistant, lending support, fraud assist). Project scope: planning, architecture, readiness, MVP delivery, controlled pilots, training, adoption, benefits measurement, scale, transition, closure across 24 months.</w:t>
      </w:r>
    </w:p>
    <w:p w:rsidR="000F3F52" w:rsidRPr="00910266" w:rsidRDefault="00DE2884">
      <w:pPr>
        <w:rPr>
          <w:sz w:val="22"/>
        </w:rPr>
      </w:pPr>
      <w:r w:rsidRPr="00910266">
        <w:rPr>
          <w:i/>
          <w:color w:val="555555"/>
          <w:sz w:val="21"/>
        </w:rPr>
        <w:t>Waterfall–Agile boundary: Waterfall governs scope baseline, funding, risk acceptance, exit gates. Agile squads refine stories inside an authorized phase without changing objectives, exclusions, KPIs, budget or roadmap. Backlog ≠ scope authority.</w:t>
      </w:r>
    </w:p>
    <w:p w:rsidR="000F3F52" w:rsidRPr="00910266" w:rsidRDefault="00DE2884" w:rsidP="00910266">
      <w:pPr>
        <w:keepNext/>
        <w:spacing w:before="240"/>
        <w:rPr>
          <w:sz w:val="22"/>
        </w:rPr>
      </w:pPr>
      <w:r w:rsidRPr="00910266">
        <w:rPr>
          <w:b/>
          <w:color w:val="0F2A4A"/>
          <w:sz w:val="28"/>
        </w:rPr>
        <w:t>Section 2 — Scope Statement: Drawing the Line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7"/>
        <w:gridCol w:w="7540"/>
      </w:tblGrid>
      <w:tr w:rsidR="000F3F52" w:rsidRPr="00910266">
        <w:trPr>
          <w:jc w:val="center"/>
        </w:trPr>
        <w:tc>
          <w:tcPr>
            <w:tcW w:w="7937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color w:val="FFFFFF"/>
                <w:sz w:val="20"/>
              </w:rPr>
              <w:t>In scope</w:t>
            </w:r>
          </w:p>
        </w:tc>
        <w:tc>
          <w:tcPr>
            <w:tcW w:w="7540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color w:val="FFFFFF"/>
                <w:sz w:val="20"/>
              </w:rPr>
              <w:t>Out of scope</w:t>
            </w:r>
          </w:p>
        </w:tc>
      </w:tr>
      <w:tr w:rsidR="000F3F52" w:rsidRPr="00910266">
        <w:trPr>
          <w:jc w:val="center"/>
        </w:trPr>
        <w:tc>
          <w:tcPr>
            <w:tcW w:w="793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AI governance, acceptable-use, model oversight, gate evidence</w:t>
            </w:r>
          </w:p>
        </w:tc>
        <w:tc>
          <w:tcPr>
            <w:tcW w:w="754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Autonomous loan/credit/pricing decisions</w:t>
            </w:r>
          </w:p>
        </w:tc>
      </w:tr>
      <w:tr w:rsidR="000F3F52" w:rsidRPr="00910266">
        <w:trPr>
          <w:jc w:val="center"/>
        </w:trPr>
        <w:tc>
          <w:tcPr>
            <w:tcW w:w="793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Approved platform architecture + API layer</w:t>
            </w:r>
          </w:p>
        </w:tc>
        <w:tc>
          <w:tcPr>
            <w:tcW w:w="7540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Unsupervised financial advice / regulated communications</w:t>
            </w:r>
          </w:p>
        </w:tc>
      </w:tr>
      <w:tr w:rsidR="000F3F52" w:rsidRPr="00910266">
        <w:trPr>
          <w:jc w:val="center"/>
        </w:trPr>
        <w:tc>
          <w:tcPr>
            <w:tcW w:w="793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Data classification, masking, access, retention, lineage, quality</w:t>
            </w:r>
          </w:p>
        </w:tc>
        <w:tc>
          <w:tcPr>
            <w:tcW w:w="754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Automatic account blocking/freezing</w:t>
            </w:r>
          </w:p>
        </w:tc>
      </w:tr>
      <w:tr w:rsidR="000F3F52" w:rsidRPr="00910266">
        <w:trPr>
          <w:jc w:val="center"/>
        </w:trPr>
        <w:tc>
          <w:tcPr>
            <w:tcW w:w="793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Internal copilot (approved knowledge, human verification)</w:t>
            </w:r>
          </w:p>
        </w:tc>
        <w:tc>
          <w:tcPr>
            <w:tcW w:w="7540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Core-banking/CRM/loan/fraud-system replacement</w:t>
            </w:r>
          </w:p>
        </w:tc>
      </w:tr>
      <w:tr w:rsidR="000F3F52" w:rsidRPr="00910266">
        <w:trPr>
          <w:jc w:val="center"/>
        </w:trPr>
        <w:tc>
          <w:tcPr>
            <w:tcW w:w="793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Customer assistant (approved journeys, human handoff)</w:t>
            </w:r>
          </w:p>
        </w:tc>
        <w:tc>
          <w:tcPr>
            <w:tcW w:w="754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Ungated production scale</w:t>
            </w:r>
          </w:p>
        </w:tc>
      </w:tr>
      <w:tr w:rsidR="000F3F52" w:rsidRPr="00910266">
        <w:trPr>
          <w:jc w:val="center"/>
        </w:trPr>
        <w:tc>
          <w:tcPr>
            <w:tcW w:w="793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Lending completeness/risk summaries (human decisions)</w:t>
            </w:r>
          </w:p>
        </w:tc>
        <w:tc>
          <w:tcPr>
            <w:tcW w:w="7540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Unapproved personal-data reuse / opaque operation</w:t>
            </w:r>
          </w:p>
        </w:tc>
      </w:tr>
      <w:tr w:rsidR="000F3F52" w:rsidRPr="00910266">
        <w:trPr>
          <w:jc w:val="center"/>
        </w:trPr>
        <w:tc>
          <w:tcPr>
            <w:tcW w:w="793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Fraud alert prioritization + investigator assist</w:t>
            </w:r>
          </w:p>
        </w:tc>
        <w:tc>
          <w:tcPr>
            <w:tcW w:w="754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New use cases/regions without change approval</w:t>
            </w:r>
          </w:p>
        </w:tc>
      </w:tr>
      <w:tr w:rsidR="000F3F52" w:rsidRPr="00910266">
        <w:trPr>
          <w:jc w:val="center"/>
        </w:trPr>
        <w:tc>
          <w:tcPr>
            <w:tcW w:w="793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Logging, audit, monitoring, fallback, support</w:t>
            </w:r>
          </w:p>
        </w:tc>
        <w:tc>
          <w:tcPr>
            <w:tcW w:w="7540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Immediate commitment of full five-year TCO</w:t>
            </w:r>
          </w:p>
        </w:tc>
      </w:tr>
      <w:tr w:rsidR="000F3F52" w:rsidRPr="00910266">
        <w:trPr>
          <w:jc w:val="center"/>
        </w:trPr>
        <w:tc>
          <w:tcPr>
            <w:tcW w:w="793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Training, comms, champions, adoption</w:t>
            </w:r>
          </w:p>
        </w:tc>
        <w:tc>
          <w:tcPr>
            <w:tcW w:w="754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Vendor selection before assurance + Sponsor approval</w:t>
            </w:r>
          </w:p>
        </w:tc>
      </w:tr>
      <w:tr w:rsidR="000F3F52" w:rsidRPr="00910266">
        <w:trPr>
          <w:jc w:val="center"/>
        </w:trPr>
        <w:tc>
          <w:tcPr>
            <w:tcW w:w="793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Benefits baselines, scale, transition, closure</w:t>
            </w:r>
          </w:p>
        </w:tc>
        <w:tc>
          <w:tcPr>
            <w:tcW w:w="7540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—</w:t>
            </w:r>
          </w:p>
        </w:tc>
      </w:tr>
    </w:tbl>
    <w:p w:rsidR="000F3F52" w:rsidRPr="00910266" w:rsidRDefault="00DE2884" w:rsidP="00910266">
      <w:pPr>
        <w:keepNext/>
        <w:spacing w:before="120"/>
        <w:rPr>
          <w:sz w:val="22"/>
        </w:rPr>
      </w:pPr>
      <w:r w:rsidRPr="00910266">
        <w:rPr>
          <w:b/>
          <w:color w:val="0F2A4A"/>
          <w:sz w:val="28"/>
        </w:rPr>
        <w:lastRenderedPageBreak/>
        <w:t>Section 3 — Controlled Deliverables &amp; Milestone Alignment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4082"/>
        <w:gridCol w:w="1474"/>
        <w:gridCol w:w="9241"/>
      </w:tblGrid>
      <w:tr w:rsidR="000F3F52" w:rsidRPr="00910266">
        <w:trPr>
          <w:jc w:val="center"/>
        </w:trPr>
        <w:tc>
          <w:tcPr>
            <w:tcW w:w="680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4082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w="1474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color w:val="FFFFFF"/>
                <w:sz w:val="20"/>
              </w:rPr>
              <w:t>Window</w:t>
            </w:r>
          </w:p>
        </w:tc>
        <w:tc>
          <w:tcPr>
            <w:tcW w:w="9241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color w:val="FFFFFF"/>
                <w:sz w:val="20"/>
              </w:rPr>
              <w:t>Minimum completion evidence</w:t>
            </w:r>
          </w:p>
        </w:tc>
      </w:tr>
      <w:tr w:rsidR="000F3F52" w:rsidRPr="00910266">
        <w:trPr>
          <w:jc w:val="center"/>
        </w:trPr>
        <w:tc>
          <w:tcPr>
            <w:tcW w:w="68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sz w:val="20"/>
              </w:rPr>
              <w:t>D1</w:t>
            </w:r>
          </w:p>
        </w:tc>
        <w:tc>
          <w:tcPr>
            <w:tcW w:w="40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Initiation &amp; planning baselines</w:t>
            </w:r>
          </w:p>
        </w:tc>
        <w:tc>
          <w:tcPr>
            <w:tcW w:w="147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M01–02</w:t>
            </w:r>
          </w:p>
        </w:tc>
        <w:tc>
          <w:tcPr>
            <w:tcW w:w="92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Approved charter; stakeholder/scope/schedule/cost/risk baselines</w:t>
            </w:r>
          </w:p>
        </w:tc>
      </w:tr>
      <w:tr w:rsidR="000F3F52" w:rsidRPr="00910266">
        <w:trPr>
          <w:jc w:val="center"/>
        </w:trPr>
        <w:tc>
          <w:tcPr>
            <w:tcW w:w="680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sz w:val="20"/>
              </w:rPr>
              <w:t>D2</w:t>
            </w:r>
          </w:p>
        </w:tc>
        <w:tc>
          <w:tcPr>
            <w:tcW w:w="4082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AI governance &amp; architecture foundation</w:t>
            </w:r>
          </w:p>
        </w:tc>
        <w:tc>
          <w:tcPr>
            <w:tcW w:w="1474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M03–04</w:t>
            </w:r>
          </w:p>
        </w:tc>
        <w:tc>
          <w:tcPr>
            <w:tcW w:w="924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Governance model, target architecture, data/control design</w:t>
            </w:r>
          </w:p>
        </w:tc>
      </w:tr>
      <w:tr w:rsidR="000F3F52" w:rsidRPr="00910266">
        <w:trPr>
          <w:jc w:val="center"/>
        </w:trPr>
        <w:tc>
          <w:tcPr>
            <w:tcW w:w="68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sz w:val="20"/>
              </w:rPr>
              <w:t>D3</w:t>
            </w:r>
          </w:p>
        </w:tc>
        <w:tc>
          <w:tcPr>
            <w:tcW w:w="40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Internal copilot MVP</w:t>
            </w:r>
          </w:p>
        </w:tc>
        <w:tc>
          <w:tcPr>
            <w:tcW w:w="147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M05–07</w:t>
            </w:r>
          </w:p>
        </w:tc>
        <w:tc>
          <w:tcPr>
            <w:tcW w:w="92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Controlled pilot, knowledge/prompt library, access, measures</w:t>
            </w:r>
          </w:p>
        </w:tc>
      </w:tr>
      <w:tr w:rsidR="000F3F52" w:rsidRPr="00910266">
        <w:trPr>
          <w:jc w:val="center"/>
        </w:trPr>
        <w:tc>
          <w:tcPr>
            <w:tcW w:w="680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sz w:val="20"/>
              </w:rPr>
              <w:t>D4</w:t>
            </w:r>
          </w:p>
        </w:tc>
        <w:tc>
          <w:tcPr>
            <w:tcW w:w="4082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Customer digital assistant MVP</w:t>
            </w:r>
          </w:p>
        </w:tc>
        <w:tc>
          <w:tcPr>
            <w:tcW w:w="1474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M08–11</w:t>
            </w:r>
          </w:p>
        </w:tc>
        <w:tc>
          <w:tcPr>
            <w:tcW w:w="924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Journeys, handoff, privacy, audit trail, pilot</w:t>
            </w:r>
          </w:p>
        </w:tc>
      </w:tr>
      <w:tr w:rsidR="000F3F52" w:rsidRPr="00910266">
        <w:trPr>
          <w:jc w:val="center"/>
        </w:trPr>
        <w:tc>
          <w:tcPr>
            <w:tcW w:w="68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sz w:val="20"/>
              </w:rPr>
              <w:t>D5</w:t>
            </w:r>
          </w:p>
        </w:tc>
        <w:tc>
          <w:tcPr>
            <w:tcW w:w="40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Lending decision-support MVP</w:t>
            </w:r>
          </w:p>
        </w:tc>
        <w:tc>
          <w:tcPr>
            <w:tcW w:w="147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M12–15</w:t>
            </w:r>
          </w:p>
        </w:tc>
        <w:tc>
          <w:tcPr>
            <w:tcW w:w="92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Completeness/risk summaries, explainability, override, human authority</w:t>
            </w:r>
          </w:p>
        </w:tc>
      </w:tr>
      <w:tr w:rsidR="000F3F52" w:rsidRPr="00910266">
        <w:trPr>
          <w:jc w:val="center"/>
        </w:trPr>
        <w:tc>
          <w:tcPr>
            <w:tcW w:w="680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sz w:val="20"/>
              </w:rPr>
              <w:t>D6</w:t>
            </w:r>
          </w:p>
        </w:tc>
        <w:tc>
          <w:tcPr>
            <w:tcW w:w="4082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Fraud investigator-assist MVP</w:t>
            </w:r>
          </w:p>
        </w:tc>
        <w:tc>
          <w:tcPr>
            <w:tcW w:w="1474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M16–18</w:t>
            </w:r>
          </w:p>
        </w:tc>
        <w:tc>
          <w:tcPr>
            <w:tcW w:w="924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Prioritization, thresholds, investigator review, no auto-action</w:t>
            </w:r>
          </w:p>
        </w:tc>
      </w:tr>
      <w:tr w:rsidR="000F3F52" w:rsidRPr="00910266">
        <w:trPr>
          <w:jc w:val="center"/>
        </w:trPr>
        <w:tc>
          <w:tcPr>
            <w:tcW w:w="68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sz w:val="20"/>
              </w:rPr>
              <w:t>D7</w:t>
            </w:r>
          </w:p>
        </w:tc>
        <w:tc>
          <w:tcPr>
            <w:tcW w:w="408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Scale, transition &amp; closure</w:t>
            </w:r>
          </w:p>
        </w:tc>
        <w:tc>
          <w:tcPr>
            <w:tcW w:w="147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M19–24</w:t>
            </w:r>
          </w:p>
        </w:tc>
        <w:tc>
          <w:tcPr>
            <w:tcW w:w="924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Scale decision, support model, benefit review, closure report</w:t>
            </w:r>
          </w:p>
        </w:tc>
      </w:tr>
    </w:tbl>
    <w:p w:rsidR="000F3F52" w:rsidRPr="00910266" w:rsidRDefault="00DE2884" w:rsidP="00910266">
      <w:pPr>
        <w:keepNext/>
        <w:spacing w:before="240"/>
        <w:rPr>
          <w:sz w:val="22"/>
        </w:rPr>
      </w:pPr>
      <w:r w:rsidRPr="00910266">
        <w:rPr>
          <w:b/>
          <w:color w:val="0F2A4A"/>
          <w:sz w:val="28"/>
        </w:rPr>
        <w:t>Section 4 — Work Breakdown Structure (8 / 16 / 48)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10998"/>
        <w:gridCol w:w="1871"/>
      </w:tblGrid>
      <w:tr w:rsidR="000F3F52" w:rsidRPr="00910266">
        <w:trPr>
          <w:jc w:val="center"/>
        </w:trPr>
        <w:tc>
          <w:tcPr>
            <w:tcW w:w="2608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color w:val="FFFFFF"/>
                <w:sz w:val="20"/>
              </w:rPr>
              <w:t>L1 branch</w:t>
            </w:r>
          </w:p>
        </w:tc>
        <w:tc>
          <w:tcPr>
            <w:tcW w:w="10998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color w:val="FFFFFF"/>
                <w:sz w:val="20"/>
              </w:rPr>
              <w:t>L2 deliverables (2 per branch)</w:t>
            </w:r>
          </w:p>
        </w:tc>
        <w:tc>
          <w:tcPr>
            <w:tcW w:w="1871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jc w:val="center"/>
              <w:rPr>
                <w:sz w:val="22"/>
              </w:rPr>
            </w:pPr>
            <w:r w:rsidRPr="00910266">
              <w:rPr>
                <w:b/>
                <w:color w:val="FFFFFF"/>
                <w:sz w:val="20"/>
              </w:rPr>
              <w:t>WP</w:t>
            </w:r>
          </w:p>
        </w:tc>
      </w:tr>
      <w:tr w:rsidR="000F3F52" w:rsidRPr="00910266">
        <w:trPr>
          <w:jc w:val="center"/>
        </w:trPr>
        <w:tc>
          <w:tcPr>
            <w:tcW w:w="260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sz w:val="20"/>
              </w:rPr>
              <w:t>1.0 Governance</w:t>
            </w:r>
          </w:p>
        </w:tc>
        <w:tc>
          <w:tcPr>
            <w:tcW w:w="1099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1.1 Authorization/baselines · 1.2 Delivery/assurance/benefits</w:t>
            </w:r>
          </w:p>
        </w:tc>
        <w:tc>
          <w:tcPr>
            <w:tcW w:w="187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jc w:val="right"/>
              <w:rPr>
                <w:sz w:val="22"/>
              </w:rPr>
            </w:pPr>
            <w:r w:rsidRPr="00910266">
              <w:rPr>
                <w:sz w:val="20"/>
              </w:rPr>
              <w:t>6</w:t>
            </w:r>
          </w:p>
        </w:tc>
      </w:tr>
      <w:tr w:rsidR="000F3F52" w:rsidRPr="00910266">
        <w:trPr>
          <w:jc w:val="center"/>
        </w:trPr>
        <w:tc>
          <w:tcPr>
            <w:tcW w:w="260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sz w:val="20"/>
              </w:rPr>
              <w:t>2.0 AI Foundation</w:t>
            </w:r>
          </w:p>
        </w:tc>
        <w:tc>
          <w:tcPr>
            <w:tcW w:w="1099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2.1 Responsible AI/architecture/platform · 2.2 Data/security/model-ops</w:t>
            </w:r>
          </w:p>
        </w:tc>
        <w:tc>
          <w:tcPr>
            <w:tcW w:w="187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jc w:val="right"/>
              <w:rPr>
                <w:sz w:val="22"/>
              </w:rPr>
            </w:pPr>
            <w:r w:rsidRPr="00910266">
              <w:rPr>
                <w:sz w:val="20"/>
              </w:rPr>
              <w:t>6</w:t>
            </w:r>
          </w:p>
        </w:tc>
      </w:tr>
      <w:tr w:rsidR="000F3F52" w:rsidRPr="00910266">
        <w:trPr>
          <w:jc w:val="center"/>
        </w:trPr>
        <w:tc>
          <w:tcPr>
            <w:tcW w:w="260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sz w:val="20"/>
              </w:rPr>
              <w:t>3.0 Internal Copilot</w:t>
            </w:r>
          </w:p>
        </w:tc>
        <w:tc>
          <w:tcPr>
            <w:tcW w:w="1099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3.1 Use cases/requirements/knowledge · 3.2 Config/assurance/pilot</w:t>
            </w:r>
          </w:p>
        </w:tc>
        <w:tc>
          <w:tcPr>
            <w:tcW w:w="187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jc w:val="right"/>
              <w:rPr>
                <w:sz w:val="22"/>
              </w:rPr>
            </w:pPr>
            <w:r w:rsidRPr="00910266">
              <w:rPr>
                <w:sz w:val="20"/>
              </w:rPr>
              <w:t>6</w:t>
            </w:r>
          </w:p>
        </w:tc>
      </w:tr>
      <w:tr w:rsidR="000F3F52" w:rsidRPr="00910266">
        <w:trPr>
          <w:jc w:val="center"/>
        </w:trPr>
        <w:tc>
          <w:tcPr>
            <w:tcW w:w="260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sz w:val="20"/>
              </w:rPr>
              <w:t>4.0 Customer Assistant</w:t>
            </w:r>
          </w:p>
        </w:tc>
        <w:tc>
          <w:tcPr>
            <w:tcW w:w="1099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4.1 Journeys/knowledge/privacy · 4.2 Orchestration/assurance/pilot</w:t>
            </w:r>
          </w:p>
        </w:tc>
        <w:tc>
          <w:tcPr>
            <w:tcW w:w="187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jc w:val="right"/>
              <w:rPr>
                <w:sz w:val="22"/>
              </w:rPr>
            </w:pPr>
            <w:r w:rsidRPr="00910266">
              <w:rPr>
                <w:sz w:val="20"/>
              </w:rPr>
              <w:t>6</w:t>
            </w:r>
          </w:p>
        </w:tc>
      </w:tr>
      <w:tr w:rsidR="000F3F52" w:rsidRPr="00910266">
        <w:trPr>
          <w:jc w:val="center"/>
        </w:trPr>
        <w:tc>
          <w:tcPr>
            <w:tcW w:w="260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sz w:val="20"/>
              </w:rPr>
              <w:t>5.0 Lending Support</w:t>
            </w:r>
          </w:p>
        </w:tc>
        <w:tc>
          <w:tcPr>
            <w:tcW w:w="1099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5.1 Requirements/intake/evidence · 5.2 Controls/assurance/pilot</w:t>
            </w:r>
          </w:p>
        </w:tc>
        <w:tc>
          <w:tcPr>
            <w:tcW w:w="187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jc w:val="right"/>
              <w:rPr>
                <w:sz w:val="22"/>
              </w:rPr>
            </w:pPr>
            <w:r w:rsidRPr="00910266">
              <w:rPr>
                <w:sz w:val="20"/>
              </w:rPr>
              <w:t>6</w:t>
            </w:r>
          </w:p>
        </w:tc>
      </w:tr>
      <w:tr w:rsidR="000F3F52" w:rsidRPr="00910266">
        <w:trPr>
          <w:jc w:val="center"/>
        </w:trPr>
        <w:tc>
          <w:tcPr>
            <w:tcW w:w="260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sz w:val="20"/>
              </w:rPr>
              <w:t>6.0 Fraud Assist</w:t>
            </w:r>
          </w:p>
        </w:tc>
        <w:tc>
          <w:tcPr>
            <w:tcW w:w="1099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6.1 Signals/data/triage · 6.2 Controls/assurance/pilot</w:t>
            </w:r>
          </w:p>
        </w:tc>
        <w:tc>
          <w:tcPr>
            <w:tcW w:w="187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jc w:val="right"/>
              <w:rPr>
                <w:sz w:val="22"/>
              </w:rPr>
            </w:pPr>
            <w:r w:rsidRPr="00910266">
              <w:rPr>
                <w:sz w:val="20"/>
              </w:rPr>
              <w:t>6</w:t>
            </w:r>
          </w:p>
        </w:tc>
      </w:tr>
      <w:tr w:rsidR="000F3F52" w:rsidRPr="00910266">
        <w:trPr>
          <w:jc w:val="center"/>
        </w:trPr>
        <w:tc>
          <w:tcPr>
            <w:tcW w:w="260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sz w:val="20"/>
              </w:rPr>
              <w:t>7.0 Change &amp; Benefits</w:t>
            </w:r>
          </w:p>
        </w:tc>
        <w:tc>
          <w:tcPr>
            <w:tcW w:w="1099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7.1 Readiness/comms/learning · 7.2 Adoption/KPIs/benefits</w:t>
            </w:r>
          </w:p>
        </w:tc>
        <w:tc>
          <w:tcPr>
            <w:tcW w:w="187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jc w:val="right"/>
              <w:rPr>
                <w:sz w:val="22"/>
              </w:rPr>
            </w:pPr>
            <w:r w:rsidRPr="00910266">
              <w:rPr>
                <w:sz w:val="20"/>
              </w:rPr>
              <w:t>6</w:t>
            </w:r>
          </w:p>
        </w:tc>
      </w:tr>
      <w:tr w:rsidR="000F3F52" w:rsidRPr="00910266">
        <w:trPr>
          <w:jc w:val="center"/>
        </w:trPr>
        <w:tc>
          <w:tcPr>
            <w:tcW w:w="260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sz w:val="20"/>
              </w:rPr>
              <w:t>8.0 Scale &amp; Closure</w:t>
            </w:r>
          </w:p>
        </w:tc>
        <w:tc>
          <w:tcPr>
            <w:tcW w:w="1099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8.1 Scale/release/stabilization · 8.2 Transition/handover/closure</w:t>
            </w:r>
          </w:p>
        </w:tc>
        <w:tc>
          <w:tcPr>
            <w:tcW w:w="187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jc w:val="right"/>
              <w:rPr>
                <w:sz w:val="22"/>
              </w:rPr>
            </w:pPr>
            <w:r w:rsidRPr="00910266">
              <w:rPr>
                <w:sz w:val="20"/>
              </w:rPr>
              <w:t>6</w:t>
            </w:r>
          </w:p>
        </w:tc>
      </w:tr>
      <w:tr w:rsidR="000F3F52" w:rsidRPr="00910266">
        <w:trPr>
          <w:jc w:val="center"/>
        </w:trPr>
        <w:tc>
          <w:tcPr>
            <w:tcW w:w="2608" w:type="dxa"/>
            <w:shd w:val="clear" w:color="auto" w:fill="F3E8C8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sz w:val="20"/>
              </w:rPr>
              <w:t>Total</w:t>
            </w:r>
          </w:p>
        </w:tc>
        <w:tc>
          <w:tcPr>
            <w:tcW w:w="10998" w:type="dxa"/>
            <w:shd w:val="clear" w:color="auto" w:fill="F3E8C8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sz w:val="20"/>
              </w:rPr>
              <w:t>16 L2 deliverables</w:t>
            </w:r>
          </w:p>
        </w:tc>
        <w:tc>
          <w:tcPr>
            <w:tcW w:w="1871" w:type="dxa"/>
            <w:shd w:val="clear" w:color="auto" w:fill="F3E8C8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jc w:val="right"/>
              <w:rPr>
                <w:sz w:val="22"/>
              </w:rPr>
            </w:pPr>
            <w:r w:rsidRPr="00910266">
              <w:rPr>
                <w:b/>
                <w:sz w:val="20"/>
              </w:rPr>
              <w:t>48 L3</w:t>
            </w:r>
          </w:p>
        </w:tc>
      </w:tr>
    </w:tbl>
    <w:p w:rsidR="000F3F52" w:rsidRPr="00910266" w:rsidRDefault="00DE2884" w:rsidP="00910266">
      <w:pPr>
        <w:keepNext/>
        <w:spacing w:before="240"/>
        <w:rPr>
          <w:sz w:val="22"/>
        </w:rPr>
      </w:pPr>
      <w:r w:rsidRPr="00910266">
        <w:rPr>
          <w:b/>
          <w:color w:val="0F2A4A"/>
          <w:sz w:val="28"/>
        </w:rPr>
        <w:t>Section 5 — Acceptance Criteria &amp; Objective Traceability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1587"/>
        <w:gridCol w:w="6236"/>
        <w:gridCol w:w="4252"/>
      </w:tblGrid>
      <w:tr w:rsidR="000F3F52" w:rsidRPr="00910266">
        <w:trPr>
          <w:jc w:val="center"/>
        </w:trPr>
        <w:tc>
          <w:tcPr>
            <w:tcW w:w="3402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color w:val="FFFFFF"/>
                <w:sz w:val="20"/>
              </w:rPr>
              <w:t>Approved objective</w:t>
            </w:r>
          </w:p>
        </w:tc>
        <w:tc>
          <w:tcPr>
            <w:tcW w:w="1587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w="6236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color w:val="FFFFFF"/>
                <w:sz w:val="20"/>
              </w:rPr>
              <w:t>Acceptance evidence</w:t>
            </w:r>
          </w:p>
        </w:tc>
        <w:tc>
          <w:tcPr>
            <w:tcW w:w="4252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color w:val="FFFFFF"/>
                <w:sz w:val="20"/>
              </w:rPr>
              <w:t>Owner</w:t>
            </w:r>
          </w:p>
        </w:tc>
      </w:tr>
      <w:tr w:rsidR="000F3F52" w:rsidRPr="00910266">
        <w:trPr>
          <w:jc w:val="center"/>
        </w:trPr>
        <w:tc>
          <w:tcPr>
            <w:tcW w:w="340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sz w:val="20"/>
              </w:rPr>
              <w:t>35% fewer customer inquiries</w:t>
            </w:r>
          </w:p>
        </w:tc>
        <w:tc>
          <w:tcPr>
            <w:tcW w:w="158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D4 / M08–11</w:t>
            </w:r>
          </w:p>
        </w:tc>
        <w:tc>
          <w:tcPr>
            <w:tcW w:w="623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Baseline + pilot; knowledge/handoff/audit evidence</w:t>
            </w:r>
          </w:p>
        </w:tc>
        <w:tc>
          <w:tcPr>
            <w:tcW w:w="425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Contact Centre / Digital PO</w:t>
            </w:r>
          </w:p>
        </w:tc>
      </w:tr>
      <w:tr w:rsidR="000F3F52" w:rsidRPr="00910266">
        <w:trPr>
          <w:jc w:val="center"/>
        </w:trPr>
        <w:tc>
          <w:tcPr>
            <w:tcW w:w="3402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sz w:val="20"/>
              </w:rPr>
              <w:t>30% less report-prep time</w:t>
            </w:r>
          </w:p>
        </w:tc>
        <w:tc>
          <w:tcPr>
            <w:tcW w:w="158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D3 / M05–07</w:t>
            </w:r>
          </w:p>
        </w:tc>
        <w:tc>
          <w:tcPr>
            <w:tcW w:w="6236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Time study + governed use cases + verification</w:t>
            </w:r>
          </w:p>
        </w:tc>
        <w:tc>
          <w:tcPr>
            <w:tcW w:w="4252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COO / Copilot PO</w:t>
            </w:r>
          </w:p>
        </w:tc>
      </w:tr>
      <w:tr w:rsidR="000F3F52" w:rsidRPr="00910266">
        <w:trPr>
          <w:jc w:val="center"/>
        </w:trPr>
        <w:tc>
          <w:tcPr>
            <w:tcW w:w="340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sz w:val="20"/>
              </w:rPr>
              <w:t>35% less lending rework</w:t>
            </w:r>
          </w:p>
        </w:tc>
        <w:tc>
          <w:tcPr>
            <w:tcW w:w="158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D5 / M12–15</w:t>
            </w:r>
          </w:p>
        </w:tc>
        <w:tc>
          <w:tcPr>
            <w:tcW w:w="623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Rework baseline + traceable summaries + override</w:t>
            </w:r>
          </w:p>
        </w:tc>
        <w:tc>
          <w:tcPr>
            <w:tcW w:w="425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Lending Ops / Credit Risk</w:t>
            </w:r>
          </w:p>
        </w:tc>
      </w:tr>
      <w:tr w:rsidR="000F3F52" w:rsidRPr="00910266">
        <w:trPr>
          <w:jc w:val="center"/>
        </w:trPr>
        <w:tc>
          <w:tcPr>
            <w:tcW w:w="3402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sz w:val="20"/>
              </w:rPr>
              <w:t>25% fewer fraud false positives</w:t>
            </w:r>
          </w:p>
        </w:tc>
        <w:tc>
          <w:tcPr>
            <w:tcW w:w="158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D6 / M16–18</w:t>
            </w:r>
          </w:p>
        </w:tc>
        <w:tc>
          <w:tcPr>
            <w:tcW w:w="6236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Labelled sample + monitoring + no auto-action</w:t>
            </w:r>
          </w:p>
        </w:tc>
        <w:tc>
          <w:tcPr>
            <w:tcW w:w="4252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Fraud Ops / Fin-Crime</w:t>
            </w:r>
          </w:p>
        </w:tc>
      </w:tr>
      <w:tr w:rsidR="000F3F52" w:rsidRPr="00910266">
        <w:trPr>
          <w:jc w:val="center"/>
        </w:trPr>
        <w:tc>
          <w:tcPr>
            <w:tcW w:w="340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sz w:val="20"/>
              </w:rPr>
              <w:t>&gt;60% adoption</w:t>
            </w:r>
          </w:p>
        </w:tc>
        <w:tc>
          <w:tcPr>
            <w:tcW w:w="158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D3–D7</w:t>
            </w:r>
          </w:p>
        </w:tc>
        <w:tc>
          <w:tcPr>
            <w:tcW w:w="623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Active-use rule + dashboard + readiness</w:t>
            </w:r>
          </w:p>
        </w:tc>
        <w:tc>
          <w:tcPr>
            <w:tcW w:w="425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Change Lead / PO</w:t>
            </w:r>
          </w:p>
        </w:tc>
      </w:tr>
      <w:tr w:rsidR="000F3F52" w:rsidRPr="00910266">
        <w:trPr>
          <w:jc w:val="center"/>
        </w:trPr>
        <w:tc>
          <w:tcPr>
            <w:tcW w:w="3402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sz w:val="20"/>
              </w:rPr>
              <w:lastRenderedPageBreak/>
              <w:t>Zero critical breaches</w:t>
            </w:r>
          </w:p>
        </w:tc>
        <w:tc>
          <w:tcPr>
            <w:tcW w:w="158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D2–D7</w:t>
            </w:r>
          </w:p>
        </w:tc>
        <w:tc>
          <w:tcPr>
            <w:tcW w:w="6236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Severity definition + checklist + incident records</w:t>
            </w:r>
          </w:p>
        </w:tc>
        <w:tc>
          <w:tcPr>
            <w:tcW w:w="4252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CRO / Compliance</w:t>
            </w:r>
          </w:p>
        </w:tc>
      </w:tr>
      <w:tr w:rsidR="000F3F52" w:rsidRPr="00910266">
        <w:trPr>
          <w:jc w:val="center"/>
        </w:trPr>
        <w:tc>
          <w:tcPr>
            <w:tcW w:w="340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sz w:val="20"/>
              </w:rPr>
              <w:t>Positive NPV (5-yr)</w:t>
            </w:r>
          </w:p>
        </w:tc>
        <w:tc>
          <w:tcPr>
            <w:tcW w:w="158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D1/D7</w:t>
            </w:r>
          </w:p>
        </w:tc>
        <w:tc>
          <w:tcPr>
            <w:tcW w:w="623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Finance-approved timing + attribution</w:t>
            </w:r>
          </w:p>
        </w:tc>
        <w:tc>
          <w:tcPr>
            <w:tcW w:w="425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CFO</w:t>
            </w:r>
          </w:p>
        </w:tc>
      </w:tr>
    </w:tbl>
    <w:p w:rsidR="000F3F52" w:rsidRPr="00910266" w:rsidRDefault="00DE2884" w:rsidP="00910266">
      <w:pPr>
        <w:keepNext/>
        <w:spacing w:before="240"/>
        <w:rPr>
          <w:sz w:val="22"/>
        </w:rPr>
      </w:pPr>
      <w:r w:rsidRPr="00910266">
        <w:rPr>
          <w:b/>
          <w:color w:val="0F2A4A"/>
          <w:sz w:val="28"/>
        </w:rPr>
        <w:t>Section 6 — Assumptions, Constraints, Dependencies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6"/>
        <w:gridCol w:w="5669"/>
        <w:gridCol w:w="4932"/>
      </w:tblGrid>
      <w:tr w:rsidR="000F3F52" w:rsidRPr="00910266">
        <w:trPr>
          <w:jc w:val="center"/>
        </w:trPr>
        <w:tc>
          <w:tcPr>
            <w:tcW w:w="4876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color w:val="FFFFFF"/>
                <w:sz w:val="20"/>
              </w:rPr>
              <w:t>Assumptions</w:t>
            </w:r>
          </w:p>
        </w:tc>
        <w:tc>
          <w:tcPr>
            <w:tcW w:w="5669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color w:val="FFFFFF"/>
                <w:sz w:val="20"/>
              </w:rPr>
              <w:t>Constraints</w:t>
            </w:r>
          </w:p>
        </w:tc>
        <w:tc>
          <w:tcPr>
            <w:tcW w:w="4932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color w:val="FFFFFF"/>
                <w:sz w:val="20"/>
              </w:rPr>
              <w:t>Dependencies</w:t>
            </w:r>
          </w:p>
        </w:tc>
      </w:tr>
      <w:tr w:rsidR="000F3F52" w:rsidRPr="00910266">
        <w:trPr>
          <w:jc w:val="center"/>
        </w:trPr>
        <w:tc>
          <w:tcPr>
            <w:tcW w:w="48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sz w:val="20"/>
              </w:rPr>
              <w:t>Sponsorship + phased funding remain</w:t>
            </w:r>
          </w:p>
        </w:tc>
        <w:tc>
          <w:tcPr>
            <w:tcW w:w="566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24-month roadmap</w:t>
            </w:r>
          </w:p>
        </w:tc>
        <w:tc>
          <w:tcPr>
            <w:tcW w:w="493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Governance + architecture evidence</w:t>
            </w:r>
          </w:p>
        </w:tc>
      </w:tr>
      <w:tr w:rsidR="000F3F52" w:rsidRPr="00910266">
        <w:trPr>
          <w:jc w:val="center"/>
        </w:trPr>
        <w:tc>
          <w:tcPr>
            <w:tcW w:w="4876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sz w:val="20"/>
              </w:rPr>
              <w:t>Systems expose APIs</w:t>
            </w:r>
          </w:p>
        </w:tc>
        <w:tc>
          <w:tcPr>
            <w:tcW w:w="5669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$11.5M CAPEX / $27.5M TCO; $0 until DEC-02</w:t>
            </w:r>
          </w:p>
        </w:tc>
        <w:tc>
          <w:tcPr>
            <w:tcW w:w="4932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Vendor selection + due diligence</w:t>
            </w:r>
          </w:p>
        </w:tc>
      </w:tr>
      <w:tr w:rsidR="000F3F52" w:rsidRPr="00910266">
        <w:trPr>
          <w:jc w:val="center"/>
        </w:trPr>
        <w:tc>
          <w:tcPr>
            <w:tcW w:w="48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sz w:val="20"/>
              </w:rPr>
              <w:t>Compliance supports controlled pilots</w:t>
            </w:r>
          </w:p>
        </w:tc>
        <w:tc>
          <w:tcPr>
            <w:tcW w:w="566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Canadian regulatory applicability (DEC-09)</w:t>
            </w:r>
          </w:p>
        </w:tc>
        <w:tc>
          <w:tcPr>
            <w:tcW w:w="493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Data, privacy, security, model-risk review</w:t>
            </w:r>
          </w:p>
        </w:tc>
      </w:tr>
      <w:tr w:rsidR="000F3F52" w:rsidRPr="00910266">
        <w:trPr>
          <w:jc w:val="center"/>
        </w:trPr>
        <w:tc>
          <w:tcPr>
            <w:tcW w:w="4876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sz w:val="20"/>
              </w:rPr>
              <w:t>Owners supply capacity/data/baselines</w:t>
            </w:r>
          </w:p>
        </w:tc>
        <w:tc>
          <w:tcPr>
            <w:tcW w:w="5669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PM delegation + Steering via DEC-03/04</w:t>
            </w:r>
          </w:p>
        </w:tc>
        <w:tc>
          <w:tcPr>
            <w:tcW w:w="4932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System integration readiness</w:t>
            </w:r>
          </w:p>
        </w:tc>
      </w:tr>
      <w:tr w:rsidR="000F3F52" w:rsidRPr="00910266">
        <w:trPr>
          <w:jc w:val="center"/>
        </w:trPr>
        <w:tc>
          <w:tcPr>
            <w:tcW w:w="48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sz w:val="20"/>
              </w:rPr>
              <w:t>Finance validates source estimates</w:t>
            </w:r>
          </w:p>
        </w:tc>
        <w:tc>
          <w:tcPr>
            <w:tcW w:w="566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Human accountability + gates non-negotiable</w:t>
            </w:r>
          </w:p>
        </w:tc>
        <w:tc>
          <w:tcPr>
            <w:tcW w:w="493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Business/training/Finance capacity</w:t>
            </w:r>
          </w:p>
        </w:tc>
      </w:tr>
    </w:tbl>
    <w:p w:rsidR="000F3F52" w:rsidRPr="00910266" w:rsidRDefault="00DE2884" w:rsidP="00910266">
      <w:pPr>
        <w:keepNext/>
        <w:spacing w:before="240"/>
        <w:rPr>
          <w:sz w:val="22"/>
        </w:rPr>
      </w:pPr>
      <w:r w:rsidRPr="00910266">
        <w:rPr>
          <w:b/>
          <w:color w:val="0F2A4A"/>
          <w:sz w:val="28"/>
        </w:rPr>
        <w:t>Section 7 — Validation, Change Control &amp; PM Boundary</w:t>
      </w:r>
    </w:p>
    <w:p w:rsidR="000F3F52" w:rsidRPr="00910266" w:rsidRDefault="00DE2884">
      <w:pPr>
        <w:rPr>
          <w:sz w:val="22"/>
        </w:rPr>
      </w:pPr>
      <w:r w:rsidRPr="00910266">
        <w:rPr>
          <w:sz w:val="21"/>
        </w:rPr>
        <w:t>Validation: Product Owner assembles evidence → control functions review → PM confirms traceability → functional owner records validate/conditions/not-validated → Sponsor decides stop/remediate/continue/scale/close.</w:t>
      </w:r>
    </w:p>
    <w:p w:rsidR="000F3F52" w:rsidRPr="00910266" w:rsidRDefault="00DE2884">
      <w:pPr>
        <w:rPr>
          <w:sz w:val="22"/>
        </w:rPr>
      </w:pPr>
      <w:r w:rsidRPr="00910266">
        <w:rPr>
          <w:sz w:val="21"/>
        </w:rPr>
        <w:t>Change workflow: Log → Triage → Assess → Review → Decide (Sponsor) → Rebaseline → Verify.</w:t>
      </w:r>
    </w:p>
    <w:p w:rsidR="000F3F52" w:rsidRPr="00910266" w:rsidRDefault="00DE2884">
      <w:pPr>
        <w:rPr>
          <w:sz w:val="22"/>
        </w:rPr>
      </w:pPr>
      <w:r w:rsidRPr="00910266">
        <w:rPr>
          <w:sz w:val="21"/>
        </w:rPr>
        <w:t>PM working-role boundary (6 controls):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710"/>
        <w:gridCol w:w="7767"/>
      </w:tblGrid>
      <w:tr w:rsidR="000F3F52" w:rsidRPr="00910266">
        <w:trPr>
          <w:jc w:val="center"/>
        </w:trPr>
        <w:tc>
          <w:tcPr>
            <w:tcW w:w="7710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color w:val="FFFFFF"/>
                <w:sz w:val="20"/>
              </w:rPr>
              <w:t>Permitted</w:t>
            </w:r>
          </w:p>
        </w:tc>
        <w:tc>
          <w:tcPr>
            <w:tcW w:w="7767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color w:val="FFFFFF"/>
                <w:sz w:val="20"/>
              </w:rPr>
              <w:t>Reserved for Sponsor</w:t>
            </w:r>
          </w:p>
        </w:tc>
      </w:tr>
      <w:tr w:rsidR="000F3F52" w:rsidRPr="00910266">
        <w:trPr>
          <w:jc w:val="center"/>
        </w:trPr>
        <w:tc>
          <w:tcPr>
            <w:tcW w:w="771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sz w:val="20"/>
              </w:rPr>
              <w:t>Maintain baselines, registers, traceability</w:t>
            </w:r>
          </w:p>
        </w:tc>
        <w:tc>
          <w:tcPr>
            <w:tcW w:w="776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Commit/release funds</w:t>
            </w:r>
          </w:p>
        </w:tc>
      </w:tr>
      <w:tr w:rsidR="000F3F52" w:rsidRPr="00910266">
        <w:trPr>
          <w:jc w:val="center"/>
        </w:trPr>
        <w:tc>
          <w:tcPr>
            <w:tcW w:w="7710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sz w:val="20"/>
              </w:rPr>
              <w:t>Convene workshops, coord</w:t>
            </w:r>
            <w:bookmarkStart w:id="0" w:name="_GoBack"/>
            <w:bookmarkEnd w:id="0"/>
            <w:r w:rsidRPr="00910266">
              <w:rPr>
                <w:b/>
                <w:sz w:val="20"/>
              </w:rPr>
              <w:t>inate functions</w:t>
            </w:r>
          </w:p>
        </w:tc>
        <w:tc>
          <w:tcPr>
            <w:tcW w:w="776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Engage/contract vendor</w:t>
            </w:r>
          </w:p>
        </w:tc>
      </w:tr>
      <w:tr w:rsidR="000F3F52" w:rsidRPr="00910266">
        <w:trPr>
          <w:jc w:val="center"/>
        </w:trPr>
        <w:tc>
          <w:tcPr>
            <w:tcW w:w="771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sz w:val="20"/>
              </w:rPr>
              <w:t>Prepare assessments, recommendations, gate packs</w:t>
            </w:r>
          </w:p>
        </w:tc>
        <w:tc>
          <w:tcPr>
            <w:tcW w:w="776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Direct staff outside assignments</w:t>
            </w:r>
          </w:p>
        </w:tc>
      </w:tr>
      <w:tr w:rsidR="000F3F52" w:rsidRPr="00910266">
        <w:trPr>
          <w:jc w:val="center"/>
        </w:trPr>
        <w:tc>
          <w:tcPr>
            <w:tcW w:w="7710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sz w:val="20"/>
              </w:rPr>
              <w:t>Record decisions, evidence, escalations</w:t>
            </w:r>
          </w:p>
        </w:tc>
        <w:tc>
          <w:tcPr>
            <w:tcW w:w="776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Approve material scope/KPI/TCO changes</w:t>
            </w:r>
          </w:p>
        </w:tc>
      </w:tr>
      <w:tr w:rsidR="000F3F52" w:rsidRPr="00910266">
        <w:trPr>
          <w:jc w:val="center"/>
        </w:trPr>
        <w:tc>
          <w:tcPr>
            <w:tcW w:w="771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sz w:val="20"/>
              </w:rPr>
              <w:t>Coordinate acceptance evidence, report status</w:t>
            </w:r>
          </w:p>
        </w:tc>
        <w:tc>
          <w:tcPr>
            <w:tcW w:w="776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Accept regulatory/model/residual risk</w:t>
            </w:r>
          </w:p>
        </w:tc>
      </w:tr>
      <w:tr w:rsidR="000F3F52" w:rsidRPr="00910266">
        <w:trPr>
          <w:jc w:val="center"/>
        </w:trPr>
        <w:tc>
          <w:tcPr>
            <w:tcW w:w="7710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b/>
                <w:sz w:val="20"/>
              </w:rPr>
              <w:t>Recommend stop/remediate/continue/scale</w:t>
            </w:r>
          </w:p>
        </w:tc>
        <w:tc>
          <w:tcPr>
            <w:tcW w:w="776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0F3F52" w:rsidRPr="00910266" w:rsidRDefault="00DE2884">
            <w:pPr>
              <w:rPr>
                <w:sz w:val="22"/>
              </w:rPr>
            </w:pPr>
            <w:r w:rsidRPr="00910266">
              <w:rPr>
                <w:sz w:val="20"/>
              </w:rPr>
              <w:t>Authorize pilot/release/scale unless delegated</w:t>
            </w:r>
          </w:p>
        </w:tc>
      </w:tr>
    </w:tbl>
    <w:p w:rsidR="00DE2884" w:rsidRPr="00910266" w:rsidRDefault="00DE2884">
      <w:pPr>
        <w:rPr>
          <w:sz w:val="22"/>
        </w:rPr>
      </w:pPr>
    </w:p>
    <w:sectPr w:rsidR="00DE2884" w:rsidRPr="00910266" w:rsidSect="00034616">
      <w:headerReference w:type="default" r:id="rId8"/>
      <w:footerReference w:type="default" r:id="rId9"/>
      <w:pgSz w:w="16838" w:h="11906" w:orient="landscape"/>
      <w:pgMar w:top="720" w:right="720" w:bottom="720" w:left="720" w:header="227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19A6" w:rsidRDefault="00A119A6">
      <w:pPr>
        <w:spacing w:after="0" w:line="240" w:lineRule="auto"/>
      </w:pPr>
      <w:r>
        <w:separator/>
      </w:r>
    </w:p>
  </w:endnote>
  <w:endnote w:type="continuationSeparator" w:id="0">
    <w:p w:rsidR="00A119A6" w:rsidRDefault="00A11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3F52" w:rsidRDefault="00DE2884">
    <w:pPr>
      <w:pStyle w:val="Footer"/>
      <w:jc w:val="center"/>
    </w:pPr>
    <w:r>
      <w:rPr>
        <w:color w:val="555555"/>
        <w:sz w:val="14"/>
      </w:rPr>
      <w:t xml:space="preserve">PTB-SCOPE-001  ·  Page </w:t>
    </w:r>
    <w:r>
      <w:rPr>
        <w:color w:val="555555"/>
        <w:sz w:val="14"/>
      </w:rPr>
      <w:fldChar w:fldCharType="begin"/>
    </w:r>
    <w:r>
      <w:rPr>
        <w:color w:val="555555"/>
        <w:sz w:val="14"/>
      </w:rPr>
      <w:instrText>PAGE</w:instrText>
    </w:r>
    <w:r>
      <w:rPr>
        <w:color w:val="555555"/>
        <w:sz w:val="14"/>
      </w:rPr>
      <w:fldChar w:fldCharType="separate"/>
    </w:r>
    <w:r w:rsidR="00910266">
      <w:rPr>
        <w:noProof/>
        <w:color w:val="555555"/>
        <w:sz w:val="14"/>
      </w:rPr>
      <w:t>2</w:t>
    </w:r>
    <w:r>
      <w:rPr>
        <w:color w:val="555555"/>
        <w:sz w:val="14"/>
      </w:rPr>
      <w:fldChar w:fldCharType="end"/>
    </w:r>
    <w:r>
      <w:rPr>
        <w:color w:val="555555"/>
        <w:sz w:val="14"/>
      </w:rPr>
      <w:t xml:space="preserve">  ·  Pole Trust Bank — Synthetic Classroom Case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19A6" w:rsidRDefault="00A119A6">
      <w:pPr>
        <w:spacing w:after="0" w:line="240" w:lineRule="auto"/>
      </w:pPr>
      <w:r>
        <w:separator/>
      </w:r>
    </w:p>
  </w:footnote>
  <w:footnote w:type="continuationSeparator" w:id="0">
    <w:p w:rsidR="00A119A6" w:rsidRDefault="00A119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3F52" w:rsidRDefault="00DE2884">
    <w:pPr>
      <w:pStyle w:val="Header"/>
      <w:jc w:val="center"/>
    </w:pPr>
    <w:r>
      <w:rPr>
        <w:i/>
        <w:color w:val="555555"/>
        <w:sz w:val="15"/>
      </w:rPr>
      <w:t>Pole Trust Bank — Integrated AI Banking Implementation Ecosystem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3F52"/>
    <w:rsid w:val="0015074B"/>
    <w:rsid w:val="0029639D"/>
    <w:rsid w:val="00326F90"/>
    <w:rsid w:val="00606148"/>
    <w:rsid w:val="00910266"/>
    <w:rsid w:val="00A119A6"/>
    <w:rsid w:val="00AA1D8D"/>
    <w:rsid w:val="00B47730"/>
    <w:rsid w:val="00CB0664"/>
    <w:rsid w:val="00DE28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1EB8BA8-4459-4E3C-B800-74082A48A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8D6C7E-CAA4-4A78-A05A-6BFDAD616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913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HAROON TRADERS</cp:lastModifiedBy>
  <cp:revision>3</cp:revision>
  <dcterms:created xsi:type="dcterms:W3CDTF">2013-12-23T23:15:00Z</dcterms:created>
  <dcterms:modified xsi:type="dcterms:W3CDTF">2026-08-15T12:34:00Z</dcterms:modified>
  <cp:category/>
</cp:coreProperties>
</file>