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610" w:rsidRPr="00DD023B" w:rsidRDefault="00EB104A">
      <w:pPr>
        <w:spacing w:after="80"/>
        <w:jc w:val="center"/>
        <w:rPr>
          <w:sz w:val="20"/>
        </w:rPr>
      </w:pPr>
      <w:r w:rsidRPr="00DD023B">
        <w:rPr>
          <w:b/>
          <w:color w:val="0F2A4A"/>
          <w:sz w:val="34"/>
        </w:rPr>
        <w:t xml:space="preserve">Schedule Management Plan &amp; Work-Package Sequencing | </w:t>
      </w:r>
      <w:r w:rsidRPr="00DD023B">
        <w:rPr>
          <w:b/>
          <w:color w:val="B8860B"/>
          <w:sz w:val="24"/>
        </w:rPr>
        <w:t>PTB-SCHED-001  ·  Version 1.0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2926"/>
      </w:tblGrid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PTB-SCHED-001</w:t>
            </w:r>
          </w:p>
        </w:tc>
      </w:tr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Version / date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1.0 / 2 August 2026</w:t>
            </w:r>
          </w:p>
        </w:tc>
      </w:tr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Refined planning baseline · Sponsor review</w:t>
            </w:r>
          </w:p>
        </w:tc>
      </w:tr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Project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Integrated AI Banking Implementation Ecosystem (Pair 5)</w:t>
            </w:r>
          </w:p>
        </w:tc>
      </w:tr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Project Sponsor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Sheikh Moeen Akhtar</w:t>
            </w:r>
          </w:p>
        </w:tc>
      </w:tr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Project/Program Manager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Salman Zaman (working role accepted)</w:t>
            </w:r>
          </w:p>
        </w:tc>
      </w:tr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Schedule change authority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Sponsor; milestone slip outside tolerance routes to Sponsor until DEC-03/04</w:t>
            </w:r>
          </w:p>
        </w:tc>
      </w:tr>
      <w:tr w:rsidR="000E5610" w:rsidRPr="00DD023B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0F2A4A"/>
                <w:sz w:val="19"/>
              </w:rPr>
              <w:t>Open decisions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19"/>
              </w:rPr>
              <w:t>Effective date (DEC-01) · owners (DEC-05) · readiness (DEC-10)</w:t>
            </w:r>
          </w:p>
        </w:tc>
      </w:tr>
    </w:tbl>
    <w:p w:rsidR="000E5610" w:rsidRPr="00DD023B" w:rsidRDefault="00EB104A" w:rsidP="00DD023B">
      <w:pPr>
        <w:keepNext/>
        <w:spacing w:before="240"/>
        <w:rPr>
          <w:sz w:val="22"/>
        </w:rPr>
      </w:pPr>
      <w:r w:rsidRPr="00DD023B">
        <w:rPr>
          <w:b/>
          <w:color w:val="0F2A4A"/>
          <w:sz w:val="28"/>
        </w:rPr>
        <w:t>Section 1 — Schedule Approach, Purpose &amp; Methodology</w:t>
      </w:r>
    </w:p>
    <w:p w:rsidR="000E5610" w:rsidRPr="00DD023B" w:rsidRDefault="00EB104A">
      <w:pPr>
        <w:rPr>
          <w:sz w:val="22"/>
        </w:rPr>
      </w:pPr>
      <w:r w:rsidRPr="00DD023B">
        <w:rPr>
          <w:b/>
          <w:sz w:val="21"/>
        </w:rPr>
        <w:t>Purpose:</w:t>
      </w:r>
      <w:r w:rsidRPr="00DD023B">
        <w:rPr>
          <w:sz w:val="21"/>
        </w:rPr>
        <w:t xml:space="preserve"> sequence the 48 work packages into a realistic, controllable 24-month schedule; expose the zero-slack chain so management attention lands where delay extends delivery; fix a baseline for progress, variance and corrective action.</w:t>
      </w:r>
    </w:p>
    <w:p w:rsidR="000E5610" w:rsidRPr="00DD023B" w:rsidRDefault="00EB104A">
      <w:pPr>
        <w:rPr>
          <w:sz w:val="22"/>
        </w:rPr>
      </w:pPr>
      <w:r w:rsidRPr="00DD023B">
        <w:rPr>
          <w:b/>
          <w:i/>
          <w:color w:val="555555"/>
          <w:sz w:val="21"/>
        </w:rPr>
        <w:t>Methodology:</w:t>
      </w:r>
      <w:r w:rsidRPr="00DD023B">
        <w:rPr>
          <w:i/>
          <w:color w:val="555555"/>
          <w:sz w:val="21"/>
        </w:rPr>
        <w:t xml:space="preserve"> Precedence Diagramming Method (PDM) on 48 work packages, rolled up to 7 deliverables. Finish-to-start dominates; start-to-start/finish-to-finish only where parallelism is evidenced. Waterfall gates control phase exit; Agile sprints refine detail inside an authorized phase without changing the baseline.</w:t>
      </w:r>
    </w:p>
    <w:p w:rsidR="000E5610" w:rsidRPr="00DD023B" w:rsidRDefault="00EB104A" w:rsidP="00DD023B">
      <w:pPr>
        <w:keepNext/>
        <w:spacing w:before="240"/>
        <w:rPr>
          <w:sz w:val="22"/>
        </w:rPr>
      </w:pPr>
      <w:r w:rsidRPr="00DD023B">
        <w:rPr>
          <w:b/>
          <w:color w:val="0F2A4A"/>
          <w:sz w:val="28"/>
        </w:rPr>
        <w:t>Section 2 — Dependencies &amp; Critical Path</w:t>
      </w:r>
    </w:p>
    <w:p w:rsidR="000E5610" w:rsidRPr="00DD023B" w:rsidRDefault="00EB104A">
      <w:pPr>
        <w:rPr>
          <w:sz w:val="22"/>
        </w:rPr>
      </w:pPr>
      <w:r w:rsidRPr="00DD023B">
        <w:rPr>
          <w:i/>
          <w:color w:val="B8860B"/>
          <w:sz w:val="21"/>
        </w:rPr>
        <w:t>Critical path = D1→D2→D3→D4→D5→D6→D7 (zero slack, 24 months).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361"/>
        <w:gridCol w:w="4762"/>
        <w:gridCol w:w="6180"/>
      </w:tblGrid>
      <w:tr w:rsidR="000E5610" w:rsidRPr="00DD023B">
        <w:trPr>
          <w:jc w:val="center"/>
        </w:trPr>
        <w:tc>
          <w:tcPr>
            <w:tcW w:w="3175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136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Window</w:t>
            </w:r>
          </w:p>
        </w:tc>
        <w:tc>
          <w:tcPr>
            <w:tcW w:w="476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Depends on</w:t>
            </w:r>
          </w:p>
        </w:tc>
        <w:tc>
          <w:tcPr>
            <w:tcW w:w="618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Zero-slack reason</w:t>
            </w:r>
          </w:p>
        </w:tc>
      </w:tr>
      <w:tr w:rsidR="000E5610" w:rsidRPr="00DD023B">
        <w:trPr>
          <w:jc w:val="center"/>
        </w:trPr>
        <w:tc>
          <w:tcPr>
            <w:tcW w:w="3175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D1 Initiation &amp; baselines</w:t>
            </w:r>
          </w:p>
        </w:tc>
        <w:tc>
          <w:tcPr>
            <w:tcW w:w="136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M01–02</w:t>
            </w:r>
          </w:p>
        </w:tc>
        <w:tc>
          <w:tcPr>
            <w:tcW w:w="4762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Sponsor authorization (DEC-01)</w:t>
            </w:r>
          </w:p>
        </w:tc>
        <w:tc>
          <w:tcPr>
            <w:tcW w:w="6180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Anchor start; effective date not yet approved</w:t>
            </w:r>
          </w:p>
        </w:tc>
      </w:tr>
      <w:tr w:rsidR="000E5610" w:rsidRPr="00DD023B">
        <w:trPr>
          <w:jc w:val="center"/>
        </w:trPr>
        <w:tc>
          <w:tcPr>
            <w:tcW w:w="317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D2 Governance &amp; architecture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M03–04</w:t>
            </w:r>
          </w:p>
        </w:tc>
        <w:tc>
          <w:tcPr>
            <w:tcW w:w="476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D1 + DEC-10 readiness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Every MVP needs shared platform</w:t>
            </w:r>
          </w:p>
        </w:tc>
      </w:tr>
      <w:tr w:rsidR="000E5610" w:rsidRPr="00DD023B">
        <w:trPr>
          <w:jc w:val="center"/>
        </w:trPr>
        <w:tc>
          <w:tcPr>
            <w:tcW w:w="31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D3 Internal copilot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M05–07</w:t>
            </w:r>
          </w:p>
        </w:tc>
        <w:tc>
          <w:tcPr>
            <w:tcW w:w="47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D2 complete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First release after foundation gate</w:t>
            </w:r>
          </w:p>
        </w:tc>
      </w:tr>
      <w:tr w:rsidR="000E5610" w:rsidRPr="00DD023B">
        <w:trPr>
          <w:jc w:val="center"/>
        </w:trPr>
        <w:tc>
          <w:tcPr>
            <w:tcW w:w="317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D4 Customer assistant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M08–11</w:t>
            </w:r>
          </w:p>
        </w:tc>
        <w:tc>
          <w:tcPr>
            <w:tcW w:w="476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D3 pilot evidence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Reuse foundation + copilot controls</w:t>
            </w:r>
          </w:p>
        </w:tc>
      </w:tr>
      <w:tr w:rsidR="000E5610" w:rsidRPr="00DD023B">
        <w:trPr>
          <w:jc w:val="center"/>
        </w:trPr>
        <w:tc>
          <w:tcPr>
            <w:tcW w:w="31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D5 Lending support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M12–15</w:t>
            </w:r>
          </w:p>
        </w:tc>
        <w:tc>
          <w:tcPr>
            <w:tcW w:w="47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D4 complete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Needs service integration</w:t>
            </w:r>
          </w:p>
        </w:tc>
      </w:tr>
      <w:tr w:rsidR="000E5610" w:rsidRPr="00DD023B">
        <w:trPr>
          <w:jc w:val="center"/>
        </w:trPr>
        <w:tc>
          <w:tcPr>
            <w:tcW w:w="317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D6 Fraud assist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M16–18</w:t>
            </w:r>
          </w:p>
        </w:tc>
        <w:tc>
          <w:tcPr>
            <w:tcW w:w="476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D5 complete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Needs prior integration</w:t>
            </w:r>
          </w:p>
        </w:tc>
      </w:tr>
      <w:tr w:rsidR="000E5610" w:rsidRPr="00DD023B">
        <w:trPr>
          <w:jc w:val="center"/>
        </w:trPr>
        <w:tc>
          <w:tcPr>
            <w:tcW w:w="31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D7 Scale &amp; closure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M19–24</w:t>
            </w:r>
          </w:p>
        </w:tc>
        <w:tc>
          <w:tcPr>
            <w:tcW w:w="47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D6 pilot evidence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Needs cross-pilot evidence</w:t>
            </w:r>
          </w:p>
        </w:tc>
      </w:tr>
    </w:tbl>
    <w:p w:rsidR="000E5610" w:rsidRPr="00DD023B" w:rsidRDefault="00EB104A">
      <w:pPr>
        <w:rPr>
          <w:sz w:val="24"/>
        </w:rPr>
      </w:pPr>
      <w:r w:rsidRPr="00DD023B">
        <w:rPr>
          <w:i/>
          <w:color w:val="555555"/>
          <w:sz w:val="23"/>
        </w:rPr>
        <w:t>Float note: change/adoption (7.0), benefits and model-ops are parallel (float) — not on the critical path but must still clear their own gates.</w:t>
      </w:r>
    </w:p>
    <w:p w:rsidR="00DD023B" w:rsidRDefault="00DD023B">
      <w:pPr>
        <w:spacing w:after="200"/>
        <w:rPr>
          <w:b/>
          <w:color w:val="0F2A4A"/>
          <w:sz w:val="28"/>
        </w:rPr>
      </w:pPr>
      <w:r>
        <w:rPr>
          <w:b/>
          <w:color w:val="0F2A4A"/>
          <w:sz w:val="28"/>
        </w:rPr>
        <w:br w:type="page"/>
      </w:r>
    </w:p>
    <w:p w:rsidR="000E5610" w:rsidRPr="00DD023B" w:rsidRDefault="00EB104A" w:rsidP="00DD023B">
      <w:pPr>
        <w:keepNext/>
        <w:spacing w:before="240"/>
        <w:rPr>
          <w:sz w:val="22"/>
        </w:rPr>
      </w:pPr>
      <w:r w:rsidRPr="00DD023B">
        <w:rPr>
          <w:b/>
          <w:color w:val="0F2A4A"/>
          <w:sz w:val="28"/>
        </w:rPr>
        <w:lastRenderedPageBreak/>
        <w:t>Section 3 — Board-Visible Milestones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3061"/>
        <w:gridCol w:w="4535"/>
        <w:gridCol w:w="1701"/>
      </w:tblGrid>
      <w:tr w:rsidR="000E5610" w:rsidRPr="00DD023B" w:rsidTr="00DD4B94">
        <w:tc>
          <w:tcPr>
            <w:tcW w:w="238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136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w="306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What the board sees</w:t>
            </w:r>
          </w:p>
        </w:tc>
        <w:tc>
          <w:tcPr>
            <w:tcW w:w="4535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Gate evidence</w:t>
            </w:r>
          </w:p>
        </w:tc>
        <w:tc>
          <w:tcPr>
            <w:tcW w:w="170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Owner</w:t>
            </w:r>
          </w:p>
        </w:tc>
      </w:tr>
      <w:tr w:rsidR="000E5610" w:rsidRPr="00DD023B" w:rsidTr="00DD4B94">
        <w:tc>
          <w:tcPr>
            <w:tcW w:w="23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M0 Baseline approved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M1 start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Effective date locked</w:t>
            </w:r>
          </w:p>
        </w:tc>
        <w:tc>
          <w:tcPr>
            <w:tcW w:w="45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DEC-01 authorization</w:t>
            </w:r>
          </w:p>
        </w:tc>
        <w:tc>
          <w:tcPr>
            <w:tcW w:w="170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Sponsor</w:t>
            </w:r>
          </w:p>
        </w:tc>
      </w:tr>
      <w:tr w:rsidR="000E5610" w:rsidRPr="00DD023B" w:rsidTr="00DD4B94">
        <w:tc>
          <w:tcPr>
            <w:tcW w:w="238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M1 Charter/funding gate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End M02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Initiation approved</w:t>
            </w:r>
          </w:p>
        </w:tc>
        <w:tc>
          <w:tcPr>
            <w:tcW w:w="45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Charter + funding gate</w:t>
            </w:r>
          </w:p>
        </w:tc>
        <w:tc>
          <w:tcPr>
            <w:tcW w:w="170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Sponsor</w:t>
            </w:r>
          </w:p>
        </w:tc>
      </w:tr>
      <w:tr w:rsidR="000E5610" w:rsidRPr="00DD023B" w:rsidTr="00DD4B94">
        <w:tc>
          <w:tcPr>
            <w:tcW w:w="23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M2 Foundation accepted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End M04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Platform ready</w:t>
            </w:r>
          </w:p>
        </w:tc>
        <w:tc>
          <w:tcPr>
            <w:tcW w:w="45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Governance/architecture (DEC-10)</w:t>
            </w:r>
          </w:p>
        </w:tc>
        <w:tc>
          <w:tcPr>
            <w:tcW w:w="170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CIO/EA</w:t>
            </w:r>
          </w:p>
        </w:tc>
      </w:tr>
      <w:tr w:rsidR="000E5610" w:rsidRPr="00DD023B" w:rsidTr="00DD4B94">
        <w:tc>
          <w:tcPr>
            <w:tcW w:w="238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M3 Copilot pilot live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End M07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First MVP live</w:t>
            </w:r>
          </w:p>
        </w:tc>
        <w:tc>
          <w:tcPr>
            <w:tcW w:w="45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Pilot + prompt library</w:t>
            </w:r>
          </w:p>
        </w:tc>
        <w:tc>
          <w:tcPr>
            <w:tcW w:w="170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Copilot PO</w:t>
            </w:r>
          </w:p>
        </w:tc>
      </w:tr>
      <w:tr w:rsidR="000E5610" w:rsidRPr="00DD023B" w:rsidTr="00DD4B94">
        <w:tc>
          <w:tcPr>
            <w:tcW w:w="23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M4 Customer pilot live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End M11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Customer pilot live</w:t>
            </w:r>
          </w:p>
        </w:tc>
        <w:tc>
          <w:tcPr>
            <w:tcW w:w="45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Controlled customer pilot</w:t>
            </w:r>
          </w:p>
        </w:tc>
        <w:tc>
          <w:tcPr>
            <w:tcW w:w="170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Digital PO</w:t>
            </w:r>
          </w:p>
        </w:tc>
      </w:tr>
      <w:tr w:rsidR="000E5610" w:rsidRPr="00DD023B" w:rsidTr="00DD4B94">
        <w:tc>
          <w:tcPr>
            <w:tcW w:w="238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M5 Lending pilot live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End M15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Lending pilot live</w:t>
            </w:r>
          </w:p>
        </w:tc>
        <w:tc>
          <w:tcPr>
            <w:tcW w:w="45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Human-authorized pilot</w:t>
            </w:r>
          </w:p>
        </w:tc>
        <w:tc>
          <w:tcPr>
            <w:tcW w:w="170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Lending PO</w:t>
            </w:r>
          </w:p>
        </w:tc>
      </w:tr>
      <w:tr w:rsidR="000E5610" w:rsidRPr="00DD023B" w:rsidTr="00DD4B94">
        <w:tc>
          <w:tcPr>
            <w:tcW w:w="23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M6 Fraud pilot live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End M18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Investigator pilot live</w:t>
            </w:r>
          </w:p>
        </w:tc>
        <w:tc>
          <w:tcPr>
            <w:tcW w:w="45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Investigator-assist pilot</w:t>
            </w:r>
          </w:p>
        </w:tc>
        <w:tc>
          <w:tcPr>
            <w:tcW w:w="170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Fraud PO</w:t>
            </w:r>
          </w:p>
        </w:tc>
      </w:tr>
      <w:tr w:rsidR="000E5610" w:rsidRPr="00DD023B" w:rsidTr="00DD4B94">
        <w:tc>
          <w:tcPr>
            <w:tcW w:w="238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M7 Rollout done</w:t>
            </w:r>
          </w:p>
        </w:tc>
        <w:tc>
          <w:tcPr>
            <w:tcW w:w="136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End M24</w:t>
            </w:r>
          </w:p>
        </w:tc>
        <w:tc>
          <w:tcPr>
            <w:tcW w:w="306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Scaled, transitioned</w:t>
            </w:r>
          </w:p>
        </w:tc>
        <w:tc>
          <w:tcPr>
            <w:tcW w:w="4535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Benefits + ops transition + closure</w:t>
            </w:r>
          </w:p>
        </w:tc>
        <w:tc>
          <w:tcPr>
            <w:tcW w:w="170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Sponsor</w:t>
            </w:r>
          </w:p>
        </w:tc>
      </w:tr>
    </w:tbl>
    <w:p w:rsidR="000E5610" w:rsidRPr="00DD023B" w:rsidRDefault="00EB104A" w:rsidP="00DD023B">
      <w:pPr>
        <w:keepNext/>
        <w:spacing w:before="240"/>
        <w:rPr>
          <w:sz w:val="22"/>
        </w:rPr>
      </w:pPr>
      <w:r w:rsidRPr="00DD023B">
        <w:rPr>
          <w:b/>
          <w:color w:val="0F2A4A"/>
          <w:sz w:val="28"/>
        </w:rPr>
        <w:t>Section 4 — Work-Package Sequencing (WBS → Schedule)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948"/>
        <w:gridCol w:w="2494"/>
        <w:gridCol w:w="3969"/>
        <w:gridCol w:w="2835"/>
      </w:tblGrid>
      <w:tr w:rsidR="000E5610" w:rsidRPr="00DD023B" w:rsidTr="00DD4B94">
        <w:tc>
          <w:tcPr>
            <w:tcW w:w="79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jc w:val="center"/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294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w="249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Window</w:t>
            </w:r>
          </w:p>
        </w:tc>
        <w:tc>
          <w:tcPr>
            <w:tcW w:w="3969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Predecessor</w:t>
            </w:r>
          </w:p>
        </w:tc>
        <w:tc>
          <w:tcPr>
            <w:tcW w:w="2835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Accountable</w:t>
            </w:r>
          </w:p>
        </w:tc>
      </w:tr>
      <w:tr w:rsidR="000E5610" w:rsidRPr="00DD023B" w:rsidTr="00DD4B94"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1.0</w:t>
            </w:r>
          </w:p>
        </w:tc>
        <w:tc>
          <w:tcPr>
            <w:tcW w:w="294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Governance</w:t>
            </w:r>
          </w:p>
        </w:tc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M01–24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Sponsor authorization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Sponsor / PM</w:t>
            </w:r>
          </w:p>
        </w:tc>
      </w:tr>
      <w:tr w:rsidR="000E5610" w:rsidRPr="00DD023B" w:rsidTr="00DD4B94"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2.0</w:t>
            </w:r>
          </w:p>
        </w:tc>
        <w:tc>
          <w:tcPr>
            <w:tcW w:w="294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AI Foundation</w:t>
            </w:r>
          </w:p>
        </w:tc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M03–04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1.0 baseline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CIO / EA</w:t>
            </w:r>
          </w:p>
        </w:tc>
      </w:tr>
      <w:tr w:rsidR="000E5610" w:rsidRPr="00DD023B" w:rsidTr="00DD4B94"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3.0</w:t>
            </w:r>
          </w:p>
        </w:tc>
        <w:tc>
          <w:tcPr>
            <w:tcW w:w="294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Internal Copilot</w:t>
            </w:r>
          </w:p>
        </w:tc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M05–07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2.0 foundation gate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COO / Copilot PO</w:t>
            </w:r>
          </w:p>
        </w:tc>
      </w:tr>
      <w:tr w:rsidR="000E5610" w:rsidRPr="00DD023B" w:rsidTr="00DD4B94"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4.0</w:t>
            </w:r>
          </w:p>
        </w:tc>
        <w:tc>
          <w:tcPr>
            <w:tcW w:w="294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Customer Assistant</w:t>
            </w:r>
          </w:p>
        </w:tc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M08–11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3.0 pilot evidence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Digital PO</w:t>
            </w:r>
          </w:p>
        </w:tc>
      </w:tr>
      <w:tr w:rsidR="000E5610" w:rsidRPr="00DD023B" w:rsidTr="00DD4B94"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5.0</w:t>
            </w:r>
          </w:p>
        </w:tc>
        <w:tc>
          <w:tcPr>
            <w:tcW w:w="294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Lending Support</w:t>
            </w:r>
          </w:p>
        </w:tc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M12–15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4.0 complete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Lending PO</w:t>
            </w:r>
          </w:p>
        </w:tc>
      </w:tr>
      <w:tr w:rsidR="000E5610" w:rsidRPr="00DD023B" w:rsidTr="00DD4B94"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6.0</w:t>
            </w:r>
          </w:p>
        </w:tc>
        <w:tc>
          <w:tcPr>
            <w:tcW w:w="294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Fraud Assist</w:t>
            </w:r>
          </w:p>
        </w:tc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M16–18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5.0 complete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Fraud PO</w:t>
            </w:r>
          </w:p>
        </w:tc>
      </w:tr>
      <w:tr w:rsidR="000E5610" w:rsidRPr="00DD023B" w:rsidTr="00DD4B94"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7.0</w:t>
            </w:r>
          </w:p>
        </w:tc>
        <w:tc>
          <w:tcPr>
            <w:tcW w:w="294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Change &amp; Benefits</w:t>
            </w:r>
          </w:p>
        </w:tc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M01–24 (parallel)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1.0 (parallel 2–6)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Change Lead / CFO</w:t>
            </w:r>
          </w:p>
        </w:tc>
      </w:tr>
      <w:tr w:rsidR="000E5610" w:rsidRPr="00DD023B" w:rsidTr="00DD4B94"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 w:rsidP="00DD4B94">
            <w:pPr>
              <w:jc w:val="center"/>
              <w:rPr>
                <w:sz w:val="22"/>
              </w:rPr>
            </w:pPr>
            <w:r w:rsidRPr="00DD023B">
              <w:rPr>
                <w:b/>
                <w:sz w:val="20"/>
              </w:rPr>
              <w:t>8.0</w:t>
            </w:r>
          </w:p>
        </w:tc>
        <w:tc>
          <w:tcPr>
            <w:tcW w:w="294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Scale &amp; Closure</w:t>
            </w:r>
          </w:p>
        </w:tc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M19–24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6.0 pilot evidence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Sponsor / PM</w:t>
            </w:r>
          </w:p>
        </w:tc>
      </w:tr>
    </w:tbl>
    <w:p w:rsidR="000E5610" w:rsidRPr="00DD023B" w:rsidRDefault="00EB104A" w:rsidP="00DD023B">
      <w:pPr>
        <w:keepNext/>
        <w:spacing w:before="240"/>
        <w:rPr>
          <w:sz w:val="22"/>
        </w:rPr>
      </w:pPr>
      <w:r w:rsidRPr="00DD023B">
        <w:rPr>
          <w:b/>
          <w:color w:val="0F2A4A"/>
          <w:sz w:val="28"/>
        </w:rPr>
        <w:t>Section 5 — Schedule Risks &amp; the Two Riskiest Dependencies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09"/>
        <w:gridCol w:w="6236"/>
        <w:gridCol w:w="2494"/>
      </w:tblGrid>
      <w:tr w:rsidR="000E5610" w:rsidRPr="00DD023B" w:rsidTr="00DD4B94">
        <w:tc>
          <w:tcPr>
            <w:tcW w:w="4309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623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w="249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Owner</w:t>
            </w:r>
          </w:p>
        </w:tc>
      </w:tr>
      <w:tr w:rsidR="000E5610" w:rsidRPr="00DD023B" w:rsidTr="00DD4B94">
        <w:tc>
          <w:tcPr>
            <w:tcW w:w="430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Foundation slip delays all MVPs</w:t>
            </w:r>
          </w:p>
        </w:tc>
        <w:tc>
          <w:tcPr>
            <w:tcW w:w="62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Front-load architecture/data/control evidence</w:t>
            </w:r>
          </w:p>
        </w:tc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CIO / EA</w:t>
            </w:r>
          </w:p>
        </w:tc>
      </w:tr>
      <w:tr w:rsidR="000E5610" w:rsidRPr="00DD023B" w:rsidTr="00DD4B94">
        <w:tc>
          <w:tcPr>
            <w:tcW w:w="430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Vendor lead time exceeds window</w:t>
            </w:r>
          </w:p>
        </w:tc>
        <w:tc>
          <w:tcPr>
            <w:tcW w:w="623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Early sourcing, parallel due diligence, go/no-go</w:t>
            </w:r>
          </w:p>
        </w:tc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Procurement / PM</w:t>
            </w:r>
          </w:p>
        </w:tc>
      </w:tr>
      <w:tr w:rsidR="000E5610" w:rsidRPr="00DD023B" w:rsidTr="00DD4B94">
        <w:tc>
          <w:tcPr>
            <w:tcW w:w="430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Owner capacity unconfirmed</w:t>
            </w:r>
          </w:p>
        </w:tc>
        <w:tc>
          <w:tcPr>
            <w:tcW w:w="62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Nominate POs before requirements (DEC-05)</w:t>
            </w:r>
          </w:p>
        </w:tc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Sponsor / PM</w:t>
            </w:r>
          </w:p>
        </w:tc>
      </w:tr>
      <w:tr w:rsidR="000E5610" w:rsidRPr="00DD023B" w:rsidTr="00DD4B94">
        <w:tc>
          <w:tcPr>
            <w:tcW w:w="430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Unrealistic sprint optimism</w:t>
            </w:r>
          </w:p>
        </w:tc>
        <w:tc>
          <w:tcPr>
            <w:tcW w:w="623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Agile output cannot advance gate without evidence</w:t>
            </w:r>
          </w:p>
        </w:tc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Sponsor / PM</w:t>
            </w:r>
          </w:p>
        </w:tc>
      </w:tr>
      <w:tr w:rsidR="000E5610" w:rsidRPr="00DD023B" w:rsidTr="00DD4B94">
        <w:tc>
          <w:tcPr>
            <w:tcW w:w="430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Milestone slippage hidden</w:t>
            </w:r>
          </w:p>
        </w:tc>
        <w:tc>
          <w:tcPr>
            <w:tcW w:w="62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Weekly variance + escalate &gt; tolerance</w:t>
            </w:r>
          </w:p>
        </w:tc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PM / AI PMO</w:t>
            </w:r>
          </w:p>
        </w:tc>
      </w:tr>
    </w:tbl>
    <w:p w:rsidR="00D111BF" w:rsidRDefault="00EB104A">
      <w:pPr>
        <w:rPr>
          <w:sz w:val="21"/>
        </w:rPr>
      </w:pPr>
      <w:r w:rsidRPr="00DD023B">
        <w:rPr>
          <w:b/>
          <w:sz w:val="21"/>
        </w:rPr>
        <w:lastRenderedPageBreak/>
        <w:t>Riskiest dependency 1</w:t>
      </w:r>
      <w:r w:rsidRPr="00DD023B">
        <w:rPr>
          <w:sz w:val="21"/>
        </w:rPr>
        <w:t xml:space="preserve"> — Enterprise-foundation acceptance: D2 gates every MVP; zero slack; any slip extends D3–D7 one-for-one. </w:t>
      </w:r>
    </w:p>
    <w:p w:rsidR="000E5610" w:rsidRPr="00DD023B" w:rsidRDefault="00EB104A">
      <w:pPr>
        <w:rPr>
          <w:sz w:val="22"/>
        </w:rPr>
      </w:pPr>
      <w:r w:rsidRPr="00D111BF">
        <w:rPr>
          <w:b/>
          <w:sz w:val="21"/>
        </w:rPr>
        <w:t>Response:</w:t>
      </w:r>
      <w:r w:rsidRPr="00DD023B">
        <w:rPr>
          <w:sz w:val="21"/>
        </w:rPr>
        <w:t xml:space="preserve"> CIO validates readiness before build (DEC-10); fallback is a reduced pilot boundary, not a silent slip.</w:t>
      </w:r>
    </w:p>
    <w:p w:rsidR="00D111BF" w:rsidRDefault="00EB104A">
      <w:pPr>
        <w:rPr>
          <w:sz w:val="21"/>
        </w:rPr>
      </w:pPr>
      <w:r w:rsidRPr="00DD023B">
        <w:rPr>
          <w:b/>
          <w:sz w:val="21"/>
        </w:rPr>
        <w:t>Riskiest dependency 2</w:t>
      </w:r>
      <w:r w:rsidRPr="00DD023B">
        <w:rPr>
          <w:sz w:val="21"/>
        </w:rPr>
        <w:t xml:space="preserve"> — Vendor &amp; platform selection: no vendor selected; sourcing lead time is external and incompressible. </w:t>
      </w:r>
    </w:p>
    <w:p w:rsidR="000E5610" w:rsidRPr="00DD023B" w:rsidRDefault="00EB104A">
      <w:pPr>
        <w:rPr>
          <w:sz w:val="22"/>
        </w:rPr>
      </w:pPr>
      <w:r w:rsidRPr="00D111BF">
        <w:rPr>
          <w:b/>
          <w:sz w:val="21"/>
        </w:rPr>
        <w:t>Response:</w:t>
      </w:r>
      <w:r w:rsidRPr="00DD023B">
        <w:rPr>
          <w:sz w:val="21"/>
        </w:rPr>
        <w:t xml:space="preserve"> approved sourcing + due diligence early (DEC-07); no vendor named before security/privacy/legal/third-party-risk evidence.</w:t>
      </w:r>
    </w:p>
    <w:p w:rsidR="000E5610" w:rsidRPr="00DD023B" w:rsidRDefault="00EB104A" w:rsidP="00DD023B">
      <w:pPr>
        <w:keepNext/>
        <w:spacing w:before="240"/>
        <w:rPr>
          <w:sz w:val="22"/>
        </w:rPr>
      </w:pPr>
      <w:r w:rsidRPr="00DD023B">
        <w:rPr>
          <w:b/>
          <w:color w:val="0F2A4A"/>
          <w:sz w:val="28"/>
        </w:rPr>
        <w:t>Secti</w:t>
      </w:r>
      <w:bookmarkStart w:id="0" w:name="_GoBack"/>
      <w:bookmarkEnd w:id="0"/>
      <w:r w:rsidRPr="00DD023B">
        <w:rPr>
          <w:b/>
          <w:color w:val="0F2A4A"/>
          <w:sz w:val="28"/>
        </w:rPr>
        <w:t>on 6 — Schedule Validation, Control &amp; Baseline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4876"/>
        <w:gridCol w:w="4876"/>
      </w:tblGrid>
      <w:tr w:rsidR="000E5610" w:rsidRPr="00DD023B" w:rsidTr="00DD4B94">
        <w:tc>
          <w:tcPr>
            <w:tcW w:w="487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w="487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w="487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color w:val="FFFFFF"/>
                <w:sz w:val="20"/>
              </w:rPr>
              <w:t>Baseline definition</w:t>
            </w:r>
          </w:p>
        </w:tc>
      </w:tr>
      <w:tr w:rsidR="000E5610" w:rsidRPr="00DD023B" w:rsidTr="00DD4B94"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Every WP has owner + predecessor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Weekly variance; escalate &gt; tolerance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Effective start date (DEC-01)</w:t>
            </w:r>
          </w:p>
        </w:tc>
      </w:tr>
      <w:tr w:rsidR="000E5610" w:rsidRPr="00DD023B" w:rsidTr="00DD4B94"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Critical path = 24 months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Roadmap/milestone change → Sponsor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7 board milestones locked</w:t>
            </w:r>
          </w:p>
        </w:tc>
      </w:tr>
      <w:tr w:rsidR="000E5610" w:rsidRPr="00DD023B" w:rsidTr="00DD4B94"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Milestones map to charter gates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Agile backlog ≠ baseline change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Critical path D1→D7 frozen</w:t>
            </w:r>
          </w:p>
        </w:tc>
      </w:tr>
      <w:tr w:rsidR="000E5610" w:rsidRPr="00DD023B" w:rsidTr="00DD4B94"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b/>
                <w:sz w:val="20"/>
              </w:rPr>
              <w:t>No date without evidence owner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DEC-01/03/04/10 close authority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E5610" w:rsidRPr="00DD023B" w:rsidRDefault="00EB104A">
            <w:pPr>
              <w:rPr>
                <w:sz w:val="22"/>
              </w:rPr>
            </w:pPr>
            <w:r w:rsidRPr="00DD023B">
              <w:rPr>
                <w:sz w:val="20"/>
              </w:rPr>
              <w:t>Integrated with WBS/RACI/decisions</w:t>
            </w:r>
          </w:p>
        </w:tc>
      </w:tr>
    </w:tbl>
    <w:p w:rsidR="00EB104A" w:rsidRPr="00DD023B" w:rsidRDefault="00EB104A" w:rsidP="00DD023B">
      <w:pPr>
        <w:rPr>
          <w:sz w:val="22"/>
        </w:rPr>
      </w:pPr>
    </w:p>
    <w:sectPr w:rsidR="00EB104A" w:rsidRPr="00DD023B" w:rsidSect="00034616">
      <w:headerReference w:type="default" r:id="rId8"/>
      <w:footerReference w:type="default" r:id="rId9"/>
      <w:pgSz w:w="16838" w:h="11906" w:orient="landscape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71C" w:rsidRDefault="0091071C">
      <w:pPr>
        <w:spacing w:after="0" w:line="240" w:lineRule="auto"/>
      </w:pPr>
      <w:r>
        <w:separator/>
      </w:r>
    </w:p>
  </w:endnote>
  <w:endnote w:type="continuationSeparator" w:id="0">
    <w:p w:rsidR="0091071C" w:rsidRDefault="00910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610" w:rsidRDefault="00EB104A">
    <w:pPr>
      <w:pStyle w:val="Footer"/>
      <w:jc w:val="center"/>
    </w:pPr>
    <w:r>
      <w:rPr>
        <w:color w:val="555555"/>
        <w:sz w:val="14"/>
      </w:rPr>
      <w:t xml:space="preserve">PTB-SCHED-001  ·  Page </w:t>
    </w:r>
    <w:r>
      <w:rPr>
        <w:color w:val="555555"/>
        <w:sz w:val="14"/>
      </w:rPr>
      <w:fldChar w:fldCharType="begin"/>
    </w:r>
    <w:r>
      <w:rPr>
        <w:color w:val="555555"/>
        <w:sz w:val="14"/>
      </w:rPr>
      <w:instrText>PAGE</w:instrText>
    </w:r>
    <w:r>
      <w:rPr>
        <w:color w:val="555555"/>
        <w:sz w:val="14"/>
      </w:rPr>
      <w:fldChar w:fldCharType="separate"/>
    </w:r>
    <w:r w:rsidR="00073E90">
      <w:rPr>
        <w:noProof/>
        <w:color w:val="555555"/>
        <w:sz w:val="14"/>
      </w:rPr>
      <w:t>1</w:t>
    </w:r>
    <w:r>
      <w:rPr>
        <w:color w:val="555555"/>
        <w:sz w:val="14"/>
      </w:rPr>
      <w:fldChar w:fldCharType="end"/>
    </w:r>
    <w:r>
      <w:rPr>
        <w:color w:val="555555"/>
        <w:sz w:val="14"/>
      </w:rPr>
      <w:t xml:space="preserve">  ·  Pole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71C" w:rsidRDefault="0091071C">
      <w:pPr>
        <w:spacing w:after="0" w:line="240" w:lineRule="auto"/>
      </w:pPr>
      <w:r>
        <w:separator/>
      </w:r>
    </w:p>
  </w:footnote>
  <w:footnote w:type="continuationSeparator" w:id="0">
    <w:p w:rsidR="0091071C" w:rsidRDefault="00910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610" w:rsidRDefault="00EB104A">
    <w:pPr>
      <w:pStyle w:val="Header"/>
      <w:jc w:val="center"/>
    </w:pPr>
    <w:r>
      <w:rPr>
        <w:i/>
        <w:color w:val="555555"/>
        <w:sz w:val="15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360"/>
    <w:rsid w:val="00034616"/>
    <w:rsid w:val="0006063C"/>
    <w:rsid w:val="00073E90"/>
    <w:rsid w:val="000E5610"/>
    <w:rsid w:val="0015074B"/>
    <w:rsid w:val="0029639D"/>
    <w:rsid w:val="00326F90"/>
    <w:rsid w:val="0091071C"/>
    <w:rsid w:val="00AA1D8D"/>
    <w:rsid w:val="00B47730"/>
    <w:rsid w:val="00CB0664"/>
    <w:rsid w:val="00D111BF"/>
    <w:rsid w:val="00DD023B"/>
    <w:rsid w:val="00DD4B94"/>
    <w:rsid w:val="00EB10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6347E"/>
  <w14:defaultImageDpi w14:val="300"/>
  <w15:docId w15:val="{741129D0-CCAA-4453-B76D-9037D5F0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D1B54B-5815-4BE5-8B04-FC52DA24A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4</cp:revision>
  <dcterms:created xsi:type="dcterms:W3CDTF">2013-12-23T23:15:00Z</dcterms:created>
  <dcterms:modified xsi:type="dcterms:W3CDTF">2026-08-15T13:13:00Z</dcterms:modified>
  <cp:category/>
</cp:coreProperties>
</file>