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0AF" w:rsidRPr="00BF6877" w:rsidRDefault="00B35998">
      <w:pPr>
        <w:spacing w:after="80"/>
        <w:jc w:val="center"/>
        <w:rPr>
          <w:sz w:val="20"/>
        </w:rPr>
      </w:pPr>
      <w:r w:rsidRPr="00BF6877">
        <w:rPr>
          <w:b/>
          <w:color w:val="0F2A4A"/>
          <w:sz w:val="34"/>
        </w:rPr>
        <w:t xml:space="preserve">Cost Estimate &amp; Budget Planning | </w:t>
      </w:r>
      <w:r w:rsidR="00BA77B0" w:rsidRPr="00BF6877">
        <w:rPr>
          <w:b/>
          <w:color w:val="B8860B"/>
          <w:sz w:val="24"/>
        </w:rPr>
        <w:t>PTB-COST-001  ·  Version 1.0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12926"/>
      </w:tblGrid>
      <w:tr w:rsidR="00D120AF" w:rsidRPr="00BF6877">
        <w:tc>
          <w:tcPr>
            <w:tcW w:w="255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color w:val="0F2A4A"/>
                <w:sz w:val="19"/>
              </w:rPr>
              <w:t>Document ID</w:t>
            </w:r>
          </w:p>
        </w:tc>
        <w:tc>
          <w:tcPr>
            <w:tcW w:w="1292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19"/>
              </w:rPr>
              <w:t>PTB-COST-001</w:t>
            </w:r>
          </w:p>
        </w:tc>
      </w:tr>
      <w:tr w:rsidR="00D120AF" w:rsidRPr="00BF6877">
        <w:tc>
          <w:tcPr>
            <w:tcW w:w="255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color w:val="0F2A4A"/>
                <w:sz w:val="19"/>
              </w:rPr>
              <w:t>Version / date</w:t>
            </w:r>
          </w:p>
        </w:tc>
        <w:tc>
          <w:tcPr>
            <w:tcW w:w="1292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19"/>
              </w:rPr>
              <w:t>1.0 / 2 August 2026</w:t>
            </w:r>
          </w:p>
        </w:tc>
      </w:tr>
      <w:tr w:rsidR="00D120AF" w:rsidRPr="00BF6877">
        <w:tc>
          <w:tcPr>
            <w:tcW w:w="255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color w:val="0F2A4A"/>
                <w:sz w:val="19"/>
              </w:rPr>
              <w:t>Status</w:t>
            </w:r>
          </w:p>
        </w:tc>
        <w:tc>
          <w:tcPr>
            <w:tcW w:w="1292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19"/>
              </w:rPr>
              <w:t>Refined planning baseline · Sponsor review</w:t>
            </w:r>
          </w:p>
        </w:tc>
      </w:tr>
      <w:tr w:rsidR="00D120AF" w:rsidRPr="00BF6877">
        <w:tc>
          <w:tcPr>
            <w:tcW w:w="255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color w:val="0F2A4A"/>
                <w:sz w:val="19"/>
              </w:rPr>
              <w:t>Project</w:t>
            </w:r>
          </w:p>
        </w:tc>
        <w:tc>
          <w:tcPr>
            <w:tcW w:w="1292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19"/>
              </w:rPr>
              <w:t>Integrated AI Banking Implementation Ecosystem (Pair 5)</w:t>
            </w:r>
          </w:p>
        </w:tc>
      </w:tr>
      <w:tr w:rsidR="00D120AF" w:rsidRPr="00BF6877">
        <w:tc>
          <w:tcPr>
            <w:tcW w:w="255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color w:val="0F2A4A"/>
                <w:sz w:val="19"/>
              </w:rPr>
              <w:t>Project Sponsor</w:t>
            </w:r>
          </w:p>
        </w:tc>
        <w:tc>
          <w:tcPr>
            <w:tcW w:w="1292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19"/>
              </w:rPr>
              <w:t>Sheikh Moeen Akhtar</w:t>
            </w:r>
          </w:p>
        </w:tc>
      </w:tr>
      <w:tr w:rsidR="00D120AF" w:rsidRPr="00BF6877">
        <w:tc>
          <w:tcPr>
            <w:tcW w:w="255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color w:val="0F2A4A"/>
                <w:sz w:val="19"/>
              </w:rPr>
              <w:t>Project/Program Manager</w:t>
            </w:r>
          </w:p>
        </w:tc>
        <w:tc>
          <w:tcPr>
            <w:tcW w:w="1292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19"/>
              </w:rPr>
              <w:t>Salman Zaman (working role accepted)</w:t>
            </w:r>
          </w:p>
        </w:tc>
      </w:tr>
      <w:tr w:rsidR="00D120AF" w:rsidRPr="00BF6877">
        <w:tc>
          <w:tcPr>
            <w:tcW w:w="255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color w:val="0F2A4A"/>
                <w:sz w:val="19"/>
              </w:rPr>
              <w:t>Cost change authority</w:t>
            </w:r>
          </w:p>
        </w:tc>
        <w:tc>
          <w:tcPr>
            <w:tcW w:w="1292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19"/>
              </w:rPr>
              <w:t>Sponsor; movement outside envelope routes to Sponsor until DEC-02/03</w:t>
            </w:r>
          </w:p>
        </w:tc>
      </w:tr>
      <w:tr w:rsidR="00D120AF" w:rsidRPr="00BF6877">
        <w:tc>
          <w:tcPr>
            <w:tcW w:w="2551" w:type="dxa"/>
            <w:shd w:val="clear" w:color="auto" w:fill="EAF0F5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color w:val="0F2A4A"/>
                <w:sz w:val="19"/>
              </w:rPr>
              <w:t>Funding authority</w:t>
            </w:r>
          </w:p>
        </w:tc>
        <w:tc>
          <w:tcPr>
            <w:tcW w:w="1292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19"/>
              </w:rPr>
              <w:t>$0 authorized; DEC-02 release after CFO validation</w:t>
            </w:r>
          </w:p>
        </w:tc>
      </w:tr>
    </w:tbl>
    <w:p w:rsidR="00D120AF" w:rsidRPr="00BF6877" w:rsidRDefault="00B35998" w:rsidP="00BF6877">
      <w:pPr>
        <w:keepNext/>
        <w:spacing w:before="240"/>
        <w:rPr>
          <w:sz w:val="22"/>
        </w:rPr>
      </w:pPr>
      <w:r w:rsidRPr="00BF6877">
        <w:rPr>
          <w:b/>
          <w:color w:val="0F2A4A"/>
          <w:sz w:val="28"/>
        </w:rPr>
        <w:t>Section 1 — Cost Management Approach &amp; Methodology</w:t>
      </w:r>
    </w:p>
    <w:p w:rsidR="00BF6877" w:rsidRDefault="00B35998">
      <w:pPr>
        <w:rPr>
          <w:sz w:val="21"/>
        </w:rPr>
      </w:pPr>
      <w:r w:rsidRPr="00BF6877">
        <w:rPr>
          <w:b/>
          <w:sz w:val="21"/>
        </w:rPr>
        <w:t>Plan Cost Management:</w:t>
      </w:r>
      <w:r w:rsidRPr="00BF6877">
        <w:rPr>
          <w:sz w:val="21"/>
        </w:rPr>
        <w:t xml:space="preserve"> estimate at work-package level, roll up to 7 deliverables / 8 WBS branches. Bottom-up as primary method, cross-checked top-down against the source package. </w:t>
      </w:r>
    </w:p>
    <w:p w:rsidR="00D120AF" w:rsidRPr="00BF6877" w:rsidRDefault="00B35998">
      <w:pPr>
        <w:rPr>
          <w:sz w:val="22"/>
        </w:rPr>
      </w:pPr>
      <w:r w:rsidRPr="00BF6877">
        <w:rPr>
          <w:b/>
          <w:sz w:val="21"/>
        </w:rPr>
        <w:t>Determine Budget:</w:t>
      </w:r>
      <w:r w:rsidRPr="00BF6877">
        <w:rPr>
          <w:sz w:val="21"/>
        </w:rPr>
        <w:t xml:space="preserve"> aggregate estimates → add explicit contingency (state what it covers) → fix the cost baseline. Management reserve stays outside the baseline, Sponsor-controlled.</w:t>
      </w:r>
    </w:p>
    <w:p w:rsidR="00D120AF" w:rsidRPr="00BF6877" w:rsidRDefault="00B35998">
      <w:pPr>
        <w:rPr>
          <w:sz w:val="22"/>
        </w:rPr>
      </w:pPr>
      <w:r w:rsidRPr="00BF6877">
        <w:rPr>
          <w:b/>
          <w:i/>
          <w:color w:val="555555"/>
          <w:sz w:val="21"/>
        </w:rPr>
        <w:t>Grounding rule:</w:t>
      </w:r>
      <w:r w:rsidRPr="00BF6877">
        <w:rPr>
          <w:i/>
          <w:color w:val="555555"/>
          <w:sz w:val="21"/>
        </w:rPr>
        <w:t xml:space="preserve"> the instructional slide's "CAD 1.9M envelope" is a generic template placeholder — this plan reconciles to Pole Trust's approved $11.5M CAPEX / $27.5M TCO; the placeholder is not imported as fact.</w:t>
      </w:r>
    </w:p>
    <w:p w:rsidR="00D120AF" w:rsidRPr="00BF6877" w:rsidRDefault="00B35998" w:rsidP="00BF6877">
      <w:pPr>
        <w:keepNext/>
        <w:spacing w:before="240"/>
        <w:rPr>
          <w:sz w:val="22"/>
        </w:rPr>
      </w:pPr>
      <w:r w:rsidRPr="00BF6877">
        <w:rPr>
          <w:b/>
          <w:color w:val="0F2A4A"/>
          <w:sz w:val="28"/>
        </w:rPr>
        <w:t>Section 2 — Cost Estimates (Per Work Package, Rolled Up)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7"/>
        <w:gridCol w:w="3402"/>
        <w:gridCol w:w="3061"/>
        <w:gridCol w:w="3402"/>
        <w:gridCol w:w="2268"/>
      </w:tblGrid>
      <w:tr w:rsidR="00D120AF" w:rsidRPr="00BF6877" w:rsidTr="00BA77B0">
        <w:tc>
          <w:tcPr>
            <w:tcW w:w="907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center"/>
              <w:rPr>
                <w:sz w:val="22"/>
              </w:rPr>
            </w:pPr>
            <w:r w:rsidRPr="00BF6877">
              <w:rPr>
                <w:b/>
                <w:color w:val="FFFFFF"/>
                <w:sz w:val="20"/>
              </w:rPr>
              <w:t>WBS</w:t>
            </w:r>
          </w:p>
        </w:tc>
        <w:tc>
          <w:tcPr>
            <w:tcW w:w="3402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color w:val="FFFFFF"/>
                <w:sz w:val="20"/>
              </w:rPr>
              <w:t>Branch</w:t>
            </w:r>
          </w:p>
        </w:tc>
        <w:tc>
          <w:tcPr>
            <w:tcW w:w="3061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center"/>
              <w:rPr>
                <w:sz w:val="22"/>
              </w:rPr>
            </w:pPr>
            <w:r w:rsidRPr="00BF6877">
              <w:rPr>
                <w:b/>
                <w:color w:val="FFFFFF"/>
                <w:sz w:val="20"/>
              </w:rPr>
              <w:t>Bottom-up (USD)</w:t>
            </w:r>
          </w:p>
        </w:tc>
        <w:tc>
          <w:tcPr>
            <w:tcW w:w="3402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color w:val="FFFFFF"/>
                <w:sz w:val="20"/>
              </w:rPr>
              <w:t>Top-down check</w:t>
            </w:r>
          </w:p>
        </w:tc>
        <w:tc>
          <w:tcPr>
            <w:tcW w:w="2268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color w:val="FFFFFF"/>
                <w:sz w:val="20"/>
              </w:rPr>
              <w:t>Accuracy</w:t>
            </w:r>
          </w:p>
        </w:tc>
      </w:tr>
      <w:tr w:rsidR="00D120AF" w:rsidRPr="00BF6877" w:rsidTr="00BA77B0">
        <w:tc>
          <w:tcPr>
            <w:tcW w:w="90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b/>
                <w:sz w:val="20"/>
              </w:rPr>
              <w:t>1.0</w:t>
            </w:r>
          </w:p>
        </w:tc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Governance</w:t>
            </w:r>
          </w:p>
        </w:tc>
        <w:tc>
          <w:tcPr>
            <w:tcW w:w="30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sz w:val="20"/>
              </w:rPr>
              <w:t>$1.15M</w:t>
            </w:r>
          </w:p>
        </w:tc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~10% CAPEX</w:t>
            </w:r>
          </w:p>
        </w:tc>
        <w:tc>
          <w:tcPr>
            <w:tcW w:w="226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+25% / −10%</w:t>
            </w:r>
          </w:p>
        </w:tc>
      </w:tr>
      <w:tr w:rsidR="00D120AF" w:rsidRPr="00BF6877" w:rsidTr="00BA77B0">
        <w:tc>
          <w:tcPr>
            <w:tcW w:w="90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b/>
                <w:sz w:val="20"/>
              </w:rPr>
              <w:t>2.0</w:t>
            </w:r>
          </w:p>
        </w:tc>
        <w:tc>
          <w:tcPr>
            <w:tcW w:w="340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AI Foundation</w:t>
            </w:r>
          </w:p>
        </w:tc>
        <w:tc>
          <w:tcPr>
            <w:tcW w:w="30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sz w:val="20"/>
              </w:rPr>
              <w:t>$3.45M</w:t>
            </w:r>
          </w:p>
        </w:tc>
        <w:tc>
          <w:tcPr>
            <w:tcW w:w="340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~30% CAPEX</w:t>
            </w:r>
          </w:p>
        </w:tc>
        <w:tc>
          <w:tcPr>
            <w:tcW w:w="226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+25% / −10%</w:t>
            </w:r>
          </w:p>
        </w:tc>
      </w:tr>
      <w:tr w:rsidR="00D120AF" w:rsidRPr="00BF6877" w:rsidTr="00BA77B0">
        <w:tc>
          <w:tcPr>
            <w:tcW w:w="90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b/>
                <w:sz w:val="20"/>
              </w:rPr>
              <w:t>3.0</w:t>
            </w:r>
          </w:p>
        </w:tc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Internal Copilot</w:t>
            </w:r>
          </w:p>
        </w:tc>
        <w:tc>
          <w:tcPr>
            <w:tcW w:w="30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sz w:val="20"/>
              </w:rPr>
              <w:t>$1.44M</w:t>
            </w:r>
          </w:p>
        </w:tc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~12.5% CAPEX</w:t>
            </w:r>
          </w:p>
        </w:tc>
        <w:tc>
          <w:tcPr>
            <w:tcW w:w="226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+25% / −10%</w:t>
            </w:r>
          </w:p>
        </w:tc>
      </w:tr>
      <w:tr w:rsidR="00D120AF" w:rsidRPr="00BF6877" w:rsidTr="00BA77B0">
        <w:tc>
          <w:tcPr>
            <w:tcW w:w="90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b/>
                <w:sz w:val="20"/>
              </w:rPr>
              <w:t>4.0</w:t>
            </w:r>
          </w:p>
        </w:tc>
        <w:tc>
          <w:tcPr>
            <w:tcW w:w="340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Customer Assistant</w:t>
            </w:r>
          </w:p>
        </w:tc>
        <w:tc>
          <w:tcPr>
            <w:tcW w:w="30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sz w:val="20"/>
              </w:rPr>
              <w:t>$1.73M</w:t>
            </w:r>
          </w:p>
        </w:tc>
        <w:tc>
          <w:tcPr>
            <w:tcW w:w="340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~15% CAPEX</w:t>
            </w:r>
          </w:p>
        </w:tc>
        <w:tc>
          <w:tcPr>
            <w:tcW w:w="226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+25% / −10%</w:t>
            </w:r>
          </w:p>
        </w:tc>
      </w:tr>
      <w:tr w:rsidR="00D120AF" w:rsidRPr="00BF6877" w:rsidTr="00BA77B0">
        <w:tc>
          <w:tcPr>
            <w:tcW w:w="90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b/>
                <w:sz w:val="20"/>
              </w:rPr>
              <w:t>5.0</w:t>
            </w:r>
          </w:p>
        </w:tc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Lending Support</w:t>
            </w:r>
          </w:p>
        </w:tc>
        <w:tc>
          <w:tcPr>
            <w:tcW w:w="30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sz w:val="20"/>
              </w:rPr>
              <w:t>$1.44M</w:t>
            </w:r>
          </w:p>
        </w:tc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~12.5% CAPEX</w:t>
            </w:r>
          </w:p>
        </w:tc>
        <w:tc>
          <w:tcPr>
            <w:tcW w:w="226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+25% / −10%</w:t>
            </w:r>
          </w:p>
        </w:tc>
      </w:tr>
      <w:tr w:rsidR="00D120AF" w:rsidRPr="00BF6877" w:rsidTr="00BA77B0">
        <w:tc>
          <w:tcPr>
            <w:tcW w:w="90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b/>
                <w:sz w:val="20"/>
              </w:rPr>
              <w:t>6.0</w:t>
            </w:r>
          </w:p>
        </w:tc>
        <w:tc>
          <w:tcPr>
            <w:tcW w:w="340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Fraud Assist</w:t>
            </w:r>
          </w:p>
        </w:tc>
        <w:tc>
          <w:tcPr>
            <w:tcW w:w="30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sz w:val="20"/>
              </w:rPr>
              <w:t>$1.44M</w:t>
            </w:r>
          </w:p>
        </w:tc>
        <w:tc>
          <w:tcPr>
            <w:tcW w:w="340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~12.5% CAPEX</w:t>
            </w:r>
          </w:p>
        </w:tc>
        <w:tc>
          <w:tcPr>
            <w:tcW w:w="226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+25% / −10%</w:t>
            </w:r>
          </w:p>
        </w:tc>
      </w:tr>
      <w:tr w:rsidR="00D120AF" w:rsidRPr="00BF6877" w:rsidTr="00BA77B0">
        <w:tc>
          <w:tcPr>
            <w:tcW w:w="907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b/>
                <w:sz w:val="20"/>
              </w:rPr>
              <w:t>7.0</w:t>
            </w:r>
          </w:p>
        </w:tc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Change &amp; Benefits</w:t>
            </w:r>
          </w:p>
        </w:tc>
        <w:tc>
          <w:tcPr>
            <w:tcW w:w="3061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sz w:val="20"/>
              </w:rPr>
              <w:t>$0.86M</w:t>
            </w:r>
          </w:p>
        </w:tc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~7.5% CAPEX</w:t>
            </w:r>
          </w:p>
        </w:tc>
        <w:tc>
          <w:tcPr>
            <w:tcW w:w="226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+25% / −10%</w:t>
            </w:r>
          </w:p>
        </w:tc>
      </w:tr>
      <w:tr w:rsidR="00D120AF" w:rsidRPr="00BF6877" w:rsidTr="00BA77B0">
        <w:tc>
          <w:tcPr>
            <w:tcW w:w="907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b/>
                <w:sz w:val="20"/>
              </w:rPr>
              <w:t>8.0</w:t>
            </w:r>
          </w:p>
        </w:tc>
        <w:tc>
          <w:tcPr>
            <w:tcW w:w="340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Scale &amp; Closure</w:t>
            </w:r>
          </w:p>
        </w:tc>
        <w:tc>
          <w:tcPr>
            <w:tcW w:w="3061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sz w:val="20"/>
              </w:rPr>
              <w:t>$0.86M</w:t>
            </w:r>
          </w:p>
        </w:tc>
        <w:tc>
          <w:tcPr>
            <w:tcW w:w="340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~7.5% CAPEX</w:t>
            </w:r>
          </w:p>
        </w:tc>
        <w:tc>
          <w:tcPr>
            <w:tcW w:w="226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+25% / −10%</w:t>
            </w:r>
          </w:p>
        </w:tc>
      </w:tr>
      <w:tr w:rsidR="00D120AF" w:rsidRPr="00BF6877" w:rsidTr="00BA77B0">
        <w:tc>
          <w:tcPr>
            <w:tcW w:w="907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b/>
                <w:sz w:val="20"/>
              </w:rPr>
              <w:t>Roll-up</w:t>
            </w:r>
          </w:p>
        </w:tc>
        <w:tc>
          <w:tcPr>
            <w:tcW w:w="3402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8 branches</w:t>
            </w:r>
          </w:p>
        </w:tc>
        <w:tc>
          <w:tcPr>
            <w:tcW w:w="3061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b/>
                <w:sz w:val="20"/>
              </w:rPr>
              <w:t>$12.37M</w:t>
            </w:r>
          </w:p>
        </w:tc>
        <w:tc>
          <w:tcPr>
            <w:tcW w:w="3402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vs $11.5M ceiling</w:t>
            </w:r>
          </w:p>
        </w:tc>
        <w:tc>
          <w:tcPr>
            <w:tcW w:w="2268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+7.6% delta</w:t>
            </w:r>
          </w:p>
        </w:tc>
      </w:tr>
    </w:tbl>
    <w:p w:rsidR="00D120AF" w:rsidRPr="00BF6877" w:rsidRDefault="00B35998" w:rsidP="00BF6877">
      <w:pPr>
        <w:keepNext/>
        <w:spacing w:before="120"/>
        <w:rPr>
          <w:sz w:val="22"/>
        </w:rPr>
      </w:pPr>
      <w:r w:rsidRPr="00BF6877">
        <w:rPr>
          <w:b/>
          <w:color w:val="0F2A4A"/>
          <w:sz w:val="28"/>
        </w:rPr>
        <w:lastRenderedPageBreak/>
        <w:t>Section 3 — Budget, Contingency &amp; Baseline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608"/>
        <w:gridCol w:w="9468"/>
      </w:tblGrid>
      <w:tr w:rsidR="00D120AF" w:rsidRPr="00BF6877">
        <w:trPr>
          <w:jc w:val="center"/>
        </w:trPr>
        <w:tc>
          <w:tcPr>
            <w:tcW w:w="3402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2608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center"/>
              <w:rPr>
                <w:sz w:val="22"/>
              </w:rPr>
            </w:pPr>
            <w:r w:rsidRPr="00BF6877">
              <w:rPr>
                <w:b/>
                <w:color w:val="FFFFFF"/>
                <w:sz w:val="20"/>
              </w:rPr>
              <w:t>Amount</w:t>
            </w:r>
          </w:p>
        </w:tc>
        <w:tc>
          <w:tcPr>
            <w:tcW w:w="9468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color w:val="FFFFFF"/>
                <w:sz w:val="20"/>
              </w:rPr>
              <w:t>What it covers</w:t>
            </w:r>
          </w:p>
        </w:tc>
      </w:tr>
      <w:tr w:rsidR="00D120AF" w:rsidRPr="00BF6877">
        <w:trPr>
          <w:jc w:val="center"/>
        </w:trPr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Work-package roll-up</w:t>
            </w:r>
          </w:p>
        </w:tc>
        <w:tc>
          <w:tcPr>
            <w:tcW w:w="260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sz w:val="20"/>
              </w:rPr>
              <w:t>$12.37M</w:t>
            </w:r>
          </w:p>
        </w:tc>
        <w:tc>
          <w:tcPr>
            <w:tcW w:w="946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Bottom-up sum of 8 branches</w:t>
            </w:r>
          </w:p>
        </w:tc>
      </w:tr>
      <w:tr w:rsidR="00D120AF" w:rsidRPr="00BF6877">
        <w:trPr>
          <w:jc w:val="center"/>
        </w:trPr>
        <w:tc>
          <w:tcPr>
            <w:tcW w:w="340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Approved CAPEX ceiling</w:t>
            </w:r>
          </w:p>
        </w:tc>
        <w:tc>
          <w:tcPr>
            <w:tcW w:w="260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sz w:val="20"/>
              </w:rPr>
              <w:t>$11.5M</w:t>
            </w:r>
          </w:p>
        </w:tc>
        <w:tc>
          <w:tcPr>
            <w:tcW w:w="946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Binding source-approved envelope</w:t>
            </w:r>
          </w:p>
        </w:tc>
      </w:tr>
      <w:tr w:rsidR="00D120AF" w:rsidRPr="00BF6877">
        <w:trPr>
          <w:jc w:val="center"/>
        </w:trPr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Contingency reserve</w:t>
            </w:r>
          </w:p>
        </w:tc>
        <w:tc>
          <w:tcPr>
            <w:tcW w:w="260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sz w:val="20"/>
              </w:rPr>
              <w:t>Finance-sized</w:t>
            </w:r>
          </w:p>
        </w:tc>
        <w:tc>
          <w:tcPr>
            <w:tcW w:w="946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Known-unknown estimate risk (DEC-02)</w:t>
            </w:r>
          </w:p>
        </w:tc>
      </w:tr>
      <w:tr w:rsidR="00D120AF" w:rsidRPr="00BF6877">
        <w:trPr>
          <w:jc w:val="center"/>
        </w:trPr>
        <w:tc>
          <w:tcPr>
            <w:tcW w:w="340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Management reserve</w:t>
            </w:r>
          </w:p>
        </w:tc>
        <w:tc>
          <w:tcPr>
            <w:tcW w:w="260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sz w:val="20"/>
              </w:rPr>
              <w:t>Sponsor-held</w:t>
            </w:r>
          </w:p>
        </w:tc>
        <w:tc>
          <w:tcPr>
            <w:tcW w:w="946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Unknown-unknowns + approved changes</w:t>
            </w:r>
          </w:p>
        </w:tc>
      </w:tr>
      <w:tr w:rsidR="00D120AF" w:rsidRPr="00BF6877">
        <w:trPr>
          <w:jc w:val="center"/>
        </w:trPr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Annual OPEX</w:t>
            </w:r>
          </w:p>
        </w:tc>
        <w:tc>
          <w:tcPr>
            <w:tcW w:w="260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sz w:val="20"/>
              </w:rPr>
              <w:t>$3.2M</w:t>
            </w:r>
          </w:p>
        </w:tc>
        <w:tc>
          <w:tcPr>
            <w:tcW w:w="946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Recurring post-implementation cost</w:t>
            </w:r>
          </w:p>
        </w:tc>
      </w:tr>
      <w:tr w:rsidR="00D120AF" w:rsidRPr="00BF6877">
        <w:trPr>
          <w:jc w:val="center"/>
        </w:trPr>
        <w:tc>
          <w:tcPr>
            <w:tcW w:w="340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Five-year OPEX</w:t>
            </w:r>
          </w:p>
        </w:tc>
        <w:tc>
          <w:tcPr>
            <w:tcW w:w="260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sz w:val="20"/>
              </w:rPr>
              <w:t>$16.0M</w:t>
            </w:r>
          </w:p>
        </w:tc>
        <w:tc>
          <w:tcPr>
            <w:tcW w:w="946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$3.2M × 5</w:t>
            </w:r>
          </w:p>
        </w:tc>
      </w:tr>
      <w:tr w:rsidR="00D120AF" w:rsidRPr="00BF6877">
        <w:trPr>
          <w:jc w:val="center"/>
        </w:trPr>
        <w:tc>
          <w:tcPr>
            <w:tcW w:w="3402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Five-year TCO</w:t>
            </w:r>
          </w:p>
        </w:tc>
        <w:tc>
          <w:tcPr>
            <w:tcW w:w="2608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b/>
                <w:sz w:val="20"/>
              </w:rPr>
              <w:t>$27.5M</w:t>
            </w:r>
          </w:p>
        </w:tc>
        <w:tc>
          <w:tcPr>
            <w:tcW w:w="9468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$11.5M + $16.0M (lifecycle, not spend)</w:t>
            </w:r>
          </w:p>
        </w:tc>
      </w:tr>
    </w:tbl>
    <w:p w:rsidR="00D120AF" w:rsidRPr="00BF6877" w:rsidRDefault="00B35998">
      <w:pPr>
        <w:rPr>
          <w:sz w:val="24"/>
        </w:rPr>
      </w:pPr>
      <w:r w:rsidRPr="00BF6877">
        <w:rPr>
          <w:b/>
          <w:i/>
          <w:color w:val="555555"/>
          <w:sz w:val="23"/>
        </w:rPr>
        <w:t>Reconciliation:</w:t>
      </w:r>
      <w:r w:rsidRPr="00BF6877">
        <w:rPr>
          <w:i/>
          <w:color w:val="555555"/>
          <w:sz w:val="23"/>
        </w:rPr>
        <w:t xml:space="preserve"> roll-up $12.37M exceeds $11.5M ceiling by $0.87M (7.6%) → estimate is capped at the ceiling; the delta is logged as an open Finance item (DEC-02), not presented as an approved increase.</w:t>
      </w:r>
    </w:p>
    <w:p w:rsidR="00D120AF" w:rsidRPr="00BF6877" w:rsidRDefault="00B35998" w:rsidP="00BF6877">
      <w:pPr>
        <w:keepNext/>
        <w:spacing w:before="240"/>
        <w:rPr>
          <w:sz w:val="22"/>
        </w:rPr>
      </w:pPr>
      <w:r w:rsidRPr="00BF6877">
        <w:rPr>
          <w:b/>
          <w:color w:val="0F2A4A"/>
          <w:sz w:val="28"/>
        </w:rPr>
        <w:t>Section 4 — Cost Baseline &amp; Reconciliation Math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608"/>
        <w:gridCol w:w="9468"/>
      </w:tblGrid>
      <w:tr w:rsidR="00D120AF" w:rsidRPr="00BF6877">
        <w:trPr>
          <w:jc w:val="center"/>
        </w:trPr>
        <w:tc>
          <w:tcPr>
            <w:tcW w:w="3402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color w:val="FFFFFF"/>
                <w:sz w:val="20"/>
              </w:rPr>
              <w:t>Line</w:t>
            </w:r>
          </w:p>
        </w:tc>
        <w:tc>
          <w:tcPr>
            <w:tcW w:w="2608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center"/>
              <w:rPr>
                <w:sz w:val="22"/>
              </w:rPr>
            </w:pPr>
            <w:r w:rsidRPr="00BF6877">
              <w:rPr>
                <w:b/>
                <w:color w:val="FFFFFF"/>
                <w:sz w:val="20"/>
              </w:rPr>
              <w:t>Amount</w:t>
            </w:r>
          </w:p>
        </w:tc>
        <w:tc>
          <w:tcPr>
            <w:tcW w:w="9468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color w:val="FFFFFF"/>
                <w:sz w:val="20"/>
              </w:rPr>
              <w:t>Derivation</w:t>
            </w:r>
          </w:p>
        </w:tc>
      </w:tr>
      <w:tr w:rsidR="00D120AF" w:rsidRPr="00BF6877">
        <w:trPr>
          <w:jc w:val="center"/>
        </w:trPr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Approved CAPEX</w:t>
            </w:r>
          </w:p>
        </w:tc>
        <w:tc>
          <w:tcPr>
            <w:tcW w:w="260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sz w:val="20"/>
              </w:rPr>
              <w:t>$11.5M</w:t>
            </w:r>
          </w:p>
        </w:tc>
        <w:tc>
          <w:tcPr>
            <w:tcW w:w="946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Source-approved charter envelope</w:t>
            </w:r>
          </w:p>
        </w:tc>
      </w:tr>
      <w:tr w:rsidR="00D120AF" w:rsidRPr="00BF6877">
        <w:trPr>
          <w:jc w:val="center"/>
        </w:trPr>
        <w:tc>
          <w:tcPr>
            <w:tcW w:w="3402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Annual OPEX</w:t>
            </w:r>
          </w:p>
        </w:tc>
        <w:tc>
          <w:tcPr>
            <w:tcW w:w="260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sz w:val="20"/>
              </w:rPr>
              <w:t>$3.2M</w:t>
            </w:r>
          </w:p>
        </w:tc>
        <w:tc>
          <w:tcPr>
            <w:tcW w:w="946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Source-approved run-rate</w:t>
            </w:r>
          </w:p>
        </w:tc>
      </w:tr>
      <w:tr w:rsidR="00D120AF" w:rsidRPr="00BF6877">
        <w:trPr>
          <w:jc w:val="center"/>
        </w:trPr>
        <w:tc>
          <w:tcPr>
            <w:tcW w:w="3402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Five-year OPEX</w:t>
            </w:r>
          </w:p>
        </w:tc>
        <w:tc>
          <w:tcPr>
            <w:tcW w:w="260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sz w:val="20"/>
              </w:rPr>
              <w:t>$16.0M</w:t>
            </w:r>
          </w:p>
        </w:tc>
        <w:tc>
          <w:tcPr>
            <w:tcW w:w="946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$3.2M × 5</w:t>
            </w:r>
          </w:p>
        </w:tc>
      </w:tr>
      <w:tr w:rsidR="00D120AF" w:rsidRPr="00BF6877">
        <w:trPr>
          <w:jc w:val="center"/>
        </w:trPr>
        <w:tc>
          <w:tcPr>
            <w:tcW w:w="3402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Five-year TCO</w:t>
            </w:r>
          </w:p>
        </w:tc>
        <w:tc>
          <w:tcPr>
            <w:tcW w:w="2608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jc w:val="right"/>
              <w:rPr>
                <w:sz w:val="22"/>
              </w:rPr>
            </w:pPr>
            <w:r w:rsidRPr="00BF6877">
              <w:rPr>
                <w:b/>
                <w:sz w:val="20"/>
              </w:rPr>
              <w:t>$27.5M</w:t>
            </w:r>
          </w:p>
        </w:tc>
        <w:tc>
          <w:tcPr>
            <w:tcW w:w="9468" w:type="dxa"/>
            <w:shd w:val="clear" w:color="auto" w:fill="F3E8C8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$11.5M + $16.0M</w:t>
            </w:r>
          </w:p>
        </w:tc>
      </w:tr>
    </w:tbl>
    <w:p w:rsidR="00D120AF" w:rsidRPr="00BF6877" w:rsidRDefault="00B35998">
      <w:pPr>
        <w:rPr>
          <w:sz w:val="24"/>
        </w:rPr>
      </w:pPr>
      <w:r w:rsidRPr="00BF6877">
        <w:rPr>
          <w:sz w:val="23"/>
        </w:rPr>
        <w:t>The math: $11.5M + ($3.2M × 5) = $11.5M + $16.0M = $27.5M. This is the reconcile target — not an authorization to spend, which stays $0 until DEC-02.</w:t>
      </w:r>
    </w:p>
    <w:p w:rsidR="00D120AF" w:rsidRPr="00BF6877" w:rsidRDefault="00B35998" w:rsidP="00BF6877">
      <w:pPr>
        <w:keepNext/>
        <w:spacing w:before="240"/>
        <w:rPr>
          <w:sz w:val="22"/>
        </w:rPr>
      </w:pPr>
      <w:r w:rsidRPr="00BF6877">
        <w:rPr>
          <w:b/>
          <w:color w:val="0F2A4A"/>
          <w:sz w:val="28"/>
        </w:rPr>
        <w:t>Section 5 — Cost Control, Earned Value &amp; Variance Thresholds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8504"/>
        <w:gridCol w:w="5046"/>
      </w:tblGrid>
      <w:tr w:rsidR="00D120AF" w:rsidRPr="00BF6877">
        <w:trPr>
          <w:jc w:val="center"/>
        </w:trPr>
        <w:tc>
          <w:tcPr>
            <w:tcW w:w="1928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color w:val="FFFFFF"/>
                <w:sz w:val="20"/>
              </w:rPr>
              <w:t>EVM measure</w:t>
            </w:r>
          </w:p>
        </w:tc>
        <w:tc>
          <w:tcPr>
            <w:tcW w:w="8504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color w:val="FFFFFF"/>
                <w:sz w:val="20"/>
              </w:rPr>
              <w:t>Definition</w:t>
            </w:r>
          </w:p>
        </w:tc>
        <w:tc>
          <w:tcPr>
            <w:tcW w:w="5046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color w:val="FFFFFF"/>
                <w:sz w:val="20"/>
              </w:rPr>
              <w:t>Threshold</w:t>
            </w:r>
          </w:p>
        </w:tc>
      </w:tr>
      <w:tr w:rsidR="00D120AF" w:rsidRPr="00BF6877">
        <w:trPr>
          <w:jc w:val="center"/>
        </w:trPr>
        <w:tc>
          <w:tcPr>
            <w:tcW w:w="19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PV</w:t>
            </w:r>
          </w:p>
        </w:tc>
        <w:tc>
          <w:tcPr>
            <w:tcW w:w="850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Planned Value (authorized budget for planned work)</w:t>
            </w:r>
          </w:p>
        </w:tc>
        <w:tc>
          <w:tcPr>
            <w:tcW w:w="504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Monthly baseline curve</w:t>
            </w:r>
          </w:p>
        </w:tc>
      </w:tr>
      <w:tr w:rsidR="00D120AF" w:rsidRPr="00BF6877">
        <w:trPr>
          <w:jc w:val="center"/>
        </w:trPr>
        <w:tc>
          <w:tcPr>
            <w:tcW w:w="192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EV</w:t>
            </w:r>
          </w:p>
        </w:tc>
        <w:tc>
          <w:tcPr>
            <w:tcW w:w="850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Earned Value (budget of work completed)</w:t>
            </w:r>
          </w:p>
        </w:tc>
        <w:tc>
          <w:tcPr>
            <w:tcW w:w="504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Progress vs scope/schedule</w:t>
            </w:r>
          </w:p>
        </w:tc>
      </w:tr>
      <w:tr w:rsidR="00D120AF" w:rsidRPr="00BF6877">
        <w:trPr>
          <w:jc w:val="center"/>
        </w:trPr>
        <w:tc>
          <w:tcPr>
            <w:tcW w:w="19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AC</w:t>
            </w:r>
          </w:p>
        </w:tc>
        <w:tc>
          <w:tcPr>
            <w:tcW w:w="850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Actual Cost (cost incurred)</w:t>
            </w:r>
          </w:p>
        </w:tc>
        <w:tc>
          <w:tcPr>
            <w:tcW w:w="504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Finance actuals</w:t>
            </w:r>
          </w:p>
        </w:tc>
      </w:tr>
      <w:tr w:rsidR="00D120AF" w:rsidRPr="00BF6877">
        <w:trPr>
          <w:jc w:val="center"/>
        </w:trPr>
        <w:tc>
          <w:tcPr>
            <w:tcW w:w="192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CV</w:t>
            </w:r>
          </w:p>
        </w:tc>
        <w:tc>
          <w:tcPr>
            <w:tcW w:w="850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EV − AC</w:t>
            </w:r>
          </w:p>
        </w:tc>
        <w:tc>
          <w:tcPr>
            <w:tcW w:w="504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Escalate if &lt; −10% of EV</w:t>
            </w:r>
          </w:p>
        </w:tc>
      </w:tr>
      <w:tr w:rsidR="00D120AF" w:rsidRPr="00BF6877">
        <w:trPr>
          <w:jc w:val="center"/>
        </w:trPr>
        <w:tc>
          <w:tcPr>
            <w:tcW w:w="19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SV</w:t>
            </w:r>
          </w:p>
        </w:tc>
        <w:tc>
          <w:tcPr>
            <w:tcW w:w="850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EV − PV</w:t>
            </w:r>
          </w:p>
        </w:tc>
        <w:tc>
          <w:tcPr>
            <w:tcW w:w="504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Escalate if &lt; −10% of PV</w:t>
            </w:r>
          </w:p>
        </w:tc>
      </w:tr>
      <w:tr w:rsidR="00D120AF" w:rsidRPr="00BF6877">
        <w:trPr>
          <w:jc w:val="center"/>
        </w:trPr>
        <w:tc>
          <w:tcPr>
            <w:tcW w:w="192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CPI</w:t>
            </w:r>
          </w:p>
        </w:tc>
        <w:tc>
          <w:tcPr>
            <w:tcW w:w="850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EV ÷ AC</w:t>
            </w:r>
          </w:p>
        </w:tc>
        <w:tc>
          <w:tcPr>
            <w:tcW w:w="504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Flag &lt; 0.95</w:t>
            </w:r>
          </w:p>
        </w:tc>
      </w:tr>
      <w:tr w:rsidR="00D120AF" w:rsidRPr="00BF6877">
        <w:trPr>
          <w:jc w:val="center"/>
        </w:trPr>
        <w:tc>
          <w:tcPr>
            <w:tcW w:w="1928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SPI</w:t>
            </w:r>
          </w:p>
        </w:tc>
        <w:tc>
          <w:tcPr>
            <w:tcW w:w="850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EV ÷ PV</w:t>
            </w:r>
          </w:p>
        </w:tc>
        <w:tc>
          <w:tcPr>
            <w:tcW w:w="504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Flag &lt; 0.95</w:t>
            </w:r>
          </w:p>
        </w:tc>
      </w:tr>
      <w:tr w:rsidR="00D120AF" w:rsidRPr="00BF6877">
        <w:trPr>
          <w:jc w:val="center"/>
        </w:trPr>
        <w:tc>
          <w:tcPr>
            <w:tcW w:w="1928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lastRenderedPageBreak/>
              <w:t>Variance</w:t>
            </w:r>
          </w:p>
        </w:tc>
        <w:tc>
          <w:tcPr>
            <w:tcW w:w="8504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Tolerance outside baseline</w:t>
            </w:r>
          </w:p>
        </w:tc>
        <w:tc>
          <w:tcPr>
            <w:tcW w:w="504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Sponsor escalation beyond ±10%</w:t>
            </w:r>
          </w:p>
        </w:tc>
      </w:tr>
    </w:tbl>
    <w:p w:rsidR="00D120AF" w:rsidRPr="00BF6877" w:rsidRDefault="00B35998">
      <w:pPr>
        <w:rPr>
          <w:sz w:val="24"/>
        </w:rPr>
      </w:pPr>
      <w:r w:rsidRPr="00186B28">
        <w:rPr>
          <w:b/>
          <w:i/>
          <w:color w:val="555555"/>
          <w:sz w:val="23"/>
        </w:rPr>
        <w:t>Control rule:</w:t>
      </w:r>
      <w:r w:rsidRPr="00BF6877">
        <w:rPr>
          <w:i/>
          <w:color w:val="555555"/>
          <w:sz w:val="23"/>
        </w:rPr>
        <w:t xml:space="preserve"> monthly reporting reconciles EV/PV/AC against baseline; variance beyond threshold triggers corrective action + Sponsor escalation. No overrun is silently absorbed.</w:t>
      </w:r>
      <w:bookmarkStart w:id="0" w:name="_GoBack"/>
      <w:bookmarkEnd w:id="0"/>
    </w:p>
    <w:p w:rsidR="00D120AF" w:rsidRPr="00BF6877" w:rsidRDefault="00B35998" w:rsidP="00BF6877">
      <w:pPr>
        <w:keepNext/>
        <w:spacing w:before="240"/>
        <w:rPr>
          <w:sz w:val="22"/>
        </w:rPr>
      </w:pPr>
      <w:r w:rsidRPr="00BF6877">
        <w:rPr>
          <w:b/>
          <w:color w:val="0F2A4A"/>
          <w:sz w:val="28"/>
        </w:rPr>
        <w:t>Section 6 — Cost Validation, Control &amp; Baseline Acceptance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76"/>
        <w:gridCol w:w="4876"/>
        <w:gridCol w:w="4876"/>
      </w:tblGrid>
      <w:tr w:rsidR="00D120AF" w:rsidRPr="00BF6877" w:rsidTr="00BA77B0">
        <w:tc>
          <w:tcPr>
            <w:tcW w:w="4876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color w:val="FFFFFF"/>
                <w:sz w:val="20"/>
              </w:rPr>
              <w:t>Validation</w:t>
            </w:r>
          </w:p>
        </w:tc>
        <w:tc>
          <w:tcPr>
            <w:tcW w:w="4876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w="4876" w:type="dxa"/>
            <w:shd w:val="clear" w:color="auto" w:fill="0F2A4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color w:val="FFFFFF"/>
                <w:sz w:val="20"/>
              </w:rPr>
              <w:t>Baseline definition</w:t>
            </w:r>
          </w:p>
        </w:tc>
      </w:tr>
      <w:tr w:rsidR="00D120AF" w:rsidRPr="00BF6877" w:rsidTr="00BA77B0">
        <w:tc>
          <w:tcPr>
            <w:tcW w:w="48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Every WP has bottom-up estimate + owner</w:t>
            </w:r>
          </w:p>
        </w:tc>
        <w:tc>
          <w:tcPr>
            <w:tcW w:w="48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Monthly reporting + variance thresholds</w:t>
            </w:r>
          </w:p>
        </w:tc>
        <w:tc>
          <w:tcPr>
            <w:tcW w:w="48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CAPEX ceiling $11.5M frozen</w:t>
            </w:r>
          </w:p>
        </w:tc>
      </w:tr>
      <w:tr w:rsidR="00D120AF" w:rsidRPr="00BF6877" w:rsidTr="00BA77B0">
        <w:tc>
          <w:tcPr>
            <w:tcW w:w="487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Roll-up reconciles to CAPEX ceiling</w:t>
            </w:r>
          </w:p>
        </w:tc>
        <w:tc>
          <w:tcPr>
            <w:tcW w:w="487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Funding $0 until DEC-02</w:t>
            </w:r>
          </w:p>
        </w:tc>
        <w:tc>
          <w:tcPr>
            <w:tcW w:w="487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TCO $27.5M locked</w:t>
            </w:r>
          </w:p>
        </w:tc>
      </w:tr>
      <w:tr w:rsidR="00D120AF" w:rsidRPr="00BF6877" w:rsidTr="00BA77B0">
        <w:tc>
          <w:tcPr>
            <w:tcW w:w="48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Contingency explicit + risk-based</w:t>
            </w:r>
          </w:p>
        </w:tc>
        <w:tc>
          <w:tcPr>
            <w:tcW w:w="48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Baseline change → Sponsor</w:t>
            </w:r>
          </w:p>
        </w:tc>
        <w:tc>
          <w:tcPr>
            <w:tcW w:w="4876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Contingency vs reserve separated</w:t>
            </w:r>
          </w:p>
        </w:tc>
      </w:tr>
      <w:tr w:rsidR="00D120AF" w:rsidRPr="00BF6877" w:rsidTr="00BA77B0">
        <w:tc>
          <w:tcPr>
            <w:tcW w:w="487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b/>
                <w:sz w:val="20"/>
              </w:rPr>
              <w:t>EVM defined against baseline</w:t>
            </w:r>
          </w:p>
        </w:tc>
        <w:tc>
          <w:tcPr>
            <w:tcW w:w="487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Contingency use logged, not hidden</w:t>
            </w:r>
          </w:p>
        </w:tc>
        <w:tc>
          <w:tcPr>
            <w:tcW w:w="4876" w:type="dxa"/>
            <w:shd w:val="clear" w:color="auto" w:fill="F4F7FA"/>
            <w:tcMar>
              <w:top w:w="30" w:type="dxa"/>
              <w:left w:w="60" w:type="dxa"/>
              <w:bottom w:w="30" w:type="dxa"/>
              <w:right w:w="60" w:type="dxa"/>
            </w:tcMar>
          </w:tcPr>
          <w:p w:rsidR="00D120AF" w:rsidRPr="00BF6877" w:rsidRDefault="00B35998">
            <w:pPr>
              <w:rPr>
                <w:sz w:val="22"/>
              </w:rPr>
            </w:pPr>
            <w:r w:rsidRPr="00BF6877">
              <w:rPr>
                <w:sz w:val="20"/>
              </w:rPr>
              <w:t>EVM integrated with WBS/schedule</w:t>
            </w:r>
          </w:p>
        </w:tc>
      </w:tr>
    </w:tbl>
    <w:p w:rsidR="00B35998" w:rsidRPr="00BF6877" w:rsidRDefault="00B35998">
      <w:pPr>
        <w:rPr>
          <w:sz w:val="22"/>
        </w:rPr>
      </w:pPr>
    </w:p>
    <w:sectPr w:rsidR="00B35998" w:rsidRPr="00BF6877" w:rsidSect="00034616">
      <w:headerReference w:type="default" r:id="rId8"/>
      <w:footerReference w:type="default" r:id="rId9"/>
      <w:pgSz w:w="16838" w:h="11906" w:orient="landscape"/>
      <w:pgMar w:top="720" w:right="720" w:bottom="720" w:left="720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34EC" w:rsidRDefault="006634EC">
      <w:pPr>
        <w:spacing w:after="0" w:line="240" w:lineRule="auto"/>
      </w:pPr>
      <w:r>
        <w:separator/>
      </w:r>
    </w:p>
  </w:endnote>
  <w:endnote w:type="continuationSeparator" w:id="0">
    <w:p w:rsidR="006634EC" w:rsidRDefault="00663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20AF" w:rsidRDefault="00B35998">
    <w:pPr>
      <w:pStyle w:val="Footer"/>
      <w:jc w:val="center"/>
    </w:pPr>
    <w:r>
      <w:rPr>
        <w:color w:val="555555"/>
        <w:sz w:val="14"/>
      </w:rPr>
      <w:t xml:space="preserve">PTB-COST-001  ·  Page </w:t>
    </w:r>
    <w:r>
      <w:rPr>
        <w:color w:val="555555"/>
        <w:sz w:val="14"/>
      </w:rPr>
      <w:fldChar w:fldCharType="begin"/>
    </w:r>
    <w:r>
      <w:rPr>
        <w:color w:val="555555"/>
        <w:sz w:val="14"/>
      </w:rPr>
      <w:instrText>PAGE</w:instrText>
    </w:r>
    <w:r>
      <w:rPr>
        <w:color w:val="555555"/>
        <w:sz w:val="14"/>
      </w:rPr>
      <w:fldChar w:fldCharType="separate"/>
    </w:r>
    <w:r w:rsidR="00186B28">
      <w:rPr>
        <w:noProof/>
        <w:color w:val="555555"/>
        <w:sz w:val="14"/>
      </w:rPr>
      <w:t>1</w:t>
    </w:r>
    <w:r>
      <w:rPr>
        <w:color w:val="555555"/>
        <w:sz w:val="14"/>
      </w:rPr>
      <w:fldChar w:fldCharType="end"/>
    </w:r>
    <w:r>
      <w:rPr>
        <w:color w:val="555555"/>
        <w:sz w:val="14"/>
      </w:rPr>
      <w:t xml:space="preserve">  ·  Pole Trust Bank — Synthetic Classroom Case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34EC" w:rsidRDefault="006634EC">
      <w:pPr>
        <w:spacing w:after="0" w:line="240" w:lineRule="auto"/>
      </w:pPr>
      <w:r>
        <w:separator/>
      </w:r>
    </w:p>
  </w:footnote>
  <w:footnote w:type="continuationSeparator" w:id="0">
    <w:p w:rsidR="006634EC" w:rsidRDefault="00663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20AF" w:rsidRDefault="00B35998">
    <w:pPr>
      <w:pStyle w:val="Header"/>
      <w:jc w:val="center"/>
    </w:pPr>
    <w:r>
      <w:rPr>
        <w:i/>
        <w:color w:val="555555"/>
        <w:sz w:val="15"/>
      </w:rPr>
      <w:t>Pole Trust Bank — Integrated AI Banking Implementation Ecosystem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6B28"/>
    <w:rsid w:val="0029639D"/>
    <w:rsid w:val="00326F90"/>
    <w:rsid w:val="005344C2"/>
    <w:rsid w:val="006634EC"/>
    <w:rsid w:val="0095696F"/>
    <w:rsid w:val="00AA1D8D"/>
    <w:rsid w:val="00B35998"/>
    <w:rsid w:val="00B47730"/>
    <w:rsid w:val="00BA77B0"/>
    <w:rsid w:val="00BF6877"/>
    <w:rsid w:val="00CB0664"/>
    <w:rsid w:val="00D120AF"/>
    <w:rsid w:val="00E47A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856061"/>
  <w14:defaultImageDpi w14:val="300"/>
  <w15:docId w15:val="{DA0695DA-8606-4339-A455-94FB9D94E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2B0C7C-3A23-4A8F-83E9-B25FFDF62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HAROON TRADERS</cp:lastModifiedBy>
  <cp:revision>7</cp:revision>
  <dcterms:created xsi:type="dcterms:W3CDTF">2013-12-23T23:15:00Z</dcterms:created>
  <dcterms:modified xsi:type="dcterms:W3CDTF">2026-08-15T12:51:00Z</dcterms:modified>
  <cp:category/>
</cp:coreProperties>
</file>