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52B" w:rsidRDefault="0021148F">
      <w:pPr>
        <w:spacing w:after="80"/>
        <w:jc w:val="center"/>
      </w:pPr>
      <w:r>
        <w:rPr>
          <w:rFonts w:ascii="Calibri" w:hAnsi="Calibri"/>
          <w:b/>
          <w:color w:val="0F2A4A"/>
          <w:sz w:val="34"/>
        </w:rPr>
        <w:t>Communications Management Plan</w:t>
      </w:r>
      <w:r>
        <w:rPr>
          <w:rFonts w:ascii="Calibri" w:hAnsi="Calibri"/>
          <w:b/>
          <w:color w:val="B8860B"/>
          <w:sz w:val="24"/>
        </w:rPr>
        <w:t xml:space="preserve"> | PTB-COMM-001  ·  Version 1.0</w:t>
      </w:r>
      <w:r>
        <w:rPr>
          <w:rFonts w:ascii="Calibri" w:hAnsi="Calibri"/>
          <w:color w:val="146B6E"/>
        </w:rPr>
        <w:t xml:space="preserve">  ·  Planning baseline · Sponsor review</w:t>
      </w:r>
    </w:p>
    <w:p w:rsidR="00AD452B" w:rsidRDefault="0021148F">
      <w:pPr>
        <w:spacing w:before="200" w:after="0"/>
      </w:pPr>
      <w:r>
        <w:rPr>
          <w:rFonts w:ascii="Calibri" w:hAnsi="Calibri"/>
          <w:b/>
          <w:color w:val="0F2A4A"/>
          <w:sz w:val="26"/>
        </w:rPr>
        <w:t>Section 1 — Communications Approach, Purpose &amp; Methodology</w:t>
      </w:r>
    </w:p>
    <w:p w:rsidR="00AD452B" w:rsidRDefault="0021148F">
      <w:pPr>
        <w:spacing w:before="60" w:after="40"/>
      </w:pPr>
      <w:r>
        <w:rPr>
          <w:rFonts w:ascii="Calibri" w:hAnsi="Calibri"/>
          <w:color w:val="555555"/>
        </w:rPr>
        <w:t xml:space="preserve">Purpose: build a shared, accurate and timely picture of the programme for every stakeholder </w:t>
      </w:r>
      <w:r>
        <w:rPr>
          <w:rFonts w:ascii="Calibri" w:hAnsi="Calibri"/>
          <w:color w:val="555555"/>
        </w:rPr>
        <w:t>group; reduce uncertainty, resistance and rumour; and give people the information they need to decide, act and support delivery (PMBoK Plan Communications Management).</w:t>
      </w:r>
    </w:p>
    <w:p w:rsidR="00AD452B" w:rsidRDefault="0021148F">
      <w:pPr>
        <w:spacing w:after="40"/>
      </w:pPr>
      <w:r>
        <w:rPr>
          <w:rFonts w:ascii="Calibri" w:hAnsi="Calibri"/>
          <w:sz w:val="21"/>
        </w:rPr>
        <w:t>Method: audience-by-audience analysis from the approved Stakeholder Register — what each</w:t>
      </w:r>
      <w:r>
        <w:rPr>
          <w:rFonts w:ascii="Calibri" w:hAnsi="Calibri"/>
          <w:sz w:val="21"/>
        </w:rPr>
        <w:t xml:space="preserve"> audience needs, how often, through which channel, with a single accountable sender. No material claim is made without an approved source.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7"/>
        <w:gridCol w:w="7141"/>
      </w:tblGrid>
      <w:tr w:rsidR="00AD452B" w:rsidTr="00FB7975">
        <w:tc>
          <w:tcPr>
            <w:tcW w:w="0" w:type="auto"/>
            <w:shd w:val="clear" w:color="auto" w:fill="EAF0F5"/>
          </w:tcPr>
          <w:p w:rsidR="00AD452B" w:rsidRDefault="0021148F">
            <w:pPr>
              <w:spacing w:before="20" w:after="20"/>
            </w:pPr>
            <w:r>
              <w:rPr>
                <w:rFonts w:ascii="Calibri" w:hAnsi="Calibri"/>
                <w:b/>
                <w:color w:val="0F2A4A"/>
                <w:sz w:val="19"/>
              </w:rPr>
              <w:t>Document ID</w:t>
            </w:r>
          </w:p>
        </w:tc>
        <w:tc>
          <w:tcPr>
            <w:tcW w:w="0" w:type="auto"/>
          </w:tcPr>
          <w:p w:rsidR="00AD452B" w:rsidRDefault="0021148F">
            <w:pPr>
              <w:spacing w:before="20" w:after="20"/>
            </w:pPr>
            <w:r>
              <w:rPr>
                <w:rFonts w:ascii="Calibri" w:hAnsi="Calibri"/>
                <w:sz w:val="19"/>
              </w:rPr>
              <w:t>PTB-COMM-001</w:t>
            </w:r>
          </w:p>
        </w:tc>
      </w:tr>
      <w:tr w:rsidR="00AD452B" w:rsidTr="00FB7975">
        <w:tc>
          <w:tcPr>
            <w:tcW w:w="0" w:type="auto"/>
            <w:shd w:val="clear" w:color="auto" w:fill="EAF0F5"/>
          </w:tcPr>
          <w:p w:rsidR="00AD452B" w:rsidRDefault="0021148F">
            <w:pPr>
              <w:spacing w:before="20" w:after="20"/>
            </w:pPr>
            <w:r>
              <w:rPr>
                <w:rFonts w:ascii="Calibri" w:hAnsi="Calibri"/>
                <w:b/>
                <w:color w:val="0F2A4A"/>
                <w:sz w:val="19"/>
              </w:rPr>
              <w:t>Version / date</w:t>
            </w:r>
          </w:p>
        </w:tc>
        <w:tc>
          <w:tcPr>
            <w:tcW w:w="0" w:type="auto"/>
          </w:tcPr>
          <w:p w:rsidR="00AD452B" w:rsidRDefault="0021148F">
            <w:pPr>
              <w:spacing w:before="20" w:after="20"/>
            </w:pPr>
            <w:r>
              <w:rPr>
                <w:rFonts w:ascii="Calibri" w:hAnsi="Calibri"/>
                <w:sz w:val="19"/>
              </w:rPr>
              <w:t>1.0 / 2 August 2026</w:t>
            </w:r>
          </w:p>
        </w:tc>
      </w:tr>
      <w:tr w:rsidR="00AD452B" w:rsidTr="00FB7975">
        <w:tc>
          <w:tcPr>
            <w:tcW w:w="0" w:type="auto"/>
            <w:shd w:val="clear" w:color="auto" w:fill="EAF0F5"/>
          </w:tcPr>
          <w:p w:rsidR="00AD452B" w:rsidRDefault="0021148F">
            <w:pPr>
              <w:spacing w:before="20" w:after="20"/>
            </w:pPr>
            <w:r>
              <w:rPr>
                <w:rFonts w:ascii="Calibri" w:hAnsi="Calibri"/>
                <w:b/>
                <w:color w:val="0F2A4A"/>
                <w:sz w:val="19"/>
              </w:rPr>
              <w:t>Status</w:t>
            </w:r>
          </w:p>
        </w:tc>
        <w:tc>
          <w:tcPr>
            <w:tcW w:w="0" w:type="auto"/>
          </w:tcPr>
          <w:p w:rsidR="00AD452B" w:rsidRDefault="0021148F">
            <w:pPr>
              <w:spacing w:before="20" w:after="20"/>
            </w:pPr>
            <w:r>
              <w:rPr>
                <w:rFonts w:ascii="Calibri" w:hAnsi="Calibri"/>
                <w:sz w:val="19"/>
              </w:rPr>
              <w:t>Refined planning baseline · Sponsor review</w:t>
            </w:r>
          </w:p>
        </w:tc>
      </w:tr>
      <w:tr w:rsidR="00AD452B" w:rsidTr="00FB7975">
        <w:tc>
          <w:tcPr>
            <w:tcW w:w="0" w:type="auto"/>
            <w:shd w:val="clear" w:color="auto" w:fill="EAF0F5"/>
          </w:tcPr>
          <w:p w:rsidR="00AD452B" w:rsidRDefault="0021148F">
            <w:pPr>
              <w:spacing w:before="20" w:after="20"/>
            </w:pPr>
            <w:r>
              <w:rPr>
                <w:rFonts w:ascii="Calibri" w:hAnsi="Calibri"/>
                <w:b/>
                <w:color w:val="0F2A4A"/>
                <w:sz w:val="19"/>
              </w:rPr>
              <w:t>Proj</w:t>
            </w:r>
            <w:r>
              <w:rPr>
                <w:rFonts w:ascii="Calibri" w:hAnsi="Calibri"/>
                <w:b/>
                <w:color w:val="0F2A4A"/>
                <w:sz w:val="19"/>
              </w:rPr>
              <w:t>ect Sponsor</w:t>
            </w:r>
          </w:p>
        </w:tc>
        <w:tc>
          <w:tcPr>
            <w:tcW w:w="0" w:type="auto"/>
          </w:tcPr>
          <w:p w:rsidR="00AD452B" w:rsidRDefault="0021148F"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Sheikh Moeen Akhtar</w:t>
            </w:r>
            <w:bookmarkStart w:id="0" w:name="_GoBack"/>
            <w:bookmarkEnd w:id="0"/>
          </w:p>
        </w:tc>
      </w:tr>
      <w:tr w:rsidR="00AD452B" w:rsidTr="00FB7975">
        <w:tc>
          <w:tcPr>
            <w:tcW w:w="0" w:type="auto"/>
            <w:shd w:val="clear" w:color="auto" w:fill="EAF0F5"/>
          </w:tcPr>
          <w:p w:rsidR="00AD452B" w:rsidRDefault="0021148F">
            <w:pPr>
              <w:spacing w:before="20" w:after="20"/>
            </w:pPr>
            <w:r>
              <w:rPr>
                <w:rFonts w:ascii="Calibri" w:hAnsi="Calibri"/>
                <w:b/>
                <w:color w:val="0F2A4A"/>
                <w:sz w:val="19"/>
              </w:rPr>
              <w:t>Project/Program Manager</w:t>
            </w:r>
          </w:p>
        </w:tc>
        <w:tc>
          <w:tcPr>
            <w:tcW w:w="0" w:type="auto"/>
          </w:tcPr>
          <w:p w:rsidR="00AD452B" w:rsidRDefault="0021148F">
            <w:pPr>
              <w:spacing w:before="20" w:after="20"/>
            </w:pPr>
            <w:r>
              <w:rPr>
                <w:rFonts w:ascii="Calibri" w:hAnsi="Calibri"/>
                <w:sz w:val="19"/>
              </w:rPr>
              <w:t>Salman Zaman (working role accepted)</w:t>
            </w:r>
          </w:p>
        </w:tc>
      </w:tr>
      <w:tr w:rsidR="00AD452B" w:rsidTr="00FB7975">
        <w:tc>
          <w:tcPr>
            <w:tcW w:w="0" w:type="auto"/>
            <w:shd w:val="clear" w:color="auto" w:fill="EAF0F5"/>
          </w:tcPr>
          <w:p w:rsidR="00AD452B" w:rsidRDefault="0021148F">
            <w:pPr>
              <w:spacing w:before="20" w:after="20"/>
            </w:pPr>
            <w:r>
              <w:rPr>
                <w:rFonts w:ascii="Calibri" w:hAnsi="Calibri"/>
                <w:b/>
                <w:color w:val="0F2A4A"/>
                <w:sz w:val="19"/>
              </w:rPr>
              <w:t>Comms change authority</w:t>
            </w:r>
          </w:p>
        </w:tc>
        <w:tc>
          <w:tcPr>
            <w:tcW w:w="0" w:type="auto"/>
          </w:tcPr>
          <w:p w:rsidR="00AD452B" w:rsidRDefault="0021148F">
            <w:pPr>
              <w:spacing w:before="20" w:after="20"/>
            </w:pPr>
            <w:r>
              <w:rPr>
                <w:rFonts w:ascii="Calibri" w:hAnsi="Calibri"/>
                <w:sz w:val="19"/>
              </w:rPr>
              <w:t>Sponsor; external/regulatory or fact-changing messages route to Sponsor until DEC-03/04</w:t>
            </w:r>
          </w:p>
        </w:tc>
      </w:tr>
    </w:tbl>
    <w:p w:rsidR="00AD452B" w:rsidRDefault="0021148F">
      <w:pPr>
        <w:spacing w:before="160" w:after="0"/>
      </w:pPr>
      <w:r>
        <w:rPr>
          <w:rFonts w:ascii="Calibri" w:hAnsi="Calibri"/>
          <w:b/>
          <w:color w:val="0F2A4A"/>
          <w:sz w:val="26"/>
        </w:rPr>
        <w:t>Section 2 — Audiences, Needs &amp; Channels</w:t>
      </w:r>
    </w:p>
    <w:p w:rsidR="00AD452B" w:rsidRDefault="0021148F">
      <w:pPr>
        <w:spacing w:before="60" w:after="40"/>
      </w:pPr>
      <w:r>
        <w:rPr>
          <w:rFonts w:ascii="Calibri" w:hAnsi="Calibri"/>
          <w:color w:val="555555"/>
        </w:rPr>
        <w:t xml:space="preserve">Each </w:t>
      </w:r>
      <w:r>
        <w:rPr>
          <w:rFonts w:ascii="Calibri" w:hAnsi="Calibri"/>
          <w:color w:val="555555"/>
        </w:rPr>
        <w:t>audience is defined by what it needs, how often, through which channel, and the accountable sender. The contact-centre message is the hardest and is drafted early.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2"/>
        <w:gridCol w:w="5492"/>
        <w:gridCol w:w="2138"/>
        <w:gridCol w:w="2988"/>
        <w:gridCol w:w="2208"/>
      </w:tblGrid>
      <w:tr w:rsidR="00AD452B" w:rsidTr="00FB7975">
        <w:tc>
          <w:tcPr>
            <w:tcW w:w="0" w:type="auto"/>
            <w:shd w:val="clear" w:color="auto" w:fill="0F2A4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Audience</w:t>
            </w:r>
          </w:p>
        </w:tc>
        <w:tc>
          <w:tcPr>
            <w:tcW w:w="0" w:type="auto"/>
            <w:shd w:val="clear" w:color="auto" w:fill="0F2A4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What they need</w:t>
            </w:r>
          </w:p>
        </w:tc>
        <w:tc>
          <w:tcPr>
            <w:tcW w:w="0" w:type="auto"/>
            <w:shd w:val="clear" w:color="auto" w:fill="0F2A4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Frequency</w:t>
            </w:r>
          </w:p>
        </w:tc>
        <w:tc>
          <w:tcPr>
            <w:tcW w:w="0" w:type="auto"/>
            <w:shd w:val="clear" w:color="auto" w:fill="0F2A4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Channel</w:t>
            </w:r>
          </w:p>
        </w:tc>
        <w:tc>
          <w:tcPr>
            <w:tcW w:w="0" w:type="auto"/>
            <w:shd w:val="clear" w:color="auto" w:fill="0F2A4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Accountable sender</w:t>
            </w:r>
          </w:p>
        </w:tc>
      </w:tr>
      <w:tr w:rsidR="00AD452B" w:rsidTr="00FB7975"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Board &amp; Executive Steering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Progress, risks, decisions, funding, gates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Monthly + every gate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Decision pack, dashboard, meeting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Sponsor / PM</w:t>
            </w:r>
          </w:p>
        </w:tc>
      </w:tr>
      <w:tr w:rsidR="00AD452B" w:rsidTr="00FB7975"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Staff &amp; target users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What the programme means for their work, timeline, training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Monthly + each pilot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Intranet, town hall, briefing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 xml:space="preserve">PM / Change </w:t>
            </w:r>
            <w:r>
              <w:rPr>
                <w:rFonts w:ascii="Calibri" w:hAnsi="Calibri"/>
                <w:sz w:val="19"/>
              </w:rPr>
              <w:t>Lead</w:t>
            </w:r>
          </w:p>
        </w:tc>
      </w:tr>
      <w:tr w:rsidR="00AD452B" w:rsidTr="00FB7975"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Union &amp; employee reps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Role impact, workload, monitoring fairness, how concerns are heard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Monthly + impact events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Rep forum, written brief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PM / HR / Change</w:t>
            </w:r>
          </w:p>
        </w:tc>
      </w:tr>
      <w:tr w:rsidR="00AD452B" w:rsidTr="00FB7975"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Contact-centre agents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How the assistant changes Tier-1 work, what stays human, support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 xml:space="preserve">Before </w:t>
            </w:r>
            <w:r>
              <w:rPr>
                <w:rFonts w:ascii="Calibri" w:hAnsi="Calibri"/>
                <w:sz w:val="19"/>
              </w:rPr>
              <w:t>pilot + go-live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Manager cascade, huddle, FAQ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Contact Centre Lead / PM</w:t>
            </w:r>
          </w:p>
        </w:tc>
      </w:tr>
      <w:tr w:rsidR="00AD452B" w:rsidTr="00FB7975"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Regulator &amp; compliance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Obligations, evidence, incidents, assurance status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Per obligation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Regulatory liaison, evidence pack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Legal / Compliance</w:t>
            </w:r>
          </w:p>
        </w:tc>
      </w:tr>
      <w:tr w:rsidR="00AD452B" w:rsidTr="00FB7975"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Customers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 xml:space="preserve">Service change, privacy, </w:t>
            </w:r>
            <w:r>
              <w:rPr>
                <w:rFonts w:ascii="Calibri" w:hAnsi="Calibri"/>
                <w:sz w:val="19"/>
              </w:rPr>
              <w:t>accessibility, human escalation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At customer pilot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Statement, in-app notice, CX review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Digital PO / CX</w:t>
            </w:r>
          </w:p>
        </w:tc>
      </w:tr>
    </w:tbl>
    <w:p w:rsidR="00AD452B" w:rsidRDefault="0021148F">
      <w:pPr>
        <w:spacing w:before="160" w:after="0"/>
      </w:pPr>
      <w:r>
        <w:rPr>
          <w:rFonts w:ascii="Calibri" w:hAnsi="Calibri"/>
          <w:b/>
          <w:color w:val="0F2A4A"/>
          <w:sz w:val="26"/>
        </w:rPr>
        <w:t>Section 3 — Stakeholder Communications Matrix</w:t>
      </w:r>
    </w:p>
    <w:p w:rsidR="00AD452B" w:rsidRDefault="0021148F">
      <w:pPr>
        <w:spacing w:before="60" w:after="40"/>
      </w:pPr>
      <w:r>
        <w:rPr>
          <w:rFonts w:ascii="Calibri" w:hAnsi="Calibri"/>
          <w:color w:val="555555"/>
        </w:rPr>
        <w:t>Maps the approved stakeholder universe to a concrete communications action, cadence, channel and sender. Ex</w:t>
      </w:r>
      <w:r>
        <w:rPr>
          <w:rFonts w:ascii="Calibri" w:hAnsi="Calibri"/>
          <w:color w:val="555555"/>
        </w:rPr>
        <w:t>actly one accountable sender per row — two accountables means none.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8"/>
        <w:gridCol w:w="3942"/>
        <w:gridCol w:w="1861"/>
        <w:gridCol w:w="2373"/>
        <w:gridCol w:w="2239"/>
      </w:tblGrid>
      <w:tr w:rsidR="00AD452B" w:rsidTr="00FB7975">
        <w:tc>
          <w:tcPr>
            <w:tcW w:w="0" w:type="auto"/>
            <w:shd w:val="clear" w:color="auto" w:fill="0F2A4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Stakeholder / group</w:t>
            </w:r>
          </w:p>
        </w:tc>
        <w:tc>
          <w:tcPr>
            <w:tcW w:w="0" w:type="auto"/>
            <w:shd w:val="clear" w:color="auto" w:fill="0F2A4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Key message</w:t>
            </w:r>
          </w:p>
        </w:tc>
        <w:tc>
          <w:tcPr>
            <w:tcW w:w="0" w:type="auto"/>
            <w:shd w:val="clear" w:color="auto" w:fill="0F2A4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Cadence</w:t>
            </w:r>
          </w:p>
        </w:tc>
        <w:tc>
          <w:tcPr>
            <w:tcW w:w="0" w:type="auto"/>
            <w:shd w:val="clear" w:color="auto" w:fill="0F2A4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Channel</w:t>
            </w:r>
          </w:p>
        </w:tc>
        <w:tc>
          <w:tcPr>
            <w:tcW w:w="0" w:type="auto"/>
            <w:shd w:val="clear" w:color="auto" w:fill="0F2A4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Accountable sender</w:t>
            </w:r>
          </w:p>
        </w:tc>
      </w:tr>
      <w:tr w:rsidR="00AD452B" w:rsidTr="00FB7975"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Sponsor &amp; Steering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Gate decisions, risks, funding, approval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Monthly + every gate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Decision pack, meeting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 xml:space="preserve">Project/Program </w:t>
            </w:r>
            <w:r>
              <w:rPr>
                <w:rFonts w:ascii="Calibri" w:hAnsi="Calibri"/>
                <w:sz w:val="19"/>
              </w:rPr>
              <w:t>Manager</w:t>
            </w:r>
          </w:p>
        </w:tc>
      </w:tr>
      <w:tr w:rsidR="00AD452B" w:rsidTr="00FB7975"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CDO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Digital value, product coherence, pilot readiness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Fortnightly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Value/design review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Digital Product Owner</w:t>
            </w:r>
          </w:p>
        </w:tc>
      </w:tr>
      <w:tr w:rsidR="00AD452B" w:rsidTr="00FB7975"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CIO &amp; Architecture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Architecture, integration, readiness evidence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Weekly (foundation)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Architecture workshop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Architecture Lead</w:t>
            </w:r>
          </w:p>
        </w:tc>
      </w:tr>
      <w:tr w:rsidR="00AD452B" w:rsidTr="00FB7975"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 xml:space="preserve">Risk, </w:t>
            </w:r>
            <w:r>
              <w:rPr>
                <w:rFonts w:ascii="Calibri" w:hAnsi="Calibri"/>
                <w:sz w:val="19"/>
              </w:rPr>
              <w:t>Compliance, Legal, Privacy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Control evidence, obligations, assurance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Weekly + per gate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Control checklist, escalation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Risk / Compliance Lead</w:t>
            </w:r>
          </w:p>
        </w:tc>
      </w:tr>
      <w:tr w:rsidR="00AD452B" w:rsidTr="00FB7975"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CFO / Finance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Cost, benefits, funding, attribution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Monthly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Cost &amp; benefit review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Finance Lead</w:t>
            </w:r>
          </w:p>
        </w:tc>
      </w:tr>
      <w:tr w:rsidR="00AD452B" w:rsidTr="00FB7975"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 xml:space="preserve">Contact Centre </w:t>
            </w:r>
            <w:r>
              <w:rPr>
                <w:rFonts w:ascii="Calibri" w:hAnsi="Calibri"/>
                <w:sz w:val="19"/>
              </w:rPr>
              <w:t>leadership &amp; agents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Assistant scope, handoff, training, support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Before pilot + go-live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Cascade, huddle, FAQ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Contact Centre Lead</w:t>
            </w:r>
          </w:p>
        </w:tc>
      </w:tr>
      <w:tr w:rsidR="00AD452B" w:rsidTr="00FB7975"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HR, Learning &amp; Change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Role impact, training, adoption support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Monthly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Change council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Change Lead</w:t>
            </w:r>
          </w:p>
        </w:tc>
      </w:tr>
      <w:tr w:rsidR="00AD452B" w:rsidTr="00FB7975"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lastRenderedPageBreak/>
              <w:t>Vendor / procurement (future)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Sourcing, due diligence, contract obligations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Per sourcing stage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Procurement record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Procurement Lead</w:t>
            </w:r>
          </w:p>
        </w:tc>
      </w:tr>
      <w:tr w:rsidR="00AD452B" w:rsidTr="00FB7975"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Customers &amp; CX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Service change, privacy, accessibility, escalation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At customer pilot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Statement, in-app notice</w:t>
            </w:r>
          </w:p>
        </w:tc>
        <w:tc>
          <w:tcPr>
            <w:tcW w:w="0" w:type="auto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Digital Product Owner</w:t>
            </w:r>
          </w:p>
        </w:tc>
      </w:tr>
      <w:tr w:rsidR="00AD452B" w:rsidTr="00FB7975"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 xml:space="preserve">Regulators / </w:t>
            </w:r>
            <w:r>
              <w:rPr>
                <w:rFonts w:ascii="Calibri" w:hAnsi="Calibri"/>
                <w:sz w:val="19"/>
              </w:rPr>
              <w:t>obligations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Applicable obligations, evidence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Per obligation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Regulatory liaison</w:t>
            </w:r>
          </w:p>
        </w:tc>
        <w:tc>
          <w:tcPr>
            <w:tcW w:w="0" w:type="auto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Legal / Compliance</w:t>
            </w:r>
          </w:p>
        </w:tc>
      </w:tr>
    </w:tbl>
    <w:p w:rsidR="00AD452B" w:rsidRDefault="0021148F">
      <w:pPr>
        <w:spacing w:before="160" w:after="0"/>
      </w:pPr>
      <w:r>
        <w:rPr>
          <w:rFonts w:ascii="Calibri" w:hAnsi="Calibri"/>
          <w:b/>
          <w:color w:val="0F2A4A"/>
          <w:sz w:val="26"/>
        </w:rPr>
        <w:t>Section 4 — Key Messages &amp; Announcements</w:t>
      </w:r>
    </w:p>
    <w:p w:rsidR="00AD452B" w:rsidRDefault="0021148F">
      <w:pPr>
        <w:spacing w:before="60" w:after="40"/>
      </w:pPr>
      <w:r>
        <w:rPr>
          <w:rFonts w:ascii="Calibri" w:hAnsi="Calibri"/>
          <w:color w:val="555555"/>
        </w:rPr>
        <w:t xml:space="preserve">Programme announcement: governed, human-accountable AI, phased and evidence-gated, never autonomous on money or </w:t>
      </w:r>
      <w:r>
        <w:rPr>
          <w:rFonts w:ascii="Calibri" w:hAnsi="Calibri"/>
          <w:color w:val="555555"/>
        </w:rPr>
        <w:t>accounts.</w:t>
      </w:r>
    </w:p>
    <w:p w:rsidR="00AD452B" w:rsidRDefault="0021148F">
      <w:pPr>
        <w:spacing w:after="40"/>
      </w:pPr>
      <w:r>
        <w:rPr>
          <w:rFonts w:ascii="Calibri" w:hAnsi="Calibri"/>
          <w:sz w:val="21"/>
        </w:rPr>
        <w:t>Contact-centre announcement (drafted first): "Your Tier-1 work is not being automated away. The assistant absorbs repetitive, low-complexity inquiries; you remain the accountable human for judgement, empathy and escalation. We will train you, mea</w:t>
      </w:r>
      <w:r>
        <w:rPr>
          <w:rFonts w:ascii="Calibri" w:hAnsi="Calibri"/>
          <w:sz w:val="21"/>
        </w:rPr>
        <w:t>sure the change transparently and keep your handoff authority intact."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08"/>
        <w:gridCol w:w="2154"/>
        <w:gridCol w:w="2381"/>
        <w:gridCol w:w="2041"/>
        <w:gridCol w:w="3855"/>
      </w:tblGrid>
      <w:tr w:rsidR="00AD452B" w:rsidTr="00FB7975">
        <w:tc>
          <w:tcPr>
            <w:tcW w:w="2608" w:type="dxa"/>
            <w:shd w:val="clear" w:color="auto" w:fill="0F2A4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Announcement</w:t>
            </w:r>
          </w:p>
        </w:tc>
        <w:tc>
          <w:tcPr>
            <w:tcW w:w="2154" w:type="dxa"/>
            <w:shd w:val="clear" w:color="auto" w:fill="0F2A4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Audience</w:t>
            </w:r>
          </w:p>
        </w:tc>
        <w:tc>
          <w:tcPr>
            <w:tcW w:w="2381" w:type="dxa"/>
            <w:shd w:val="clear" w:color="auto" w:fill="0F2A4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Draft owner</w:t>
            </w:r>
          </w:p>
        </w:tc>
        <w:tc>
          <w:tcPr>
            <w:tcW w:w="2041" w:type="dxa"/>
            <w:shd w:val="clear" w:color="auto" w:fill="0F2A4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Approval</w:t>
            </w:r>
          </w:p>
        </w:tc>
        <w:tc>
          <w:tcPr>
            <w:tcW w:w="3855" w:type="dxa"/>
            <w:shd w:val="clear" w:color="auto" w:fill="0F2A4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Channel / timing</w:t>
            </w:r>
          </w:p>
        </w:tc>
      </w:tr>
      <w:tr w:rsidR="00AD452B" w:rsidTr="00FB7975">
        <w:tc>
          <w:tcPr>
            <w:tcW w:w="2608" w:type="dx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Programme kick-off</w:t>
            </w:r>
          </w:p>
        </w:tc>
        <w:tc>
          <w:tcPr>
            <w:tcW w:w="2154" w:type="dx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All staff</w:t>
            </w:r>
          </w:p>
        </w:tc>
        <w:tc>
          <w:tcPr>
            <w:tcW w:w="2381" w:type="dx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PM</w:t>
            </w:r>
          </w:p>
        </w:tc>
        <w:tc>
          <w:tcPr>
            <w:tcW w:w="2041" w:type="dx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Sponsor</w:t>
            </w:r>
          </w:p>
        </w:tc>
        <w:tc>
          <w:tcPr>
            <w:tcW w:w="3855" w:type="dx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Intranet + town hall / M01</w:t>
            </w:r>
          </w:p>
        </w:tc>
      </w:tr>
      <w:tr w:rsidR="00AD452B" w:rsidTr="00FB7975">
        <w:tc>
          <w:tcPr>
            <w:tcW w:w="2608" w:type="dxa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Copilot pilot</w:t>
            </w:r>
          </w:p>
        </w:tc>
        <w:tc>
          <w:tcPr>
            <w:tcW w:w="2154" w:type="dxa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Target users</w:t>
            </w:r>
          </w:p>
        </w:tc>
        <w:tc>
          <w:tcPr>
            <w:tcW w:w="2381" w:type="dxa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Copilot PO</w:t>
            </w:r>
          </w:p>
        </w:tc>
        <w:tc>
          <w:tcPr>
            <w:tcW w:w="2041" w:type="dxa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PM</w:t>
            </w:r>
          </w:p>
        </w:tc>
        <w:tc>
          <w:tcPr>
            <w:tcW w:w="3855" w:type="dxa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Team briefing /</w:t>
            </w:r>
            <w:r>
              <w:rPr>
                <w:rFonts w:ascii="Calibri" w:hAnsi="Calibri"/>
                <w:sz w:val="19"/>
              </w:rPr>
              <w:t xml:space="preserve"> M05</w:t>
            </w:r>
          </w:p>
        </w:tc>
      </w:tr>
      <w:tr w:rsidR="00AD452B" w:rsidTr="00FB7975">
        <w:tc>
          <w:tcPr>
            <w:tcW w:w="2608" w:type="dx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Contact-centre assistant</w:t>
            </w:r>
          </w:p>
        </w:tc>
        <w:tc>
          <w:tcPr>
            <w:tcW w:w="2154" w:type="dx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Agents + union reps</w:t>
            </w:r>
          </w:p>
        </w:tc>
        <w:tc>
          <w:tcPr>
            <w:tcW w:w="2381" w:type="dx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Contact Centre Lead</w:t>
            </w:r>
          </w:p>
        </w:tc>
        <w:tc>
          <w:tcPr>
            <w:tcW w:w="2041" w:type="dx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Sponsor</w:t>
            </w:r>
          </w:p>
        </w:tc>
        <w:tc>
          <w:tcPr>
            <w:tcW w:w="3855" w:type="dx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Cascade + forum / before M08</w:t>
            </w:r>
          </w:p>
        </w:tc>
      </w:tr>
      <w:tr w:rsidR="00AD452B" w:rsidTr="00FB7975">
        <w:tc>
          <w:tcPr>
            <w:tcW w:w="2608" w:type="dxa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Customer-facing notice</w:t>
            </w:r>
          </w:p>
        </w:tc>
        <w:tc>
          <w:tcPr>
            <w:tcW w:w="2154" w:type="dxa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Customers</w:t>
            </w:r>
          </w:p>
        </w:tc>
        <w:tc>
          <w:tcPr>
            <w:tcW w:w="2381" w:type="dxa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Digital PO</w:t>
            </w:r>
          </w:p>
        </w:tc>
        <w:tc>
          <w:tcPr>
            <w:tcW w:w="2041" w:type="dxa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Sponsor + CX</w:t>
            </w:r>
          </w:p>
        </w:tc>
        <w:tc>
          <w:tcPr>
            <w:tcW w:w="3855" w:type="dxa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In-app + statement / at pilot</w:t>
            </w:r>
          </w:p>
        </w:tc>
      </w:tr>
    </w:tbl>
    <w:p w:rsidR="00AD452B" w:rsidRDefault="0021148F">
      <w:pPr>
        <w:spacing w:before="160" w:after="0"/>
      </w:pPr>
      <w:r>
        <w:rPr>
          <w:rFonts w:ascii="Calibri" w:hAnsi="Calibri"/>
          <w:b/>
          <w:color w:val="0F2A4A"/>
          <w:sz w:val="26"/>
        </w:rPr>
        <w:t>Section 5 — Escalation &amp; Incident Communications</w:t>
      </w:r>
    </w:p>
    <w:p w:rsidR="00AD452B" w:rsidRDefault="0021148F">
      <w:pPr>
        <w:spacing w:before="60" w:after="40"/>
      </w:pPr>
      <w:r>
        <w:rPr>
          <w:rFonts w:ascii="Calibri" w:hAnsi="Calibri"/>
          <w:color w:val="555555"/>
        </w:rPr>
        <w:t xml:space="preserve">Material </w:t>
      </w:r>
      <w:r>
        <w:rPr>
          <w:rFonts w:ascii="Calibri" w:hAnsi="Calibri"/>
          <w:color w:val="555555"/>
        </w:rPr>
        <w:t>risk, compliance, budget, scope, KPI, roadmap or release matters route to the Sponsor; external and regulatory incident communications require Sponsor approval.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12417"/>
      </w:tblGrid>
      <w:tr w:rsidR="00AD452B">
        <w:trPr>
          <w:jc w:val="center"/>
        </w:trPr>
        <w:tc>
          <w:tcPr>
            <w:tcW w:w="3061" w:type="dxa"/>
            <w:shd w:val="clear" w:color="auto" w:fill="0F2A4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w="12417" w:type="dxa"/>
            <w:shd w:val="clear" w:color="auto" w:fill="0F2A4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Control</w:t>
            </w:r>
          </w:p>
        </w:tc>
      </w:tr>
      <w:tr w:rsidR="00AD452B">
        <w:trPr>
          <w:jc w:val="center"/>
        </w:trPr>
        <w:tc>
          <w:tcPr>
            <w:tcW w:w="3061" w:type="dx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Escalation route</w:t>
            </w:r>
          </w:p>
        </w:tc>
        <w:tc>
          <w:tcPr>
            <w:tcW w:w="12417" w:type="dx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 xml:space="preserve">Weekly variance vs baseline; escalate outside tolerance · </w:t>
            </w:r>
            <w:r>
              <w:rPr>
                <w:rFonts w:ascii="Calibri" w:hAnsi="Calibri"/>
                <w:sz w:val="19"/>
              </w:rPr>
              <w:t>material risk/compliance event → Sponsor within 24h · no unilateral external statement · DEC-03/04 close delegated thresholds</w:t>
            </w:r>
          </w:p>
        </w:tc>
      </w:tr>
      <w:tr w:rsidR="00AD452B">
        <w:trPr>
          <w:jc w:val="center"/>
        </w:trPr>
        <w:tc>
          <w:tcPr>
            <w:tcW w:w="3061" w:type="dxa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Incident communications</w:t>
            </w:r>
          </w:p>
        </w:tc>
        <w:tc>
          <w:tcPr>
            <w:tcW w:w="12417" w:type="dxa"/>
            <w:shd w:val="clear" w:color="auto" w:fill="F4F7F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Internal: affected teams briefed first · external/regulatory: Legal/Compliance drafts, Sponsor approves ·</w:t>
            </w:r>
            <w:r>
              <w:rPr>
                <w:rFonts w:ascii="Calibri" w:hAnsi="Calibri"/>
                <w:sz w:val="19"/>
              </w:rPr>
              <w:t xml:space="preserve"> every incident communication recorded · DEC-11 governs residual-risk acceptance</w:t>
            </w:r>
          </w:p>
        </w:tc>
      </w:tr>
      <w:tr w:rsidR="00AD452B">
        <w:trPr>
          <w:jc w:val="center"/>
        </w:trPr>
        <w:tc>
          <w:tcPr>
            <w:tcW w:w="3061" w:type="dx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Rumour / misinformation</w:t>
            </w:r>
          </w:p>
        </w:tc>
        <w:tc>
          <w:tcPr>
            <w:tcW w:w="12417" w:type="dxa"/>
          </w:tcPr>
          <w:p w:rsidR="00AD452B" w:rsidRDefault="0021148F">
            <w:pPr>
              <w:spacing w:before="10" w:after="10"/>
            </w:pPr>
            <w:r>
              <w:rPr>
                <w:rFonts w:ascii="Calibri" w:hAnsi="Calibri"/>
                <w:sz w:val="19"/>
              </w:rPr>
              <w:t>Single source of truth: this plan + decision register · correct inaccuracies promptly via the same channel · escalate persistent misinformation to Spo</w:t>
            </w:r>
            <w:r>
              <w:rPr>
                <w:rFonts w:ascii="Calibri" w:hAnsi="Calibri"/>
                <w:sz w:val="19"/>
              </w:rPr>
              <w:t>nsor · keep staff/union messages consistent</w:t>
            </w:r>
          </w:p>
        </w:tc>
      </w:tr>
    </w:tbl>
    <w:p w:rsidR="00AD452B" w:rsidRDefault="0021148F">
      <w:pPr>
        <w:spacing w:before="160" w:after="0"/>
      </w:pPr>
      <w:r>
        <w:rPr>
          <w:rFonts w:ascii="Calibri" w:hAnsi="Calibri"/>
          <w:b/>
          <w:color w:val="0F2A4A"/>
          <w:sz w:val="26"/>
        </w:rPr>
        <w:t>Section 6 — Validation, Control &amp; Baseline</w:t>
      </w:r>
    </w:p>
    <w:p w:rsidR="00AD452B" w:rsidRDefault="0021148F">
      <w:pPr>
        <w:spacing w:before="60" w:after="40"/>
      </w:pPr>
      <w:r>
        <w:rPr>
          <w:rFonts w:ascii="Calibri" w:hAnsi="Calibri"/>
          <w:color w:val="555555"/>
        </w:rPr>
        <w:t xml:space="preserve">Definition of a valid communications baseline: audience-led (every group has a need, cadence, channel, sender) · single-accountable (exactly one A per message) · </w:t>
      </w:r>
      <w:r>
        <w:rPr>
          <w:rFonts w:ascii="Calibri" w:hAnsi="Calibri"/>
          <w:color w:val="555555"/>
        </w:rPr>
        <w:t>controlled (external/regulatory messages route to the Sponsor; open authority closes through PTB-DEC-001).</w:t>
      </w:r>
    </w:p>
    <w:sectPr w:rsidR="00AD452B" w:rsidSect="00034616">
      <w:headerReference w:type="default" r:id="rId8"/>
      <w:footerReference w:type="default" r:id="rId9"/>
      <w:pgSz w:w="16838" w:h="11906"/>
      <w:pgMar w:top="720" w:right="720" w:bottom="720" w:left="720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148F" w:rsidRDefault="0021148F">
      <w:pPr>
        <w:spacing w:after="0" w:line="240" w:lineRule="auto"/>
      </w:pPr>
      <w:r>
        <w:separator/>
      </w:r>
    </w:p>
  </w:endnote>
  <w:endnote w:type="continuationSeparator" w:id="0">
    <w:p w:rsidR="0021148F" w:rsidRDefault="00211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452B" w:rsidRDefault="0021148F">
    <w:pPr>
      <w:pStyle w:val="Footer"/>
    </w:pPr>
    <w:r>
      <w:rPr>
        <w:rFonts w:ascii="Calibri" w:hAnsi="Calibri"/>
        <w:color w:val="808A9B"/>
        <w:sz w:val="17"/>
      </w:rPr>
      <w:t xml:space="preserve">PTB-COMM-001  ·  </w:t>
    </w:r>
    <w:r>
      <w:rPr>
        <w:rFonts w:ascii="Calibri" w:hAnsi="Calibri"/>
        <w:color w:val="808A9B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B7975">
      <w:rPr>
        <w:noProof/>
      </w:rPr>
      <w:t>1</w:t>
    </w:r>
    <w:r>
      <w:rPr>
        <w:color w:val="808A9B"/>
        <w:sz w:val="17"/>
      </w:rPr>
      <w:fldChar w:fldCharType="end"/>
    </w:r>
    <w:r>
      <w:rPr>
        <w:rFonts w:ascii="Calibri" w:hAnsi="Calibri"/>
        <w:color w:val="808A9B"/>
        <w:sz w:val="17"/>
      </w:rPr>
      <w:t xml:space="preserve">  ·  Pole Trust Bank — Synthetic Classroom Case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148F" w:rsidRDefault="0021148F">
      <w:pPr>
        <w:spacing w:after="0" w:line="240" w:lineRule="auto"/>
      </w:pPr>
      <w:r>
        <w:separator/>
      </w:r>
    </w:p>
  </w:footnote>
  <w:footnote w:type="continuationSeparator" w:id="0">
    <w:p w:rsidR="0021148F" w:rsidRDefault="002114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452B" w:rsidRDefault="0021148F">
    <w:pPr>
      <w:pStyle w:val="Header"/>
    </w:pPr>
    <w:r>
      <w:rPr>
        <w:rFonts w:ascii="Calibri" w:hAnsi="Calibri"/>
        <w:b/>
        <w:color w:val="146B6E"/>
        <w:sz w:val="18"/>
      </w:rPr>
      <w:t>Pole Trust Bank — Integrated AI Banking Implementation Ecosystem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148F"/>
    <w:rsid w:val="0029639D"/>
    <w:rsid w:val="00326F90"/>
    <w:rsid w:val="00AA1D8D"/>
    <w:rsid w:val="00AD452B"/>
    <w:rsid w:val="00B47730"/>
    <w:rsid w:val="00CB0664"/>
    <w:rsid w:val="00FB79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32E9AB9-D247-4282-BB9C-46FCC3F25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09439D-EF46-42C6-96E0-7DB2C2158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848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HAROON TRADERS</cp:lastModifiedBy>
  <cp:revision>2</cp:revision>
  <dcterms:created xsi:type="dcterms:W3CDTF">2013-12-23T23:15:00Z</dcterms:created>
  <dcterms:modified xsi:type="dcterms:W3CDTF">2026-08-20T13:09:00Z</dcterms:modified>
  <cp:category/>
</cp:coreProperties>
</file>