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D7A" w:rsidRDefault="00177C36">
      <w:pPr>
        <w:spacing w:after="80"/>
        <w:jc w:val="center"/>
      </w:pPr>
      <w:r>
        <w:rPr>
          <w:rFonts w:ascii="Calibri" w:hAnsi="Calibri"/>
          <w:b/>
          <w:color w:val="0F2A4A"/>
          <w:sz w:val="34"/>
        </w:rPr>
        <w:t>Risk Management Plan</w:t>
      </w:r>
      <w:r>
        <w:rPr>
          <w:rFonts w:ascii="Calibri" w:hAnsi="Calibri"/>
          <w:b/>
          <w:color w:val="B8860B"/>
          <w:sz w:val="24"/>
        </w:rPr>
        <w:t xml:space="preserve"> | PTB-RISK-001  ·  Version 1.0</w:t>
      </w:r>
      <w:r>
        <w:rPr>
          <w:rFonts w:ascii="Calibri" w:hAnsi="Calibri"/>
          <w:color w:val="146B6E"/>
        </w:rPr>
        <w:t xml:space="preserve">  ·  Planning baseline · Sponsor review</w:t>
      </w:r>
    </w:p>
    <w:p w:rsidR="00910D7A" w:rsidRDefault="00177C36">
      <w:pPr>
        <w:spacing w:before="200" w:after="0"/>
      </w:pPr>
      <w:r>
        <w:rPr>
          <w:rFonts w:ascii="Calibri" w:hAnsi="Calibri"/>
          <w:b/>
          <w:color w:val="0F2A4A"/>
          <w:sz w:val="26"/>
        </w:rPr>
        <w:t>Section 1 — Risk Approach, Purpose &amp; Methodology</w:t>
      </w:r>
    </w:p>
    <w:p w:rsidR="00910D7A" w:rsidRDefault="00177C36">
      <w:pPr>
        <w:spacing w:before="60" w:after="40"/>
      </w:pPr>
      <w:r>
        <w:rPr>
          <w:rFonts w:ascii="Calibri" w:hAnsi="Calibri"/>
          <w:color w:val="555555"/>
        </w:rPr>
        <w:t xml:space="preserve">Purpose: identify, assess, respond to and review the risks that could affect the approved Pair 5 programme, so </w:t>
      </w:r>
      <w:r>
        <w:rPr>
          <w:rFonts w:ascii="Calibri" w:hAnsi="Calibri"/>
          <w:color w:val="555555"/>
        </w:rPr>
        <w:t>management attention is spent where it matters and no risk is silently absorbed (PMBoK Plan Risk Management).</w:t>
      </w:r>
    </w:p>
    <w:p w:rsidR="00910D7A" w:rsidRDefault="00177C36">
      <w:pPr>
        <w:spacing w:after="40"/>
      </w:pPr>
      <w:r>
        <w:rPr>
          <w:rFonts w:ascii="Calibri" w:hAnsi="Calibri"/>
          <w:sz w:val="21"/>
        </w:rPr>
        <w:t>Method: four steps — identify, assess, respond, review. Risk is explicitly linked to scope, schedule, cost, the WBS and the decision register. Sco</w:t>
      </w:r>
      <w:r>
        <w:rPr>
          <w:rFonts w:ascii="Calibri" w:hAnsi="Calibri"/>
          <w:sz w:val="21"/>
        </w:rPr>
        <w:t>ring is qualitative: probability × impact, ranked, with the top five receiving real attention and the rest given review dates. The risk register (the scored list) is a separate artifact and is intentionally excluded here.</w:t>
      </w:r>
    </w:p>
    <w:tbl>
      <w:tblPr>
        <w:tblStyle w:val="TableGrid"/>
        <w:tblW w:w="0" w:type="auto"/>
        <w:tblLook w:val="04A0" w:firstRow="1" w:lastRow="0" w:firstColumn="1" w:lastColumn="0" w:noHBand="0" w:noVBand="1"/>
      </w:tblPr>
      <w:tblGrid>
        <w:gridCol w:w="2287"/>
        <w:gridCol w:w="6100"/>
      </w:tblGrid>
      <w:tr w:rsidR="00910D7A" w:rsidTr="00D23FAC">
        <w:tc>
          <w:tcPr>
            <w:tcW w:w="0" w:type="auto"/>
            <w:shd w:val="clear" w:color="auto" w:fill="EAF0F5"/>
          </w:tcPr>
          <w:p w:rsidR="00910D7A" w:rsidRDefault="00177C36">
            <w:pPr>
              <w:spacing w:before="20" w:after="20"/>
            </w:pPr>
            <w:r>
              <w:rPr>
                <w:rFonts w:ascii="Calibri" w:hAnsi="Calibri"/>
                <w:b/>
                <w:color w:val="0F2A4A"/>
                <w:sz w:val="19"/>
              </w:rPr>
              <w:t>Document ID</w:t>
            </w:r>
          </w:p>
        </w:tc>
        <w:tc>
          <w:tcPr>
            <w:tcW w:w="0" w:type="auto"/>
          </w:tcPr>
          <w:p w:rsidR="00910D7A" w:rsidRDefault="00177C36">
            <w:pPr>
              <w:spacing w:before="20" w:after="20"/>
            </w:pPr>
            <w:r>
              <w:rPr>
                <w:rFonts w:ascii="Calibri" w:hAnsi="Calibri"/>
                <w:sz w:val="19"/>
              </w:rPr>
              <w:t>PTB-RISK-001</w:t>
            </w:r>
          </w:p>
        </w:tc>
      </w:tr>
      <w:tr w:rsidR="00910D7A" w:rsidTr="00D23FAC">
        <w:tc>
          <w:tcPr>
            <w:tcW w:w="0" w:type="auto"/>
            <w:shd w:val="clear" w:color="auto" w:fill="EAF0F5"/>
          </w:tcPr>
          <w:p w:rsidR="00910D7A" w:rsidRDefault="00177C36">
            <w:pPr>
              <w:spacing w:before="20" w:after="20"/>
            </w:pPr>
            <w:r>
              <w:rPr>
                <w:rFonts w:ascii="Calibri" w:hAnsi="Calibri"/>
                <w:b/>
                <w:color w:val="0F2A4A"/>
                <w:sz w:val="19"/>
              </w:rPr>
              <w:t xml:space="preserve">Version </w:t>
            </w:r>
            <w:r>
              <w:rPr>
                <w:rFonts w:ascii="Calibri" w:hAnsi="Calibri"/>
                <w:b/>
                <w:color w:val="0F2A4A"/>
                <w:sz w:val="19"/>
              </w:rPr>
              <w:t>/ date</w:t>
            </w:r>
          </w:p>
        </w:tc>
        <w:tc>
          <w:tcPr>
            <w:tcW w:w="0" w:type="auto"/>
          </w:tcPr>
          <w:p w:rsidR="00910D7A" w:rsidRDefault="00177C36">
            <w:pPr>
              <w:spacing w:before="20" w:after="20"/>
            </w:pPr>
            <w:r>
              <w:rPr>
                <w:rFonts w:ascii="Calibri" w:hAnsi="Calibri"/>
                <w:sz w:val="19"/>
              </w:rPr>
              <w:t>1.0 / 2 August 2026</w:t>
            </w:r>
          </w:p>
        </w:tc>
      </w:tr>
      <w:tr w:rsidR="00910D7A" w:rsidTr="00D23FAC">
        <w:tc>
          <w:tcPr>
            <w:tcW w:w="0" w:type="auto"/>
            <w:shd w:val="clear" w:color="auto" w:fill="EAF0F5"/>
          </w:tcPr>
          <w:p w:rsidR="00910D7A" w:rsidRDefault="00177C36">
            <w:pPr>
              <w:spacing w:before="20" w:after="20"/>
            </w:pPr>
            <w:r>
              <w:rPr>
                <w:rFonts w:ascii="Calibri" w:hAnsi="Calibri"/>
                <w:b/>
                <w:color w:val="0F2A4A"/>
                <w:sz w:val="19"/>
              </w:rPr>
              <w:t>Status</w:t>
            </w:r>
          </w:p>
        </w:tc>
        <w:tc>
          <w:tcPr>
            <w:tcW w:w="0" w:type="auto"/>
          </w:tcPr>
          <w:p w:rsidR="00910D7A" w:rsidRDefault="00177C36">
            <w:pPr>
              <w:spacing w:before="20" w:after="20"/>
            </w:pPr>
            <w:r>
              <w:rPr>
                <w:rFonts w:ascii="Calibri" w:hAnsi="Calibri"/>
                <w:sz w:val="19"/>
              </w:rPr>
              <w:t>Refined planning baseline · Sponsor review</w:t>
            </w:r>
          </w:p>
        </w:tc>
      </w:tr>
      <w:tr w:rsidR="00910D7A" w:rsidTr="00D23FAC">
        <w:tc>
          <w:tcPr>
            <w:tcW w:w="0" w:type="auto"/>
            <w:shd w:val="clear" w:color="auto" w:fill="EAF0F5"/>
          </w:tcPr>
          <w:p w:rsidR="00910D7A" w:rsidRDefault="00177C36">
            <w:pPr>
              <w:spacing w:before="20" w:after="20"/>
            </w:pPr>
            <w:r>
              <w:rPr>
                <w:rFonts w:ascii="Calibri" w:hAnsi="Calibri"/>
                <w:b/>
                <w:color w:val="0F2A4A"/>
                <w:sz w:val="19"/>
              </w:rPr>
              <w:t>Project Sponsor</w:t>
            </w:r>
          </w:p>
        </w:tc>
        <w:tc>
          <w:tcPr>
            <w:tcW w:w="0" w:type="auto"/>
          </w:tcPr>
          <w:p w:rsidR="00910D7A" w:rsidRDefault="00177C36">
            <w:pPr>
              <w:spacing w:before="20" w:after="20"/>
            </w:pPr>
            <w:r>
              <w:rPr>
                <w:rFonts w:ascii="Calibri" w:hAnsi="Calibri"/>
                <w:sz w:val="19"/>
              </w:rPr>
              <w:t>Sheikh Moeen Akhtar</w:t>
            </w:r>
          </w:p>
        </w:tc>
      </w:tr>
      <w:tr w:rsidR="00910D7A" w:rsidTr="00D23FAC">
        <w:tc>
          <w:tcPr>
            <w:tcW w:w="0" w:type="auto"/>
            <w:shd w:val="clear" w:color="auto" w:fill="EAF0F5"/>
          </w:tcPr>
          <w:p w:rsidR="00910D7A" w:rsidRDefault="00177C36">
            <w:pPr>
              <w:spacing w:before="20" w:after="20"/>
            </w:pPr>
            <w:r>
              <w:rPr>
                <w:rFonts w:ascii="Calibri" w:hAnsi="Calibri"/>
                <w:b/>
                <w:color w:val="0F2A4A"/>
                <w:sz w:val="19"/>
              </w:rPr>
              <w:t>Project/Program Manager</w:t>
            </w:r>
          </w:p>
        </w:tc>
        <w:tc>
          <w:tcPr>
            <w:tcW w:w="0" w:type="auto"/>
          </w:tcPr>
          <w:p w:rsidR="00910D7A" w:rsidRDefault="00177C36">
            <w:pPr>
              <w:spacing w:before="20" w:after="20"/>
            </w:pPr>
            <w:r>
              <w:rPr>
                <w:rFonts w:ascii="Calibri" w:hAnsi="Calibri"/>
                <w:sz w:val="19"/>
              </w:rPr>
              <w:t>Salman Zaman (working role accepted)</w:t>
            </w:r>
          </w:p>
        </w:tc>
      </w:tr>
      <w:tr w:rsidR="00910D7A" w:rsidTr="00D23FAC">
        <w:tc>
          <w:tcPr>
            <w:tcW w:w="0" w:type="auto"/>
            <w:shd w:val="clear" w:color="auto" w:fill="EAF0F5"/>
          </w:tcPr>
          <w:p w:rsidR="00910D7A" w:rsidRDefault="00177C36">
            <w:pPr>
              <w:spacing w:before="20" w:after="20"/>
            </w:pPr>
            <w:r>
              <w:rPr>
                <w:rFonts w:ascii="Calibri" w:hAnsi="Calibri"/>
                <w:b/>
                <w:color w:val="0F2A4A"/>
                <w:sz w:val="19"/>
              </w:rPr>
              <w:t>Risk acceptance authority</w:t>
            </w:r>
          </w:p>
        </w:tc>
        <w:tc>
          <w:tcPr>
            <w:tcW w:w="0" w:type="auto"/>
          </w:tcPr>
          <w:p w:rsidR="00910D7A" w:rsidRDefault="00177C36">
            <w:pPr>
              <w:spacing w:before="20" w:after="20"/>
            </w:pPr>
            <w:r>
              <w:rPr>
                <w:rFonts w:ascii="Calibri" w:hAnsi="Calibri"/>
                <w:sz w:val="19"/>
              </w:rPr>
              <w:t xml:space="preserve">Sponsor; specialist acceptance outside tolerance </w:t>
            </w:r>
            <w:r>
              <w:rPr>
                <w:rFonts w:ascii="Calibri" w:hAnsi="Calibri"/>
                <w:sz w:val="19"/>
              </w:rPr>
              <w:t>routes to Sponsor (DEC-11)</w:t>
            </w:r>
          </w:p>
        </w:tc>
      </w:tr>
    </w:tbl>
    <w:p w:rsidR="00910D7A" w:rsidRDefault="00177C36">
      <w:pPr>
        <w:spacing w:before="160" w:after="0"/>
      </w:pPr>
      <w:r>
        <w:rPr>
          <w:rFonts w:ascii="Calibri" w:hAnsi="Calibri"/>
          <w:b/>
          <w:color w:val="0F2A4A"/>
          <w:sz w:val="26"/>
        </w:rPr>
        <w:t>Section 2 — Risk Identification</w:t>
      </w:r>
    </w:p>
    <w:p w:rsidR="00910D7A" w:rsidRDefault="00177C36">
      <w:pPr>
        <w:spacing w:before="60" w:after="40"/>
      </w:pPr>
      <w:r>
        <w:rPr>
          <w:rFonts w:ascii="Calibri" w:hAnsi="Calibri"/>
          <w:color w:val="555555"/>
        </w:rPr>
        <w:t>Coverage spans the full approved scope and the customer-facing AI assistant in particular. The starting set comes from the approved scope, schedule and stakeholder baselines; it is reopened at eve</w:t>
      </w:r>
      <w:r>
        <w:rPr>
          <w:rFonts w:ascii="Calibri" w:hAnsi="Calibri"/>
          <w:color w:val="555555"/>
        </w:rPr>
        <w:t>ry gate and review.</w:t>
      </w:r>
    </w:p>
    <w:tbl>
      <w:tblPr>
        <w:tblStyle w:val="TableGrid"/>
        <w:tblW w:w="0" w:type="auto"/>
        <w:tblLook w:val="04A0" w:firstRow="1" w:lastRow="0" w:firstColumn="1" w:lastColumn="0" w:noHBand="0" w:noVBand="1"/>
      </w:tblPr>
      <w:tblGrid>
        <w:gridCol w:w="1631"/>
        <w:gridCol w:w="5829"/>
        <w:gridCol w:w="3058"/>
      </w:tblGrid>
      <w:tr w:rsidR="00910D7A" w:rsidTr="00D23FAC">
        <w:tc>
          <w:tcPr>
            <w:tcW w:w="0" w:type="auto"/>
            <w:shd w:val="clear" w:color="auto" w:fill="0F2A4A"/>
          </w:tcPr>
          <w:p w:rsidR="00910D7A" w:rsidRDefault="00177C36">
            <w:pPr>
              <w:spacing w:before="10" w:after="10"/>
            </w:pPr>
            <w:r>
              <w:rPr>
                <w:rFonts w:ascii="Calibri" w:hAnsi="Calibri"/>
                <w:b/>
                <w:color w:val="FFFFFF"/>
                <w:sz w:val="19"/>
              </w:rPr>
              <w:t>Risk area</w:t>
            </w:r>
          </w:p>
        </w:tc>
        <w:tc>
          <w:tcPr>
            <w:tcW w:w="0" w:type="auto"/>
            <w:shd w:val="clear" w:color="auto" w:fill="0F2A4A"/>
          </w:tcPr>
          <w:p w:rsidR="00910D7A" w:rsidRDefault="00177C36">
            <w:pPr>
              <w:spacing w:before="10" w:after="10"/>
            </w:pPr>
            <w:r>
              <w:rPr>
                <w:rFonts w:ascii="Calibri" w:hAnsi="Calibri"/>
                <w:b/>
                <w:color w:val="FFFFFF"/>
                <w:sz w:val="19"/>
              </w:rPr>
              <w:t>Example risk</w:t>
            </w:r>
          </w:p>
        </w:tc>
        <w:tc>
          <w:tcPr>
            <w:tcW w:w="0" w:type="auto"/>
            <w:shd w:val="clear" w:color="auto" w:fill="0F2A4A"/>
          </w:tcPr>
          <w:p w:rsidR="00910D7A" w:rsidRDefault="00177C36">
            <w:pPr>
              <w:spacing w:before="10" w:after="10"/>
            </w:pPr>
            <w:r>
              <w:rPr>
                <w:rFonts w:ascii="Calibri" w:hAnsi="Calibri"/>
                <w:b/>
                <w:color w:val="FFFFFF"/>
                <w:sz w:val="19"/>
              </w:rPr>
              <w:t>Source</w:t>
            </w:r>
          </w:p>
        </w:tc>
      </w:tr>
      <w:tr w:rsidR="00910D7A" w:rsidTr="00D23FAC">
        <w:tc>
          <w:tcPr>
            <w:tcW w:w="0" w:type="auto"/>
          </w:tcPr>
          <w:p w:rsidR="00910D7A" w:rsidRDefault="00177C36">
            <w:pPr>
              <w:spacing w:before="10" w:after="10"/>
            </w:pPr>
            <w:r>
              <w:rPr>
                <w:rFonts w:ascii="Calibri" w:hAnsi="Calibri"/>
                <w:sz w:val="19"/>
              </w:rPr>
              <w:t>Customer impact</w:t>
            </w:r>
          </w:p>
        </w:tc>
        <w:tc>
          <w:tcPr>
            <w:tcW w:w="0" w:type="auto"/>
          </w:tcPr>
          <w:p w:rsidR="00910D7A" w:rsidRDefault="00177C36">
            <w:pPr>
              <w:spacing w:before="10" w:after="10"/>
            </w:pPr>
            <w:r>
              <w:rPr>
                <w:rFonts w:ascii="Calibri" w:hAnsi="Calibri"/>
                <w:sz w:val="19"/>
              </w:rPr>
              <w:t>Hallucination to a customer — incorrect or fabricated answer</w:t>
            </w:r>
          </w:p>
        </w:tc>
        <w:tc>
          <w:tcPr>
            <w:tcW w:w="0" w:type="auto"/>
          </w:tcPr>
          <w:p w:rsidR="00910D7A" w:rsidRDefault="00177C36">
            <w:pPr>
              <w:spacing w:before="10" w:after="10"/>
            </w:pPr>
            <w:r>
              <w:rPr>
                <w:rFonts w:ascii="Calibri" w:hAnsi="Calibri"/>
                <w:sz w:val="19"/>
              </w:rPr>
              <w:t>Customer assistant MVP (D4)</w:t>
            </w:r>
          </w:p>
        </w:tc>
      </w:tr>
      <w:tr w:rsidR="00910D7A" w:rsidTr="00D23FAC">
        <w:tc>
          <w:tcPr>
            <w:tcW w:w="0" w:type="auto"/>
            <w:shd w:val="clear" w:color="auto" w:fill="F4F7FA"/>
          </w:tcPr>
          <w:p w:rsidR="00910D7A" w:rsidRDefault="00177C36">
            <w:pPr>
              <w:spacing w:before="10" w:after="10"/>
            </w:pPr>
            <w:r>
              <w:rPr>
                <w:rFonts w:ascii="Calibri" w:hAnsi="Calibri"/>
                <w:sz w:val="19"/>
              </w:rPr>
              <w:t>People / adoption</w:t>
            </w:r>
          </w:p>
        </w:tc>
        <w:tc>
          <w:tcPr>
            <w:tcW w:w="0" w:type="auto"/>
            <w:shd w:val="clear" w:color="auto" w:fill="F4F7FA"/>
          </w:tcPr>
          <w:p w:rsidR="00910D7A" w:rsidRDefault="00177C36">
            <w:pPr>
              <w:spacing w:before="10" w:after="10"/>
            </w:pPr>
            <w:r>
              <w:rPr>
                <w:rFonts w:ascii="Calibri" w:hAnsi="Calibri"/>
                <w:sz w:val="19"/>
              </w:rPr>
              <w:t>Staff resistance — agents or users reject the assistant or the change</w:t>
            </w:r>
          </w:p>
        </w:tc>
        <w:tc>
          <w:tcPr>
            <w:tcW w:w="0" w:type="auto"/>
            <w:shd w:val="clear" w:color="auto" w:fill="F4F7FA"/>
          </w:tcPr>
          <w:p w:rsidR="00910D7A" w:rsidRDefault="00177C36">
            <w:pPr>
              <w:spacing w:before="10" w:after="10"/>
            </w:pPr>
            <w:r>
              <w:rPr>
                <w:rFonts w:ascii="Calibri" w:hAnsi="Calibri"/>
                <w:sz w:val="19"/>
              </w:rPr>
              <w:t xml:space="preserve">Change &amp; </w:t>
            </w:r>
            <w:r>
              <w:rPr>
                <w:rFonts w:ascii="Calibri" w:hAnsi="Calibri"/>
                <w:sz w:val="19"/>
              </w:rPr>
              <w:t>adoption (D3–D7)</w:t>
            </w:r>
          </w:p>
        </w:tc>
      </w:tr>
      <w:tr w:rsidR="00910D7A" w:rsidTr="00D23FAC">
        <w:tc>
          <w:tcPr>
            <w:tcW w:w="0" w:type="auto"/>
          </w:tcPr>
          <w:p w:rsidR="00910D7A" w:rsidRDefault="00177C36">
            <w:pPr>
              <w:spacing w:before="10" w:after="10"/>
            </w:pPr>
            <w:r>
              <w:rPr>
                <w:rFonts w:ascii="Calibri" w:hAnsi="Calibri"/>
                <w:sz w:val="19"/>
              </w:rPr>
              <w:t>Vendor / supply</w:t>
            </w:r>
          </w:p>
        </w:tc>
        <w:tc>
          <w:tcPr>
            <w:tcW w:w="0" w:type="auto"/>
          </w:tcPr>
          <w:p w:rsidR="00910D7A" w:rsidRDefault="00177C36">
            <w:pPr>
              <w:spacing w:before="10" w:after="10"/>
            </w:pPr>
            <w:r>
              <w:rPr>
                <w:rFonts w:ascii="Calibri" w:hAnsi="Calibri"/>
                <w:sz w:val="19"/>
              </w:rPr>
              <w:t>Vendor slip — platform delivery or support delays the critical path</w:t>
            </w:r>
          </w:p>
        </w:tc>
        <w:tc>
          <w:tcPr>
            <w:tcW w:w="0" w:type="auto"/>
          </w:tcPr>
          <w:p w:rsidR="00910D7A" w:rsidRDefault="00177C36">
            <w:pPr>
              <w:spacing w:before="10" w:after="10"/>
            </w:pPr>
            <w:r>
              <w:rPr>
                <w:rFonts w:ascii="Calibri" w:hAnsi="Calibri"/>
                <w:sz w:val="19"/>
              </w:rPr>
              <w:t>Vendor &amp; platform (D2, DEC-07)</w:t>
            </w:r>
          </w:p>
        </w:tc>
      </w:tr>
      <w:tr w:rsidR="00910D7A" w:rsidTr="00D23FAC">
        <w:tc>
          <w:tcPr>
            <w:tcW w:w="0" w:type="auto"/>
            <w:shd w:val="clear" w:color="auto" w:fill="F4F7FA"/>
          </w:tcPr>
          <w:p w:rsidR="00910D7A" w:rsidRDefault="00177C36">
            <w:pPr>
              <w:spacing w:before="10" w:after="10"/>
            </w:pPr>
            <w:r>
              <w:rPr>
                <w:rFonts w:ascii="Calibri" w:hAnsi="Calibri"/>
                <w:sz w:val="19"/>
              </w:rPr>
              <w:t>Integration</w:t>
            </w:r>
          </w:p>
        </w:tc>
        <w:tc>
          <w:tcPr>
            <w:tcW w:w="0" w:type="auto"/>
            <w:shd w:val="clear" w:color="auto" w:fill="F4F7FA"/>
          </w:tcPr>
          <w:p w:rsidR="00910D7A" w:rsidRDefault="00177C36">
            <w:pPr>
              <w:spacing w:before="10" w:after="10"/>
            </w:pPr>
            <w:r>
              <w:rPr>
                <w:rFonts w:ascii="Calibri" w:hAnsi="Calibri"/>
                <w:sz w:val="19"/>
              </w:rPr>
              <w:t>Integration failure — APIs, data or systems do not connect as assumed</w:t>
            </w:r>
          </w:p>
        </w:tc>
        <w:tc>
          <w:tcPr>
            <w:tcW w:w="0" w:type="auto"/>
            <w:shd w:val="clear" w:color="auto" w:fill="F4F7FA"/>
          </w:tcPr>
          <w:p w:rsidR="00910D7A" w:rsidRDefault="00177C36">
            <w:pPr>
              <w:spacing w:before="10" w:after="10"/>
            </w:pPr>
            <w:r>
              <w:rPr>
                <w:rFonts w:ascii="Calibri" w:hAnsi="Calibri"/>
                <w:sz w:val="19"/>
              </w:rPr>
              <w:t>Enterprise foundation (D2, DEC-10)</w:t>
            </w:r>
          </w:p>
        </w:tc>
      </w:tr>
      <w:tr w:rsidR="00910D7A" w:rsidTr="00D23FAC">
        <w:tc>
          <w:tcPr>
            <w:tcW w:w="0" w:type="auto"/>
          </w:tcPr>
          <w:p w:rsidR="00910D7A" w:rsidRDefault="00177C36">
            <w:pPr>
              <w:spacing w:before="10" w:after="10"/>
            </w:pPr>
            <w:r>
              <w:rPr>
                <w:rFonts w:ascii="Calibri" w:hAnsi="Calibri"/>
                <w:sz w:val="19"/>
              </w:rPr>
              <w:t>Regu</w:t>
            </w:r>
            <w:r>
              <w:rPr>
                <w:rFonts w:ascii="Calibri" w:hAnsi="Calibri"/>
                <w:sz w:val="19"/>
              </w:rPr>
              <w:t>latory</w:t>
            </w:r>
          </w:p>
        </w:tc>
        <w:tc>
          <w:tcPr>
            <w:tcW w:w="0" w:type="auto"/>
          </w:tcPr>
          <w:p w:rsidR="00910D7A" w:rsidRDefault="00177C36">
            <w:pPr>
              <w:spacing w:before="10" w:after="10"/>
            </w:pPr>
            <w:r>
              <w:rPr>
                <w:rFonts w:ascii="Calibri" w:hAnsi="Calibri"/>
                <w:sz w:val="19"/>
              </w:rPr>
              <w:t>Regulator concern — obligations unmet or evidence missing</w:t>
            </w:r>
          </w:p>
        </w:tc>
        <w:tc>
          <w:tcPr>
            <w:tcW w:w="0" w:type="auto"/>
          </w:tcPr>
          <w:p w:rsidR="00910D7A" w:rsidRDefault="00177C36">
            <w:pPr>
              <w:spacing w:before="10" w:after="10"/>
            </w:pPr>
            <w:r>
              <w:rPr>
                <w:rFonts w:ascii="Calibri" w:hAnsi="Calibri"/>
                <w:sz w:val="19"/>
              </w:rPr>
              <w:t>Regulatory applicability (DEC-09)</w:t>
            </w:r>
          </w:p>
        </w:tc>
      </w:tr>
      <w:tr w:rsidR="00910D7A" w:rsidTr="00D23FAC">
        <w:tc>
          <w:tcPr>
            <w:tcW w:w="0" w:type="auto"/>
            <w:shd w:val="clear" w:color="auto" w:fill="F4F7FA"/>
          </w:tcPr>
          <w:p w:rsidR="00910D7A" w:rsidRDefault="00177C36">
            <w:pPr>
              <w:spacing w:before="10" w:after="10"/>
            </w:pPr>
            <w:r>
              <w:rPr>
                <w:rFonts w:ascii="Calibri" w:hAnsi="Calibri"/>
                <w:sz w:val="19"/>
              </w:rPr>
              <w:t>Model / AI control</w:t>
            </w:r>
          </w:p>
        </w:tc>
        <w:tc>
          <w:tcPr>
            <w:tcW w:w="0" w:type="auto"/>
            <w:shd w:val="clear" w:color="auto" w:fill="F4F7FA"/>
          </w:tcPr>
          <w:p w:rsidR="00910D7A" w:rsidRDefault="00177C36">
            <w:pPr>
              <w:spacing w:before="10" w:after="10"/>
            </w:pPr>
            <w:r>
              <w:rPr>
                <w:rFonts w:ascii="Calibri" w:hAnsi="Calibri"/>
                <w:sz w:val="19"/>
              </w:rPr>
              <w:t>Model error, bias or over-reliance on AI output without human authority</w:t>
            </w:r>
          </w:p>
        </w:tc>
        <w:tc>
          <w:tcPr>
            <w:tcW w:w="0" w:type="auto"/>
            <w:shd w:val="clear" w:color="auto" w:fill="F4F7FA"/>
          </w:tcPr>
          <w:p w:rsidR="00910D7A" w:rsidRDefault="00177C36">
            <w:pPr>
              <w:spacing w:before="10" w:after="10"/>
            </w:pPr>
            <w:r>
              <w:rPr>
                <w:rFonts w:ascii="Calibri" w:hAnsi="Calibri"/>
                <w:sz w:val="19"/>
              </w:rPr>
              <w:t>Responsible-AI &amp; model risk (D2–D6)</w:t>
            </w:r>
          </w:p>
        </w:tc>
      </w:tr>
      <w:tr w:rsidR="00910D7A" w:rsidTr="00D23FAC">
        <w:tc>
          <w:tcPr>
            <w:tcW w:w="0" w:type="auto"/>
          </w:tcPr>
          <w:p w:rsidR="00910D7A" w:rsidRDefault="00177C36">
            <w:pPr>
              <w:spacing w:before="10" w:after="10"/>
            </w:pPr>
            <w:r>
              <w:rPr>
                <w:rFonts w:ascii="Calibri" w:hAnsi="Calibri"/>
                <w:sz w:val="19"/>
              </w:rPr>
              <w:t>Data</w:t>
            </w:r>
          </w:p>
        </w:tc>
        <w:tc>
          <w:tcPr>
            <w:tcW w:w="0" w:type="auto"/>
          </w:tcPr>
          <w:p w:rsidR="00910D7A" w:rsidRDefault="00177C36">
            <w:pPr>
              <w:spacing w:before="10" w:after="10"/>
            </w:pPr>
            <w:r>
              <w:rPr>
                <w:rFonts w:ascii="Calibri" w:hAnsi="Calibri"/>
                <w:sz w:val="19"/>
              </w:rPr>
              <w:t xml:space="preserve">Data quality, </w:t>
            </w:r>
            <w:r>
              <w:rPr>
                <w:rFonts w:ascii="Calibri" w:hAnsi="Calibri"/>
                <w:sz w:val="19"/>
              </w:rPr>
              <w:t>classification or lawful-use gap blocks a pilot</w:t>
            </w:r>
          </w:p>
        </w:tc>
        <w:tc>
          <w:tcPr>
            <w:tcW w:w="0" w:type="auto"/>
          </w:tcPr>
          <w:p w:rsidR="00910D7A" w:rsidRDefault="00177C36">
            <w:pPr>
              <w:spacing w:before="10" w:after="10"/>
            </w:pPr>
            <w:r>
              <w:rPr>
                <w:rFonts w:ascii="Calibri" w:hAnsi="Calibri"/>
                <w:sz w:val="19"/>
              </w:rPr>
              <w:t>Data foundation (D2, DEC-10)</w:t>
            </w:r>
          </w:p>
        </w:tc>
      </w:tr>
      <w:tr w:rsidR="00910D7A" w:rsidTr="00D23FAC">
        <w:tc>
          <w:tcPr>
            <w:tcW w:w="0" w:type="auto"/>
            <w:shd w:val="clear" w:color="auto" w:fill="F4F7FA"/>
          </w:tcPr>
          <w:p w:rsidR="00910D7A" w:rsidRDefault="00177C36">
            <w:pPr>
              <w:spacing w:before="10" w:after="10"/>
            </w:pPr>
            <w:r>
              <w:rPr>
                <w:rFonts w:ascii="Calibri" w:hAnsi="Calibri"/>
                <w:sz w:val="19"/>
              </w:rPr>
              <w:t>Security / privacy</w:t>
            </w:r>
          </w:p>
        </w:tc>
        <w:tc>
          <w:tcPr>
            <w:tcW w:w="0" w:type="auto"/>
            <w:shd w:val="clear" w:color="auto" w:fill="F4F7FA"/>
          </w:tcPr>
          <w:p w:rsidR="00910D7A" w:rsidRDefault="00177C36">
            <w:pPr>
              <w:spacing w:before="10" w:after="10"/>
            </w:pPr>
            <w:r>
              <w:rPr>
                <w:rFonts w:ascii="Calibri" w:hAnsi="Calibri"/>
                <w:sz w:val="19"/>
              </w:rPr>
              <w:t>Privacy or security incident involving customer data</w:t>
            </w:r>
          </w:p>
        </w:tc>
        <w:tc>
          <w:tcPr>
            <w:tcW w:w="0" w:type="auto"/>
            <w:shd w:val="clear" w:color="auto" w:fill="F4F7FA"/>
          </w:tcPr>
          <w:p w:rsidR="00910D7A" w:rsidRDefault="00177C36">
            <w:pPr>
              <w:spacing w:before="10" w:after="10"/>
            </w:pPr>
            <w:r>
              <w:rPr>
                <w:rFonts w:ascii="Calibri" w:hAnsi="Calibri"/>
                <w:sz w:val="19"/>
              </w:rPr>
              <w:t>Security &amp; privacy controls (D2–D6)</w:t>
            </w:r>
          </w:p>
        </w:tc>
      </w:tr>
    </w:tbl>
    <w:p w:rsidR="00910D7A" w:rsidRDefault="00177C36">
      <w:pPr>
        <w:spacing w:before="160" w:after="0"/>
      </w:pPr>
      <w:r>
        <w:rPr>
          <w:rFonts w:ascii="Calibri" w:hAnsi="Calibri"/>
          <w:b/>
          <w:color w:val="0F2A4A"/>
          <w:sz w:val="26"/>
        </w:rPr>
        <w:t>Section 3 — Qualitative Risk Assessment</w:t>
      </w:r>
    </w:p>
    <w:p w:rsidR="00910D7A" w:rsidRDefault="00177C36">
      <w:pPr>
        <w:spacing w:before="60" w:after="40"/>
      </w:pPr>
      <w:r>
        <w:rPr>
          <w:rFonts w:ascii="Calibri" w:hAnsi="Calibri"/>
          <w:color w:val="555555"/>
        </w:rPr>
        <w:t>Risks are scored by probabili</w:t>
      </w:r>
      <w:r>
        <w:rPr>
          <w:rFonts w:ascii="Calibri" w:hAnsi="Calibri"/>
          <w:color w:val="555555"/>
        </w:rPr>
        <w:t>ty × impact, then ranked. The top five receive real attention with owners and triggers; the remainder receive review dates. Severity bands give an indicative financial view of impact.</w:t>
      </w:r>
    </w:p>
    <w:tbl>
      <w:tblPr>
        <w:tblStyle w:val="TableGrid"/>
        <w:tblW w:w="0" w:type="auto"/>
        <w:tblLook w:val="04A0" w:firstRow="1" w:lastRow="0" w:firstColumn="1" w:lastColumn="0" w:noHBand="0" w:noVBand="1"/>
      </w:tblPr>
      <w:tblGrid>
        <w:gridCol w:w="1094"/>
        <w:gridCol w:w="1574"/>
        <w:gridCol w:w="2052"/>
      </w:tblGrid>
      <w:tr w:rsidR="00910D7A" w:rsidTr="00D23FAC">
        <w:tc>
          <w:tcPr>
            <w:tcW w:w="0" w:type="auto"/>
            <w:shd w:val="clear" w:color="auto" w:fill="0F2A4A"/>
          </w:tcPr>
          <w:p w:rsidR="00910D7A" w:rsidRDefault="00177C36">
            <w:pPr>
              <w:spacing w:before="10" w:after="10"/>
            </w:pPr>
            <w:r>
              <w:rPr>
                <w:rFonts w:ascii="Calibri" w:hAnsi="Calibri"/>
                <w:b/>
                <w:color w:val="FFFFFF"/>
                <w:sz w:val="19"/>
              </w:rPr>
              <w:t>Score band</w:t>
            </w:r>
          </w:p>
        </w:tc>
        <w:tc>
          <w:tcPr>
            <w:tcW w:w="0" w:type="auto"/>
            <w:shd w:val="clear" w:color="auto" w:fill="0F2A4A"/>
          </w:tcPr>
          <w:p w:rsidR="00910D7A" w:rsidRDefault="00177C36">
            <w:pPr>
              <w:spacing w:before="10" w:after="10"/>
            </w:pPr>
            <w:r>
              <w:rPr>
                <w:rFonts w:ascii="Calibri" w:hAnsi="Calibri"/>
                <w:b/>
                <w:color w:val="FFFFFF"/>
                <w:sz w:val="19"/>
              </w:rPr>
              <w:t>Indicative impact</w:t>
            </w:r>
          </w:p>
        </w:tc>
        <w:tc>
          <w:tcPr>
            <w:tcW w:w="0" w:type="auto"/>
            <w:shd w:val="clear" w:color="auto" w:fill="0F2A4A"/>
          </w:tcPr>
          <w:p w:rsidR="00910D7A" w:rsidRDefault="00177C36">
            <w:pPr>
              <w:spacing w:before="10" w:after="10"/>
            </w:pPr>
            <w:r>
              <w:rPr>
                <w:rFonts w:ascii="Calibri" w:hAnsi="Calibri"/>
                <w:b/>
                <w:color w:val="FFFFFF"/>
                <w:sz w:val="19"/>
              </w:rPr>
              <w:t>Attention</w:t>
            </w:r>
          </w:p>
        </w:tc>
      </w:tr>
      <w:tr w:rsidR="00910D7A" w:rsidTr="00D23FAC">
        <w:tc>
          <w:tcPr>
            <w:tcW w:w="0" w:type="auto"/>
          </w:tcPr>
          <w:p w:rsidR="00910D7A" w:rsidRDefault="00177C36">
            <w:pPr>
              <w:spacing w:before="10" w:after="10"/>
            </w:pPr>
            <w:r>
              <w:rPr>
                <w:rFonts w:ascii="Calibri" w:hAnsi="Calibri"/>
                <w:sz w:val="19"/>
              </w:rPr>
              <w:t>1–5</w:t>
            </w:r>
          </w:p>
        </w:tc>
        <w:tc>
          <w:tcPr>
            <w:tcW w:w="0" w:type="auto"/>
          </w:tcPr>
          <w:p w:rsidR="00910D7A" w:rsidRDefault="00177C36">
            <w:pPr>
              <w:spacing w:before="10" w:after="10"/>
            </w:pPr>
            <w:r>
              <w:rPr>
                <w:rFonts w:ascii="Calibri" w:hAnsi="Calibri"/>
                <w:sz w:val="19"/>
              </w:rPr>
              <w:t>USD 500</w:t>
            </w:r>
          </w:p>
        </w:tc>
        <w:tc>
          <w:tcPr>
            <w:tcW w:w="0" w:type="auto"/>
          </w:tcPr>
          <w:p w:rsidR="00910D7A" w:rsidRDefault="00177C36">
            <w:pPr>
              <w:spacing w:before="10" w:after="10"/>
            </w:pPr>
            <w:r>
              <w:rPr>
                <w:rFonts w:ascii="Calibri" w:hAnsi="Calibri"/>
                <w:sz w:val="19"/>
              </w:rPr>
              <w:t>Review date</w:t>
            </w:r>
          </w:p>
        </w:tc>
      </w:tr>
      <w:tr w:rsidR="00910D7A" w:rsidTr="00D23FAC">
        <w:tc>
          <w:tcPr>
            <w:tcW w:w="0" w:type="auto"/>
            <w:shd w:val="clear" w:color="auto" w:fill="F4F7FA"/>
          </w:tcPr>
          <w:p w:rsidR="00910D7A" w:rsidRDefault="00177C36">
            <w:pPr>
              <w:spacing w:before="10" w:after="10"/>
            </w:pPr>
            <w:r>
              <w:rPr>
                <w:rFonts w:ascii="Calibri" w:hAnsi="Calibri"/>
                <w:sz w:val="19"/>
              </w:rPr>
              <w:t>6–10</w:t>
            </w:r>
          </w:p>
        </w:tc>
        <w:tc>
          <w:tcPr>
            <w:tcW w:w="0" w:type="auto"/>
            <w:shd w:val="clear" w:color="auto" w:fill="F4F7FA"/>
          </w:tcPr>
          <w:p w:rsidR="00910D7A" w:rsidRDefault="00177C36">
            <w:pPr>
              <w:spacing w:before="10" w:after="10"/>
            </w:pPr>
            <w:r>
              <w:rPr>
                <w:rFonts w:ascii="Calibri" w:hAnsi="Calibri"/>
                <w:sz w:val="19"/>
              </w:rPr>
              <w:t>USD 1,000</w:t>
            </w:r>
          </w:p>
        </w:tc>
        <w:tc>
          <w:tcPr>
            <w:tcW w:w="0" w:type="auto"/>
            <w:shd w:val="clear" w:color="auto" w:fill="F4F7FA"/>
          </w:tcPr>
          <w:p w:rsidR="00910D7A" w:rsidRDefault="00177C36">
            <w:pPr>
              <w:spacing w:before="10" w:after="10"/>
            </w:pPr>
            <w:r>
              <w:rPr>
                <w:rFonts w:ascii="Calibri" w:hAnsi="Calibri"/>
                <w:sz w:val="19"/>
              </w:rPr>
              <w:t>Review date</w:t>
            </w:r>
          </w:p>
        </w:tc>
      </w:tr>
      <w:tr w:rsidR="00910D7A" w:rsidTr="00D23FAC">
        <w:tc>
          <w:tcPr>
            <w:tcW w:w="0" w:type="auto"/>
          </w:tcPr>
          <w:p w:rsidR="00910D7A" w:rsidRDefault="00177C36">
            <w:pPr>
              <w:spacing w:before="10" w:after="10"/>
            </w:pPr>
            <w:r>
              <w:rPr>
                <w:rFonts w:ascii="Calibri" w:hAnsi="Calibri"/>
                <w:sz w:val="19"/>
              </w:rPr>
              <w:t>11–15</w:t>
            </w:r>
          </w:p>
        </w:tc>
        <w:tc>
          <w:tcPr>
            <w:tcW w:w="0" w:type="auto"/>
          </w:tcPr>
          <w:p w:rsidR="00910D7A" w:rsidRDefault="00177C36">
            <w:pPr>
              <w:spacing w:before="10" w:after="10"/>
            </w:pPr>
            <w:r>
              <w:rPr>
                <w:rFonts w:ascii="Calibri" w:hAnsi="Calibri"/>
                <w:sz w:val="19"/>
              </w:rPr>
              <w:t>USD 1,500</w:t>
            </w:r>
          </w:p>
        </w:tc>
        <w:tc>
          <w:tcPr>
            <w:tcW w:w="0" w:type="auto"/>
          </w:tcPr>
          <w:p w:rsidR="00910D7A" w:rsidRDefault="00177C36">
            <w:pPr>
              <w:spacing w:before="10" w:after="10"/>
            </w:pPr>
            <w:r>
              <w:rPr>
                <w:rFonts w:ascii="Calibri" w:hAnsi="Calibri"/>
                <w:sz w:val="19"/>
              </w:rPr>
              <w:t>Real attention</w:t>
            </w:r>
          </w:p>
        </w:tc>
      </w:tr>
      <w:tr w:rsidR="00910D7A" w:rsidTr="00D23FAC">
        <w:tc>
          <w:tcPr>
            <w:tcW w:w="0" w:type="auto"/>
            <w:shd w:val="clear" w:color="auto" w:fill="F3E8C8"/>
          </w:tcPr>
          <w:p w:rsidR="00910D7A" w:rsidRDefault="00177C36">
            <w:pPr>
              <w:spacing w:before="10" w:after="10"/>
            </w:pPr>
            <w:r>
              <w:rPr>
                <w:rFonts w:ascii="Calibri" w:hAnsi="Calibri"/>
                <w:sz w:val="19"/>
              </w:rPr>
              <w:t>16–20</w:t>
            </w:r>
          </w:p>
        </w:tc>
        <w:tc>
          <w:tcPr>
            <w:tcW w:w="0" w:type="auto"/>
            <w:shd w:val="clear" w:color="auto" w:fill="F3E8C8"/>
          </w:tcPr>
          <w:p w:rsidR="00910D7A" w:rsidRDefault="00177C36">
            <w:pPr>
              <w:spacing w:before="10" w:after="10"/>
            </w:pPr>
            <w:r>
              <w:rPr>
                <w:rFonts w:ascii="Calibri" w:hAnsi="Calibri"/>
                <w:sz w:val="19"/>
              </w:rPr>
              <w:t>USD 5,000</w:t>
            </w:r>
          </w:p>
        </w:tc>
        <w:tc>
          <w:tcPr>
            <w:tcW w:w="0" w:type="auto"/>
            <w:shd w:val="clear" w:color="auto" w:fill="F3E8C8"/>
          </w:tcPr>
          <w:p w:rsidR="00910D7A" w:rsidRDefault="00177C36">
            <w:pPr>
              <w:spacing w:before="10" w:after="10"/>
            </w:pPr>
            <w:r>
              <w:rPr>
                <w:rFonts w:ascii="Calibri" w:hAnsi="Calibri"/>
                <w:sz w:val="19"/>
              </w:rPr>
              <w:t>Top five / real attention</w:t>
            </w:r>
          </w:p>
        </w:tc>
      </w:tr>
    </w:tbl>
    <w:p w:rsidR="00910D7A" w:rsidRDefault="00177C36">
      <w:pPr>
        <w:spacing w:before="160" w:after="0"/>
      </w:pPr>
      <w:r>
        <w:rPr>
          <w:rFonts w:ascii="Calibri" w:hAnsi="Calibri"/>
          <w:b/>
          <w:color w:val="0F2A4A"/>
          <w:sz w:val="26"/>
        </w:rPr>
        <w:lastRenderedPageBreak/>
        <w:t>Section 4 — Risk Response Planning</w:t>
      </w:r>
    </w:p>
    <w:p w:rsidR="00910D7A" w:rsidRDefault="00177C36">
      <w:pPr>
        <w:spacing w:before="60" w:after="40"/>
      </w:pPr>
      <w:r>
        <w:rPr>
          <w:rFonts w:ascii="Calibri" w:hAnsi="Calibri"/>
          <w:color w:val="555555"/>
        </w:rPr>
        <w:t>Every top risk receives a response strategy (avoid, mitigate, transfer, accept) and a named owner with a trigger. Responses</w:t>
      </w:r>
      <w:r>
        <w:rPr>
          <w:rFonts w:ascii="Calibri" w:hAnsi="Calibri"/>
          <w:color w:val="555555"/>
        </w:rPr>
        <w:t xml:space="preserve"> align with the resource plan’s gap responses and the schedule’s riskiest dependencies.</w:t>
      </w:r>
    </w:p>
    <w:tbl>
      <w:tblPr>
        <w:tblStyle w:val="TableGrid"/>
        <w:tblW w:w="0" w:type="auto"/>
        <w:tblLook w:val="04A0" w:firstRow="1" w:lastRow="0" w:firstColumn="1" w:lastColumn="0" w:noHBand="0" w:noVBand="1"/>
      </w:tblPr>
      <w:tblGrid>
        <w:gridCol w:w="2350"/>
        <w:gridCol w:w="5696"/>
        <w:gridCol w:w="1925"/>
        <w:gridCol w:w="3322"/>
      </w:tblGrid>
      <w:tr w:rsidR="00910D7A" w:rsidTr="00D23FAC">
        <w:tc>
          <w:tcPr>
            <w:tcW w:w="0" w:type="auto"/>
            <w:shd w:val="clear" w:color="auto" w:fill="0F2A4A"/>
          </w:tcPr>
          <w:p w:rsidR="00910D7A" w:rsidRDefault="00177C36">
            <w:pPr>
              <w:spacing w:before="10" w:after="10"/>
            </w:pPr>
            <w:r>
              <w:rPr>
                <w:rFonts w:ascii="Calibri" w:hAnsi="Calibri"/>
                <w:b/>
                <w:color w:val="FFFFFF"/>
                <w:sz w:val="19"/>
              </w:rPr>
              <w:t>Risk</w:t>
            </w:r>
          </w:p>
        </w:tc>
        <w:tc>
          <w:tcPr>
            <w:tcW w:w="0" w:type="auto"/>
            <w:shd w:val="clear" w:color="auto" w:fill="0F2A4A"/>
          </w:tcPr>
          <w:p w:rsidR="00910D7A" w:rsidRDefault="00177C36">
            <w:pPr>
              <w:spacing w:before="10" w:after="10"/>
            </w:pPr>
            <w:r>
              <w:rPr>
                <w:rFonts w:ascii="Calibri" w:hAnsi="Calibri"/>
                <w:b/>
                <w:color w:val="FFFFFF"/>
                <w:sz w:val="19"/>
              </w:rPr>
              <w:t>Response</w:t>
            </w:r>
          </w:p>
        </w:tc>
        <w:tc>
          <w:tcPr>
            <w:tcW w:w="0" w:type="auto"/>
            <w:shd w:val="clear" w:color="auto" w:fill="0F2A4A"/>
          </w:tcPr>
          <w:p w:rsidR="00910D7A" w:rsidRDefault="00177C36">
            <w:pPr>
              <w:spacing w:before="10" w:after="10"/>
            </w:pPr>
            <w:r>
              <w:rPr>
                <w:rFonts w:ascii="Calibri" w:hAnsi="Calibri"/>
                <w:b/>
                <w:color w:val="FFFFFF"/>
                <w:sz w:val="19"/>
              </w:rPr>
              <w:t>Owner</w:t>
            </w:r>
          </w:p>
        </w:tc>
        <w:tc>
          <w:tcPr>
            <w:tcW w:w="0" w:type="auto"/>
            <w:shd w:val="clear" w:color="auto" w:fill="0F2A4A"/>
          </w:tcPr>
          <w:p w:rsidR="00910D7A" w:rsidRDefault="00177C36">
            <w:pPr>
              <w:spacing w:before="10" w:after="10"/>
            </w:pPr>
            <w:r>
              <w:rPr>
                <w:rFonts w:ascii="Calibri" w:hAnsi="Calibri"/>
                <w:b/>
                <w:color w:val="FFFFFF"/>
                <w:sz w:val="19"/>
              </w:rPr>
              <w:t>Trigger</w:t>
            </w:r>
          </w:p>
        </w:tc>
      </w:tr>
      <w:tr w:rsidR="00910D7A" w:rsidTr="00D23FAC">
        <w:tc>
          <w:tcPr>
            <w:tcW w:w="0" w:type="auto"/>
          </w:tcPr>
          <w:p w:rsidR="00910D7A" w:rsidRDefault="00177C36">
            <w:pPr>
              <w:spacing w:before="10" w:after="10"/>
            </w:pPr>
            <w:r>
              <w:rPr>
                <w:rFonts w:ascii="Calibri" w:hAnsi="Calibri"/>
                <w:sz w:val="19"/>
              </w:rPr>
              <w:t>Hallucination to a customer</w:t>
            </w:r>
          </w:p>
        </w:tc>
        <w:tc>
          <w:tcPr>
            <w:tcW w:w="0" w:type="auto"/>
          </w:tcPr>
          <w:p w:rsidR="00910D7A" w:rsidRDefault="00177C36">
            <w:pPr>
              <w:spacing w:before="10" w:after="10"/>
            </w:pPr>
            <w:r>
              <w:rPr>
                <w:rFonts w:ascii="Calibri" w:hAnsi="Calibri"/>
                <w:sz w:val="19"/>
              </w:rPr>
              <w:t>Mitigate — approved retrieval, confidence thresholds, human handoff</w:t>
            </w:r>
          </w:p>
        </w:tc>
        <w:tc>
          <w:tcPr>
            <w:tcW w:w="0" w:type="auto"/>
          </w:tcPr>
          <w:p w:rsidR="00910D7A" w:rsidRDefault="00177C36">
            <w:pPr>
              <w:spacing w:before="10" w:after="10"/>
            </w:pPr>
            <w:r>
              <w:rPr>
                <w:rFonts w:ascii="Calibri" w:hAnsi="Calibri"/>
                <w:sz w:val="19"/>
              </w:rPr>
              <w:t>Digital Product Owner</w:t>
            </w:r>
          </w:p>
        </w:tc>
        <w:tc>
          <w:tcPr>
            <w:tcW w:w="0" w:type="auto"/>
          </w:tcPr>
          <w:p w:rsidR="00910D7A" w:rsidRDefault="00177C36">
            <w:pPr>
              <w:spacing w:before="10" w:after="10"/>
            </w:pPr>
            <w:r>
              <w:rPr>
                <w:rFonts w:ascii="Calibri" w:hAnsi="Calibri"/>
                <w:sz w:val="19"/>
              </w:rPr>
              <w:t xml:space="preserve">First high-severity </w:t>
            </w:r>
            <w:r>
              <w:rPr>
                <w:rFonts w:ascii="Calibri" w:hAnsi="Calibri"/>
                <w:sz w:val="19"/>
              </w:rPr>
              <w:t>wrong answer in pilot</w:t>
            </w:r>
          </w:p>
        </w:tc>
      </w:tr>
      <w:tr w:rsidR="00910D7A" w:rsidTr="00D23FAC">
        <w:tc>
          <w:tcPr>
            <w:tcW w:w="0" w:type="auto"/>
            <w:shd w:val="clear" w:color="auto" w:fill="F4F7FA"/>
          </w:tcPr>
          <w:p w:rsidR="00910D7A" w:rsidRDefault="00177C36">
            <w:pPr>
              <w:spacing w:before="10" w:after="10"/>
            </w:pPr>
            <w:r>
              <w:rPr>
                <w:rFonts w:ascii="Calibri" w:hAnsi="Calibri"/>
                <w:sz w:val="19"/>
              </w:rPr>
              <w:t>Staff resistance</w:t>
            </w:r>
          </w:p>
        </w:tc>
        <w:tc>
          <w:tcPr>
            <w:tcW w:w="0" w:type="auto"/>
            <w:shd w:val="clear" w:color="auto" w:fill="F4F7FA"/>
          </w:tcPr>
          <w:p w:rsidR="00910D7A" w:rsidRDefault="00177C36">
            <w:pPr>
              <w:spacing w:before="10" w:after="10"/>
            </w:pPr>
            <w:r>
              <w:rPr>
                <w:rFonts w:ascii="Calibri" w:hAnsi="Calibri"/>
                <w:sz w:val="19"/>
              </w:rPr>
              <w:t>Mitigate — early communication, co-design, training, listening sessions</w:t>
            </w:r>
          </w:p>
        </w:tc>
        <w:tc>
          <w:tcPr>
            <w:tcW w:w="0" w:type="auto"/>
            <w:shd w:val="clear" w:color="auto" w:fill="F4F7FA"/>
          </w:tcPr>
          <w:p w:rsidR="00910D7A" w:rsidRDefault="00177C36">
            <w:pPr>
              <w:spacing w:before="10" w:after="10"/>
            </w:pPr>
            <w:r>
              <w:rPr>
                <w:rFonts w:ascii="Calibri" w:hAnsi="Calibri"/>
                <w:sz w:val="19"/>
              </w:rPr>
              <w:t>Change Lead / HR</w:t>
            </w:r>
          </w:p>
        </w:tc>
        <w:tc>
          <w:tcPr>
            <w:tcW w:w="0" w:type="auto"/>
            <w:shd w:val="clear" w:color="auto" w:fill="F4F7FA"/>
          </w:tcPr>
          <w:p w:rsidR="00910D7A" w:rsidRDefault="00177C36">
            <w:pPr>
              <w:spacing w:before="10" w:after="10"/>
            </w:pPr>
            <w:r>
              <w:rPr>
                <w:rFonts w:ascii="Calibri" w:hAnsi="Calibri"/>
                <w:sz w:val="19"/>
              </w:rPr>
              <w:t>Adoption below target or union concern</w:t>
            </w:r>
          </w:p>
        </w:tc>
      </w:tr>
      <w:tr w:rsidR="00910D7A" w:rsidTr="00D23FAC">
        <w:tc>
          <w:tcPr>
            <w:tcW w:w="0" w:type="auto"/>
          </w:tcPr>
          <w:p w:rsidR="00910D7A" w:rsidRDefault="00177C36">
            <w:pPr>
              <w:spacing w:before="10" w:after="10"/>
            </w:pPr>
            <w:r>
              <w:rPr>
                <w:rFonts w:ascii="Calibri" w:hAnsi="Calibri"/>
                <w:sz w:val="19"/>
              </w:rPr>
              <w:t>Vendor slip</w:t>
            </w:r>
          </w:p>
        </w:tc>
        <w:tc>
          <w:tcPr>
            <w:tcW w:w="0" w:type="auto"/>
          </w:tcPr>
          <w:p w:rsidR="00910D7A" w:rsidRDefault="00177C36">
            <w:pPr>
              <w:spacing w:before="10" w:after="10"/>
            </w:pPr>
            <w:r>
              <w:rPr>
                <w:rFonts w:ascii="Calibri" w:hAnsi="Calibri"/>
                <w:sz w:val="19"/>
              </w:rPr>
              <w:t>Transfer / mitigate — contract SLAs, early sourcing, exit rights</w:t>
            </w:r>
          </w:p>
        </w:tc>
        <w:tc>
          <w:tcPr>
            <w:tcW w:w="0" w:type="auto"/>
          </w:tcPr>
          <w:p w:rsidR="00910D7A" w:rsidRDefault="00177C36">
            <w:pPr>
              <w:spacing w:before="10" w:after="10"/>
            </w:pPr>
            <w:r>
              <w:rPr>
                <w:rFonts w:ascii="Calibri" w:hAnsi="Calibri"/>
                <w:sz w:val="19"/>
              </w:rPr>
              <w:t>Procurement Lead</w:t>
            </w:r>
          </w:p>
        </w:tc>
        <w:tc>
          <w:tcPr>
            <w:tcW w:w="0" w:type="auto"/>
          </w:tcPr>
          <w:p w:rsidR="00910D7A" w:rsidRDefault="00177C36">
            <w:pPr>
              <w:spacing w:before="10" w:after="10"/>
            </w:pPr>
            <w:r>
              <w:rPr>
                <w:rFonts w:ascii="Calibri" w:hAnsi="Calibri"/>
                <w:sz w:val="19"/>
              </w:rPr>
              <w:t>Missed vendor milestone</w:t>
            </w:r>
          </w:p>
        </w:tc>
      </w:tr>
      <w:tr w:rsidR="00910D7A" w:rsidTr="00D23FAC">
        <w:tc>
          <w:tcPr>
            <w:tcW w:w="0" w:type="auto"/>
            <w:shd w:val="clear" w:color="auto" w:fill="F4F7FA"/>
          </w:tcPr>
          <w:p w:rsidR="00910D7A" w:rsidRDefault="00177C36">
            <w:pPr>
              <w:spacing w:before="10" w:after="10"/>
            </w:pPr>
            <w:r>
              <w:rPr>
                <w:rFonts w:ascii="Calibri" w:hAnsi="Calibri"/>
                <w:sz w:val="19"/>
              </w:rPr>
              <w:t>Integration failure</w:t>
            </w:r>
          </w:p>
        </w:tc>
        <w:tc>
          <w:tcPr>
            <w:tcW w:w="0" w:type="auto"/>
            <w:shd w:val="clear" w:color="auto" w:fill="F4F7FA"/>
          </w:tcPr>
          <w:p w:rsidR="00910D7A" w:rsidRDefault="00177C36">
            <w:pPr>
              <w:spacing w:before="10" w:after="10"/>
            </w:pPr>
            <w:r>
              <w:rPr>
                <w:rFonts w:ascii="Calibri" w:hAnsi="Calibri"/>
                <w:sz w:val="19"/>
              </w:rPr>
              <w:t>Mitigate — API-first design, data profiling, fallback procedures</w:t>
            </w:r>
          </w:p>
        </w:tc>
        <w:tc>
          <w:tcPr>
            <w:tcW w:w="0" w:type="auto"/>
            <w:shd w:val="clear" w:color="auto" w:fill="F4F7FA"/>
          </w:tcPr>
          <w:p w:rsidR="00910D7A" w:rsidRDefault="00177C36">
            <w:pPr>
              <w:spacing w:before="10" w:after="10"/>
            </w:pPr>
            <w:r>
              <w:rPr>
                <w:rFonts w:ascii="Calibri" w:hAnsi="Calibri"/>
                <w:sz w:val="19"/>
              </w:rPr>
              <w:t>CIO / Architecture</w:t>
            </w:r>
          </w:p>
        </w:tc>
        <w:tc>
          <w:tcPr>
            <w:tcW w:w="0" w:type="auto"/>
            <w:shd w:val="clear" w:color="auto" w:fill="F4F7FA"/>
          </w:tcPr>
          <w:p w:rsidR="00910D7A" w:rsidRDefault="00177C36">
            <w:pPr>
              <w:spacing w:before="10" w:after="10"/>
            </w:pPr>
            <w:r>
              <w:rPr>
                <w:rFonts w:ascii="Calibri" w:hAnsi="Calibri"/>
                <w:sz w:val="19"/>
              </w:rPr>
              <w:t>Interface test failure at foundation gate</w:t>
            </w:r>
          </w:p>
        </w:tc>
      </w:tr>
    </w:tbl>
    <w:p w:rsidR="00910D7A" w:rsidRDefault="00177C36">
      <w:pPr>
        <w:spacing w:before="160" w:after="0"/>
      </w:pPr>
      <w:r>
        <w:rPr>
          <w:rFonts w:ascii="Calibri" w:hAnsi="Calibri"/>
          <w:b/>
          <w:color w:val="0F2A4A"/>
          <w:sz w:val="26"/>
        </w:rPr>
        <w:t>Section 5 — Review &amp; Reporting</w:t>
      </w:r>
      <w:bookmarkStart w:id="0" w:name="_GoBack"/>
      <w:bookmarkEnd w:id="0"/>
    </w:p>
    <w:p w:rsidR="00910D7A" w:rsidRDefault="00177C36">
      <w:pPr>
        <w:spacing w:before="60" w:after="40"/>
      </w:pPr>
      <w:r>
        <w:rPr>
          <w:rFonts w:ascii="Calibri" w:hAnsi="Calibri"/>
          <w:color w:val="555555"/>
        </w:rPr>
        <w:t xml:space="preserve">A risk plan nobody reopens is </w:t>
      </w:r>
      <w:r>
        <w:rPr>
          <w:rFonts w:ascii="Calibri" w:hAnsi="Calibri"/>
          <w:color w:val="555555"/>
        </w:rPr>
        <w:t>decoration. Risks are reviewed at every phase gate and in the monthly status report, tied to the critical path and the decision register. The register updates in the status report, not in isolation.</w:t>
      </w:r>
    </w:p>
    <w:p w:rsidR="00910D7A" w:rsidRDefault="00177C36">
      <w:pPr>
        <w:spacing w:after="40"/>
      </w:pPr>
      <w:r>
        <w:rPr>
          <w:rFonts w:ascii="Calibri" w:hAnsi="Calibri"/>
          <w:sz w:val="21"/>
        </w:rPr>
        <w:t>Control rule: a risk is closed only when its trigger is r</w:t>
      </w:r>
      <w:r>
        <w:rPr>
          <w:rFonts w:ascii="Calibri" w:hAnsi="Calibri"/>
          <w:sz w:val="21"/>
        </w:rPr>
        <w:t>esolved with evidence and the accountable owner records the decision. No risk is downgraded without a Sponsor decision where acceptance is required.</w:t>
      </w:r>
    </w:p>
    <w:p w:rsidR="00910D7A" w:rsidRDefault="00177C36">
      <w:pPr>
        <w:spacing w:before="160" w:after="0"/>
      </w:pPr>
      <w:r>
        <w:rPr>
          <w:rFonts w:ascii="Calibri" w:hAnsi="Calibri"/>
          <w:b/>
          <w:color w:val="0F2A4A"/>
          <w:sz w:val="26"/>
        </w:rPr>
        <w:t>Section 6 — Validation, Control &amp; Baseline</w:t>
      </w:r>
    </w:p>
    <w:p w:rsidR="00910D7A" w:rsidRDefault="00177C36">
      <w:pPr>
        <w:spacing w:before="60" w:after="40"/>
      </w:pPr>
      <w:r>
        <w:rPr>
          <w:rFonts w:ascii="Calibri" w:hAnsi="Calibri"/>
          <w:color w:val="555555"/>
        </w:rPr>
        <w:t>Definition of a valid risk baseline: process-led (identify, asse</w:t>
      </w:r>
      <w:r>
        <w:rPr>
          <w:rFonts w:ascii="Calibri" w:hAnsi="Calibri"/>
          <w:color w:val="555555"/>
        </w:rPr>
        <w:t>ss, respond, review are defined and owned) · qualitative (probability × impact ranks the top five for real attention) · controlled (owners and triggers are named; acceptance routes to the Sponsor through PTB-DEC-001).</w:t>
      </w:r>
    </w:p>
    <w:sectPr w:rsidR="00910D7A" w:rsidSect="00034616">
      <w:headerReference w:type="default" r:id="rId8"/>
      <w:footerReference w:type="default" r:id="rId9"/>
      <w:pgSz w:w="16838" w:h="11906"/>
      <w:pgMar w:top="720" w:right="720" w:bottom="720" w:left="72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7C36" w:rsidRDefault="00177C36">
      <w:pPr>
        <w:spacing w:after="0" w:line="240" w:lineRule="auto"/>
      </w:pPr>
      <w:r>
        <w:separator/>
      </w:r>
    </w:p>
  </w:endnote>
  <w:endnote w:type="continuationSeparator" w:id="0">
    <w:p w:rsidR="00177C36" w:rsidRDefault="00177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D7A" w:rsidRDefault="00177C36">
    <w:pPr>
      <w:pStyle w:val="Footer"/>
    </w:pPr>
    <w:r>
      <w:rPr>
        <w:rFonts w:ascii="Calibri" w:hAnsi="Calibri"/>
        <w:color w:val="808A9B"/>
        <w:sz w:val="17"/>
      </w:rPr>
      <w:t xml:space="preserve">PTB-RISK-001  ·  </w:t>
    </w:r>
    <w:r>
      <w:rPr>
        <w:rFonts w:ascii="Calibri" w:hAnsi="Calibri"/>
        <w:color w:val="808A9B"/>
        <w:sz w:val="17"/>
      </w:rPr>
      <w:t xml:space="preserve">Page </w:t>
    </w:r>
    <w:r>
      <w:fldChar w:fldCharType="begin"/>
    </w:r>
    <w:r>
      <w:instrText>PAGE</w:instrText>
    </w:r>
    <w:r>
      <w:fldChar w:fldCharType="separate"/>
    </w:r>
    <w:r w:rsidR="00D23FAC">
      <w:rPr>
        <w:noProof/>
      </w:rPr>
      <w:t>1</w:t>
    </w:r>
    <w:r>
      <w:rPr>
        <w:color w:val="808A9B"/>
        <w:sz w:val="17"/>
      </w:rPr>
      <w:fldChar w:fldCharType="end"/>
    </w:r>
    <w:r>
      <w:rPr>
        <w:rFonts w:ascii="Calibri" w:hAnsi="Calibri"/>
        <w:color w:val="808A9B"/>
        <w:sz w:val="17"/>
      </w:rPr>
      <w:t xml:space="preserve">  ·  Pole Trust Bank — Synthetic Classroom Case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7C36" w:rsidRDefault="00177C36">
      <w:pPr>
        <w:spacing w:after="0" w:line="240" w:lineRule="auto"/>
      </w:pPr>
      <w:r>
        <w:separator/>
      </w:r>
    </w:p>
  </w:footnote>
  <w:footnote w:type="continuationSeparator" w:id="0">
    <w:p w:rsidR="00177C36" w:rsidRDefault="00177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D7A" w:rsidRDefault="00177C36">
    <w:pPr>
      <w:pStyle w:val="Header"/>
    </w:pPr>
    <w:r>
      <w:rPr>
        <w:rFonts w:ascii="Calibri" w:hAnsi="Calibri"/>
        <w:b/>
        <w:color w:val="146B6E"/>
        <w:sz w:val="18"/>
      </w:rPr>
      <w:t>Pole Trust Bank — Integrated AI Banking Implementation Ecosystem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7C36"/>
    <w:rsid w:val="0029639D"/>
    <w:rsid w:val="00326F90"/>
    <w:rsid w:val="00910D7A"/>
    <w:rsid w:val="00AA1D8D"/>
    <w:rsid w:val="00B47730"/>
    <w:rsid w:val="00CB0664"/>
    <w:rsid w:val="00D23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439C39D-4332-48A6-A2AC-50C171EAD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49BB3-6EBD-4F5E-B61C-399ED65C4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HAROON TRADERS</cp:lastModifiedBy>
  <cp:revision>2</cp:revision>
  <dcterms:created xsi:type="dcterms:W3CDTF">2013-12-23T23:15:00Z</dcterms:created>
  <dcterms:modified xsi:type="dcterms:W3CDTF">2026-08-20T13:16:00Z</dcterms:modified>
  <cp:category/>
</cp:coreProperties>
</file>