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2A4A"/>
          <w:sz w:val="34"/>
        </w:rPr>
        <w:t>Project Change Control</w:t>
      </w:r>
      <w:r>
        <w:rPr>
          <w:rFonts w:ascii="Calibri" w:hAnsi="Calibri"/>
          <w:b/>
          <w:color w:val="B8860B"/>
          <w:sz w:val="24"/>
        </w:rPr>
        <w:t xml:space="preserve"> | PTB-CHG-001  ·  Integrated change control · Live</w:t>
      </w:r>
    </w:p>
    <w:p>
      <w:pPr>
        <w:spacing w:before="60" w:after="40"/>
      </w:pPr>
      <w:r>
        <w:rPr>
          <w:rFonts w:ascii="Calibri" w:hAnsi="Calibri"/>
          <w:b w:val="0"/>
          <w:color w:val="555555"/>
          <w:sz w:val="22"/>
        </w:rPr>
        <w:t>The scope-creep firewall (PMBoK Perform Integrated Change Control). Every change is logged in writing, assessed for impact against the baseline, decided by the Change Control Board (CCB), and enters the change log. The baseline only moves through this door. Documents a live, fully-filled change request (CR-002) submitted for CCB/BOG review.</w:t>
      </w:r>
    </w:p>
    <w:tbl>
      <w:tblPr>
        <w:tblStyle w:val="TableGrid"/>
        <w:tblW w:type="auto" w:w="0"/>
        <w:jc w:val="center"/>
        <w:tblLayout w:type="fixed"/>
        <w:tblLook w:firstColumn="1" w:firstRow="1" w:lastColumn="0" w:lastRow="0" w:noHBand="0" w:noVBand="1" w:val="04A0"/>
      </w:tblPr>
      <w:tblGrid>
        <w:gridCol w:w="7699"/>
        <w:gridCol w:w="7699"/>
      </w:tblGrid>
      <w:tr>
        <w:tc>
          <w:tcPr>
            <w:tcW w:type="dxa" w:w="2551"/>
            <w:shd w:val="clear" w:color="auto" w:fill="EAF0F5"/>
          </w:tcPr>
          <w:p>
            <w:pPr>
              <w:spacing w:before="20" w:after="20"/>
            </w:pPr>
            <w:r>
              <w:rPr>
                <w:rFonts w:ascii="Calibri" w:hAnsi="Calibri"/>
                <w:b/>
                <w:color w:val="0F2A4A"/>
                <w:sz w:val="19"/>
              </w:rPr>
              <w:t>Document ID</w:t>
            </w:r>
          </w:p>
        </w:tc>
        <w:tc>
          <w:tcPr>
            <w:tcW w:type="dxa" w:w="12927"/>
          </w:tcPr>
          <w:p>
            <w:pPr>
              <w:spacing w:before="20" w:after="20"/>
            </w:pPr>
            <w:r>
              <w:rPr>
                <w:rFonts w:ascii="Calibri" w:hAnsi="Calibri"/>
                <w:b w:val="0"/>
                <w:sz w:val="19"/>
              </w:rPr>
              <w:t>PTB-CHG-001</w:t>
            </w:r>
          </w:p>
        </w:tc>
      </w:tr>
      <w:tr>
        <w:tc>
          <w:tcPr>
            <w:tcW w:type="dxa" w:w="2551"/>
            <w:shd w:val="clear" w:color="auto" w:fill="EAF0F5"/>
          </w:tcPr>
          <w:p>
            <w:pPr>
              <w:spacing w:before="20" w:after="20"/>
            </w:pPr>
            <w:r>
              <w:rPr>
                <w:rFonts w:ascii="Calibri" w:hAnsi="Calibri"/>
                <w:b/>
                <w:color w:val="0F2A4A"/>
                <w:sz w:val="19"/>
              </w:rPr>
              <w:t>Regime</w:t>
            </w:r>
          </w:p>
        </w:tc>
        <w:tc>
          <w:tcPr>
            <w:tcW w:type="dxa" w:w="12927"/>
          </w:tcPr>
          <w:p>
            <w:pPr>
              <w:spacing w:before="20" w:after="20"/>
            </w:pPr>
            <w:r>
              <w:rPr>
                <w:rFonts w:ascii="Calibri" w:hAnsi="Calibri"/>
                <w:b w:val="0"/>
                <w:sz w:val="19"/>
              </w:rPr>
              <w:t>Integrated Change Control (PMBoK); CCB decision authority</w:t>
            </w:r>
          </w:p>
        </w:tc>
      </w:tr>
      <w:tr>
        <w:tc>
          <w:tcPr>
            <w:tcW w:type="dxa" w:w="2551"/>
            <w:shd w:val="clear" w:color="auto" w:fill="EAF0F5"/>
          </w:tcPr>
          <w:p>
            <w:pPr>
              <w:spacing w:before="20" w:after="20"/>
            </w:pPr>
            <w:r>
              <w:rPr>
                <w:rFonts w:ascii="Calibri" w:hAnsi="Calibri"/>
                <w:b/>
                <w:color w:val="0F2A4A"/>
                <w:sz w:val="19"/>
              </w:rPr>
              <w:t>Scope anchor</w:t>
            </w:r>
          </w:p>
        </w:tc>
        <w:tc>
          <w:tcPr>
            <w:tcW w:type="dxa" w:w="12927"/>
          </w:tcPr>
          <w:p>
            <w:pPr>
              <w:spacing w:before="20" w:after="20"/>
            </w:pPr>
            <w:r>
              <w:rPr>
                <w:rFonts w:ascii="Calibri" w:hAnsi="Calibri"/>
                <w:b w:val="0"/>
                <w:sz w:val="19"/>
              </w:rPr>
              <w:t>PTB-SCOPE-001 wrote exclusions out by name (e.g. module 3)</w:t>
            </w:r>
          </w:p>
        </w:tc>
      </w:tr>
      <w:tr>
        <w:tc>
          <w:tcPr>
            <w:tcW w:type="dxa" w:w="2551"/>
            <w:shd w:val="clear" w:color="auto" w:fill="EAF0F5"/>
          </w:tcPr>
          <w:p>
            <w:pPr>
              <w:spacing w:before="20" w:after="20"/>
            </w:pPr>
            <w:r>
              <w:rPr>
                <w:rFonts w:ascii="Calibri" w:hAnsi="Calibri"/>
                <w:b/>
                <w:color w:val="0F2A4A"/>
                <w:sz w:val="19"/>
              </w:rPr>
              <w:t>Decision authority</w:t>
            </w:r>
          </w:p>
        </w:tc>
        <w:tc>
          <w:tcPr>
            <w:tcW w:type="dxa" w:w="12927"/>
          </w:tcPr>
          <w:p>
            <w:pPr>
              <w:spacing w:before="20" w:after="20"/>
            </w:pPr>
            <w:r>
              <w:rPr>
                <w:rFonts w:ascii="Calibri" w:hAnsi="Calibri"/>
                <w:b w:val="0"/>
                <w:sz w:val="19"/>
              </w:rPr>
              <w:t>Sponsor-led CCB (BOG); PM evaluates; Sponsor decides</w:t>
            </w:r>
          </w:p>
        </w:tc>
      </w:tr>
      <w:tr>
        <w:tc>
          <w:tcPr>
            <w:tcW w:type="dxa" w:w="2551"/>
            <w:shd w:val="clear" w:color="auto" w:fill="EAF0F5"/>
          </w:tcPr>
          <w:p>
            <w:pPr>
              <w:spacing w:before="20" w:after="20"/>
            </w:pPr>
            <w:r>
              <w:rPr>
                <w:rFonts w:ascii="Calibri" w:hAnsi="Calibri"/>
                <w:b/>
                <w:color w:val="0F2A4A"/>
                <w:sz w:val="19"/>
              </w:rPr>
              <w:t>Project Sponsor</w:t>
            </w:r>
          </w:p>
        </w:tc>
        <w:tc>
          <w:tcPr>
            <w:tcW w:type="dxa" w:w="12927"/>
          </w:tcPr>
          <w:p>
            <w:pPr>
              <w:spacing w:before="20" w:after="20"/>
            </w:pPr>
            <w:r>
              <w:rPr>
                <w:rFonts w:ascii="Calibri" w:hAnsi="Calibri"/>
                <w:b w:val="0"/>
                <w:sz w:val="19"/>
              </w:rPr>
              <w:t>Sheikh Moeen Akhtar</w:t>
            </w:r>
          </w:p>
        </w:tc>
      </w:tr>
      <w:tr>
        <w:tc>
          <w:tcPr>
            <w:tcW w:type="dxa" w:w="2551"/>
            <w:shd w:val="clear" w:color="auto" w:fill="EAF0F5"/>
          </w:tcPr>
          <w:p>
            <w:pPr>
              <w:spacing w:before="20" w:after="20"/>
            </w:pPr>
            <w:r>
              <w:rPr>
                <w:rFonts w:ascii="Calibri" w:hAnsi="Calibri"/>
                <w:b/>
                <w:color w:val="0F2A4A"/>
                <w:sz w:val="19"/>
              </w:rPr>
              <w:t>Related controls</w:t>
            </w:r>
          </w:p>
        </w:tc>
        <w:tc>
          <w:tcPr>
            <w:tcW w:type="dxa" w:w="12927"/>
          </w:tcPr>
          <w:p>
            <w:pPr>
              <w:spacing w:before="20" w:after="20"/>
            </w:pPr>
            <w:r>
              <w:rPr>
                <w:rFonts w:ascii="Calibri" w:hAnsi="Calibri"/>
                <w:b w:val="0"/>
                <w:sz w:val="19"/>
              </w:rPr>
              <w:t>DEC-02 (funding), DEC-03 (delegation), DEC-04 (Steering), PTB-STS-001 (status report)</w:t>
            </w:r>
          </w:p>
        </w:tc>
      </w:tr>
    </w:tbl>
    <w:p>
      <w:pPr>
        <w:spacing w:before="160" w:after="0"/>
      </w:pPr>
      <w:r>
        <w:rPr>
          <w:rFonts w:ascii="Calibri" w:hAnsi="Calibri"/>
          <w:b/>
          <w:color w:val="0F2A4A"/>
          <w:sz w:val="26"/>
        </w:rPr>
        <w:t>Sections 1–3 — Request, Identification, Reason &amp; Impact</w:t>
      </w:r>
    </w:p>
    <w:p>
      <w:pPr>
        <w:spacing w:before="60" w:after="40"/>
      </w:pPr>
      <w:r>
        <w:rPr>
          <w:rFonts w:ascii="Calibri" w:hAnsi="Calibri"/>
          <w:b w:val="0"/>
          <w:color w:val="555555"/>
          <w:sz w:val="22"/>
        </w:rPr>
        <w:t>The executive wants module 3 added mid-flight — it goes on a change request form, in writing, and is uniquely identified (CR-###) with the reason stated. Impact (cost, schedule, risk, benefit) is assessed against the baseline; in AI drafts you verify before the CCB sees it.</w:t>
      </w:r>
    </w:p>
    <w:tbl>
      <w:tblPr>
        <w:tblStyle w:val="TableGrid"/>
        <w:tblW w:type="auto" w:w="0"/>
        <w:jc w:val="center"/>
        <w:tblLayout w:type="fixed"/>
        <w:tblLook w:firstColumn="1" w:firstRow="1" w:lastColumn="0" w:lastRow="0" w:noHBand="0" w:noVBand="1" w:val="04A0"/>
      </w:tblPr>
      <w:tblGrid>
        <w:gridCol w:w="5133"/>
        <w:gridCol w:w="5133"/>
        <w:gridCol w:w="5133"/>
      </w:tblGrid>
      <w:tr>
        <w:tc>
          <w:tcPr>
            <w:tcW w:type="dxa" w:w="2268"/>
            <w:shd w:val="clear" w:color="auto" w:fill="0F2A4A"/>
          </w:tcPr>
          <w:p>
            <w:pPr>
              <w:spacing w:before="10" w:after="10"/>
            </w:pPr>
            <w:r>
              <w:rPr>
                <w:rFonts w:ascii="Calibri" w:hAnsi="Calibri"/>
                <w:b/>
                <w:color w:val="FFFFFF"/>
                <w:sz w:val="19"/>
              </w:rPr>
              <w:t>Dimension</w:t>
            </w:r>
          </w:p>
        </w:tc>
        <w:tc>
          <w:tcPr>
            <w:tcW w:type="dxa" w:w="7144"/>
            <w:shd w:val="clear" w:color="auto" w:fill="0F2A4A"/>
          </w:tcPr>
          <w:p>
            <w:pPr>
              <w:spacing w:before="10" w:after="10"/>
            </w:pPr>
            <w:r>
              <w:rPr>
                <w:rFonts w:ascii="Calibri" w:hAnsi="Calibri"/>
                <w:b/>
                <w:color w:val="FFFFFF"/>
                <w:sz w:val="19"/>
              </w:rPr>
              <w:t>Assessment vs baseline</w:t>
            </w:r>
          </w:p>
        </w:tc>
        <w:tc>
          <w:tcPr>
            <w:tcW w:type="dxa" w:w="4195"/>
            <w:shd w:val="clear" w:color="auto" w:fill="0F2A4A"/>
          </w:tcPr>
          <w:p>
            <w:pPr>
              <w:spacing w:before="10" w:after="10"/>
            </w:pPr>
            <w:r>
              <w:rPr>
                <w:rFonts w:ascii="Calibri" w:hAnsi="Calibri"/>
                <w:b/>
                <w:color w:val="FFFFFF"/>
                <w:sz w:val="19"/>
              </w:rPr>
              <w:t>Evidence</w:t>
            </w:r>
          </w:p>
        </w:tc>
      </w:tr>
      <w:tr>
        <w:tc>
          <w:tcPr>
            <w:tcW w:type="dxa" w:w="2268"/>
          </w:tcPr>
          <w:p>
            <w:pPr>
              <w:spacing w:before="10" w:after="10"/>
            </w:pPr>
            <w:r>
              <w:rPr>
                <w:rFonts w:ascii="Calibri" w:hAnsi="Calibri"/>
                <w:b w:val="0"/>
                <w:sz w:val="19"/>
              </w:rPr>
              <w:t>Scope</w:t>
            </w:r>
          </w:p>
        </w:tc>
        <w:tc>
          <w:tcPr>
            <w:tcW w:type="dxa" w:w="7144"/>
          </w:tcPr>
          <w:p>
            <w:pPr>
              <w:spacing w:before="10" w:after="10"/>
            </w:pPr>
            <w:r>
              <w:rPr>
                <w:rFonts w:ascii="Calibri" w:hAnsi="Calibri"/>
                <w:b w:val="0"/>
                <w:sz w:val="19"/>
              </w:rPr>
              <w:t>Adds/removes vs PTB-SCOPE-001</w:t>
            </w:r>
          </w:p>
        </w:tc>
        <w:tc>
          <w:tcPr>
            <w:tcW w:type="dxa" w:w="4195"/>
          </w:tcPr>
          <w:p>
            <w:pPr>
              <w:spacing w:before="10" w:after="10"/>
            </w:pPr>
            <w:r>
              <w:rPr>
                <w:rFonts w:ascii="Calibri" w:hAnsi="Calibri"/>
                <w:b w:val="0"/>
                <w:sz w:val="19"/>
              </w:rPr>
              <w:t>Scope statement, WBS</w:t>
            </w:r>
          </w:p>
        </w:tc>
      </w:tr>
      <w:tr>
        <w:tc>
          <w:tcPr>
            <w:tcW w:type="dxa" w:w="2268"/>
            <w:shd w:val="clear" w:color="auto" w:fill="F4F7FA"/>
          </w:tcPr>
          <w:p>
            <w:pPr>
              <w:spacing w:before="10" w:after="10"/>
            </w:pPr>
            <w:r>
              <w:rPr>
                <w:rFonts w:ascii="Calibri" w:hAnsi="Calibri"/>
                <w:b w:val="0"/>
                <w:sz w:val="19"/>
              </w:rPr>
              <w:t>Schedule</w:t>
            </w:r>
          </w:p>
        </w:tc>
        <w:tc>
          <w:tcPr>
            <w:tcW w:type="dxa" w:w="7144"/>
            <w:shd w:val="clear" w:color="auto" w:fill="F4F7FA"/>
          </w:tcPr>
          <w:p>
            <w:pPr>
              <w:spacing w:before="10" w:after="10"/>
            </w:pPr>
            <w:r>
              <w:rPr>
                <w:rFonts w:ascii="Calibri" w:hAnsi="Calibri"/>
                <w:b w:val="0"/>
                <w:sz w:val="19"/>
              </w:rPr>
              <w:t>Critical path (D1–D7), milestones, 24-month roadmap</w:t>
            </w:r>
          </w:p>
        </w:tc>
        <w:tc>
          <w:tcPr>
            <w:tcW w:type="dxa" w:w="4195"/>
            <w:shd w:val="clear" w:color="auto" w:fill="F4F7FA"/>
          </w:tcPr>
          <w:p>
            <w:pPr>
              <w:spacing w:before="10" w:after="10"/>
            </w:pPr>
            <w:r>
              <w:rPr>
                <w:rFonts w:ascii="Calibri" w:hAnsi="Calibri"/>
                <w:b w:val="0"/>
                <w:sz w:val="19"/>
              </w:rPr>
              <w:t>PTB-SCHED-001</w:t>
            </w:r>
          </w:p>
        </w:tc>
      </w:tr>
      <w:tr>
        <w:tc>
          <w:tcPr>
            <w:tcW w:type="dxa" w:w="2268"/>
          </w:tcPr>
          <w:p>
            <w:pPr>
              <w:spacing w:before="10" w:after="10"/>
            </w:pPr>
            <w:r>
              <w:rPr>
                <w:rFonts w:ascii="Calibri" w:hAnsi="Calibri"/>
                <w:b w:val="0"/>
                <w:sz w:val="19"/>
              </w:rPr>
              <w:t>Cost</w:t>
            </w:r>
          </w:p>
        </w:tc>
        <w:tc>
          <w:tcPr>
            <w:tcW w:type="dxa" w:w="7144"/>
          </w:tcPr>
          <w:p>
            <w:pPr>
              <w:spacing w:before="10" w:after="10"/>
            </w:pPr>
            <w:r>
              <w:rPr>
                <w:rFonts w:ascii="Calibri" w:hAnsi="Calibri"/>
                <w:b w:val="0"/>
                <w:sz w:val="19"/>
              </w:rPr>
              <w:t>Budget, contingency, CAPEX/OPEX envelope</w:t>
            </w:r>
          </w:p>
        </w:tc>
        <w:tc>
          <w:tcPr>
            <w:tcW w:type="dxa" w:w="4195"/>
          </w:tcPr>
          <w:p>
            <w:pPr>
              <w:spacing w:before="10" w:after="10"/>
            </w:pPr>
            <w:r>
              <w:rPr>
                <w:rFonts w:ascii="Calibri" w:hAnsi="Calibri"/>
                <w:b w:val="0"/>
                <w:sz w:val="19"/>
              </w:rPr>
              <w:t>PTB-COST-001, variance</w:t>
            </w:r>
          </w:p>
        </w:tc>
      </w:tr>
      <w:tr>
        <w:tc>
          <w:tcPr>
            <w:tcW w:type="dxa" w:w="2268"/>
            <w:shd w:val="clear" w:color="auto" w:fill="F4F7FA"/>
          </w:tcPr>
          <w:p>
            <w:pPr>
              <w:spacing w:before="10" w:after="10"/>
            </w:pPr>
            <w:r>
              <w:rPr>
                <w:rFonts w:ascii="Calibri" w:hAnsi="Calibri"/>
                <w:b w:val="0"/>
                <w:sz w:val="19"/>
              </w:rPr>
              <w:t>Risk</w:t>
            </w:r>
          </w:p>
        </w:tc>
        <w:tc>
          <w:tcPr>
            <w:tcW w:type="dxa" w:w="7144"/>
            <w:shd w:val="clear" w:color="auto" w:fill="F4F7FA"/>
          </w:tcPr>
          <w:p>
            <w:pPr>
              <w:spacing w:before="10" w:after="10"/>
            </w:pPr>
            <w:r>
              <w:rPr>
                <w:rFonts w:ascii="Calibri" w:hAnsi="Calibri"/>
                <w:b w:val="0"/>
                <w:sz w:val="19"/>
              </w:rPr>
              <w:t>New/changed risks, triggers, owners</w:t>
            </w:r>
          </w:p>
        </w:tc>
        <w:tc>
          <w:tcPr>
            <w:tcW w:type="dxa" w:w="4195"/>
            <w:shd w:val="clear" w:color="auto" w:fill="F4F7FA"/>
          </w:tcPr>
          <w:p>
            <w:pPr>
              <w:spacing w:before="10" w:after="10"/>
            </w:pPr>
            <w:r>
              <w:rPr>
                <w:rFonts w:ascii="Calibri" w:hAnsi="Calibri"/>
                <w:b w:val="0"/>
                <w:sz w:val="19"/>
              </w:rPr>
              <w:t>PTB-RISK-001</w:t>
            </w:r>
          </w:p>
        </w:tc>
      </w:tr>
      <w:tr>
        <w:tc>
          <w:tcPr>
            <w:tcW w:type="dxa" w:w="2268"/>
          </w:tcPr>
          <w:p>
            <w:pPr>
              <w:spacing w:before="10" w:after="10"/>
            </w:pPr>
            <w:r>
              <w:rPr>
                <w:rFonts w:ascii="Calibri" w:hAnsi="Calibri"/>
                <w:b w:val="0"/>
                <w:sz w:val="19"/>
              </w:rPr>
              <w:t>Benefit</w:t>
            </w:r>
          </w:p>
        </w:tc>
        <w:tc>
          <w:tcPr>
            <w:tcW w:type="dxa" w:w="7144"/>
          </w:tcPr>
          <w:p>
            <w:pPr>
              <w:spacing w:before="10" w:after="10"/>
            </w:pPr>
            <w:r>
              <w:rPr>
                <w:rFonts w:ascii="Calibri" w:hAnsi="Calibri"/>
                <w:b w:val="0"/>
                <w:sz w:val="19"/>
              </w:rPr>
              <w:t>Value/cost, KPI and NPV effect</w:t>
            </w:r>
          </w:p>
        </w:tc>
        <w:tc>
          <w:tcPr>
            <w:tcW w:type="dxa" w:w="4195"/>
          </w:tcPr>
          <w:p>
            <w:pPr>
              <w:spacing w:before="10" w:after="10"/>
            </w:pPr>
            <w:r>
              <w:rPr>
                <w:rFonts w:ascii="Calibri" w:hAnsi="Calibri"/>
                <w:b w:val="0"/>
                <w:sz w:val="19"/>
              </w:rPr>
              <w:t>Benefits baseline</w:t>
            </w:r>
          </w:p>
        </w:tc>
      </w:tr>
    </w:tbl>
    <w:p>
      <w:pPr>
        <w:spacing w:before="160" w:after="0"/>
      </w:pPr>
      <w:r>
        <w:rPr>
          <w:rFonts w:ascii="Calibri" w:hAnsi="Calibri"/>
          <w:b/>
          <w:color w:val="0F2A4A"/>
          <w:sz w:val="26"/>
        </w:rPr>
        <w:t>Sections 4–5 — Approval &amp; Decision, Change Log</w:t>
      </w:r>
    </w:p>
    <w:p>
      <w:pPr>
        <w:spacing w:before="60" w:after="40"/>
      </w:pPr>
      <w:r>
        <w:rPr>
          <w:rFonts w:ascii="Calibri" w:hAnsi="Calibri"/>
          <w:b w:val="0"/>
          <w:color w:val="555555"/>
          <w:sz w:val="22"/>
        </w:rPr>
        <w:t>The CCB approves, rejects or defers — not the loudest voice in a hallway. Approved or not, every change enters the change log; the baseline only moves through this door.</w:t>
      </w:r>
    </w:p>
    <w:tbl>
      <w:tblPr>
        <w:tblStyle w:val="TableGrid"/>
        <w:tblW w:type="auto" w:w="0"/>
        <w:jc w:val="center"/>
        <w:tblLayout w:type="fixed"/>
        <w:tblLook w:firstColumn="1" w:firstRow="1" w:lastColumn="0" w:lastRow="0" w:noHBand="0" w:noVBand="1" w:val="04A0"/>
      </w:tblPr>
      <w:tblGrid>
        <w:gridCol w:w="5133"/>
        <w:gridCol w:w="5133"/>
        <w:gridCol w:w="5133"/>
      </w:tblGrid>
      <w:tr>
        <w:tc>
          <w:tcPr>
            <w:tcW w:type="dxa" w:w="2608"/>
            <w:shd w:val="clear" w:color="auto" w:fill="0F2A4A"/>
          </w:tcPr>
          <w:p>
            <w:pPr>
              <w:spacing w:before="10" w:after="10"/>
            </w:pPr>
            <w:r>
              <w:rPr>
                <w:rFonts w:ascii="Calibri" w:hAnsi="Calibri"/>
                <w:b/>
                <w:color w:val="FFFFFF"/>
                <w:sz w:val="19"/>
              </w:rPr>
              <w:t>Decision</w:t>
            </w:r>
          </w:p>
        </w:tc>
        <w:tc>
          <w:tcPr>
            <w:tcW w:type="dxa" w:w="4309"/>
            <w:shd w:val="clear" w:color="auto" w:fill="0F2A4A"/>
          </w:tcPr>
          <w:p>
            <w:pPr>
              <w:spacing w:before="10" w:after="10"/>
            </w:pPr>
            <w:r>
              <w:rPr>
                <w:rFonts w:ascii="Calibri" w:hAnsi="Calibri"/>
                <w:b/>
                <w:color w:val="FFFFFF"/>
                <w:sz w:val="19"/>
              </w:rPr>
              <w:t>Meaning</w:t>
            </w:r>
          </w:p>
        </w:tc>
        <w:tc>
          <w:tcPr>
            <w:tcW w:type="dxa" w:w="6690"/>
            <w:shd w:val="clear" w:color="auto" w:fill="0F2A4A"/>
          </w:tcPr>
          <w:p>
            <w:pPr>
              <w:spacing w:before="10" w:after="10"/>
            </w:pPr>
            <w:r>
              <w:rPr>
                <w:rFonts w:ascii="Calibri" w:hAnsi="Calibri"/>
                <w:b/>
                <w:color w:val="FFFFFF"/>
                <w:sz w:val="19"/>
              </w:rPr>
              <w:t>Next step</w:t>
            </w:r>
          </w:p>
        </w:tc>
      </w:tr>
      <w:tr>
        <w:tc>
          <w:tcPr>
            <w:tcW w:type="dxa" w:w="2608"/>
          </w:tcPr>
          <w:p>
            <w:pPr>
              <w:spacing w:before="10" w:after="10"/>
            </w:pPr>
            <w:r>
              <w:rPr>
                <w:rFonts w:ascii="Calibri" w:hAnsi="Calibri"/>
                <w:b/>
                <w:color w:val="1E7A4F"/>
                <w:sz w:val="19"/>
              </w:rPr>
              <w:t>Approved</w:t>
            </w:r>
          </w:p>
        </w:tc>
        <w:tc>
          <w:tcPr>
            <w:tcW w:type="dxa" w:w="4309"/>
          </w:tcPr>
          <w:p>
            <w:pPr>
              <w:spacing w:before="10" w:after="10"/>
            </w:pPr>
            <w:r>
              <w:rPr>
                <w:rFonts w:ascii="Calibri" w:hAnsi="Calibri"/>
                <w:b w:val="0"/>
                <w:sz w:val="19"/>
              </w:rPr>
              <w:t>Enters the baseline</w:t>
            </w:r>
          </w:p>
        </w:tc>
        <w:tc>
          <w:tcPr>
            <w:tcW w:type="dxa" w:w="6690"/>
          </w:tcPr>
          <w:p>
            <w:pPr>
              <w:spacing w:before="10" w:after="10"/>
            </w:pPr>
            <w:r>
              <w:rPr>
                <w:rFonts w:ascii="Calibri" w:hAnsi="Calibri"/>
                <w:b w:val="0"/>
                <w:sz w:val="19"/>
              </w:rPr>
              <w:t>Log, rebaseline, update schedule/cost/scope/risk</w:t>
            </w:r>
          </w:p>
        </w:tc>
      </w:tr>
      <w:tr>
        <w:tc>
          <w:tcPr>
            <w:tcW w:type="dxa" w:w="2608"/>
            <w:shd w:val="clear" w:color="auto" w:fill="F4F7FA"/>
          </w:tcPr>
          <w:p>
            <w:pPr>
              <w:spacing w:before="10" w:after="10"/>
            </w:pPr>
            <w:r>
              <w:rPr>
                <w:rFonts w:ascii="Calibri" w:hAnsi="Calibri"/>
                <w:b/>
                <w:color w:val="C0392B"/>
                <w:sz w:val="19"/>
              </w:rPr>
              <w:t>Rejected</w:t>
            </w:r>
          </w:p>
        </w:tc>
        <w:tc>
          <w:tcPr>
            <w:tcW w:type="dxa" w:w="4309"/>
            <w:shd w:val="clear" w:color="auto" w:fill="F4F7FA"/>
          </w:tcPr>
          <w:p>
            <w:pPr>
              <w:spacing w:before="10" w:after="10"/>
            </w:pPr>
            <w:r>
              <w:rPr>
                <w:rFonts w:ascii="Calibri" w:hAnsi="Calibri"/>
                <w:b w:val="0"/>
                <w:sz w:val="19"/>
              </w:rPr>
              <w:t>Baseline preserved</w:t>
            </w:r>
          </w:p>
        </w:tc>
        <w:tc>
          <w:tcPr>
            <w:tcW w:type="dxa" w:w="6690"/>
            <w:shd w:val="clear" w:color="auto" w:fill="F4F7FA"/>
          </w:tcPr>
          <w:p>
            <w:pPr>
              <w:spacing w:before="10" w:after="10"/>
            </w:pPr>
            <w:r>
              <w:rPr>
                <w:rFonts w:ascii="Calibri" w:hAnsi="Calibri"/>
                <w:b w:val="0"/>
                <w:sz w:val="19"/>
              </w:rPr>
              <w:t>Log the rejection with reason</w:t>
            </w:r>
          </w:p>
        </w:tc>
      </w:tr>
      <w:tr>
        <w:tc>
          <w:tcPr>
            <w:tcW w:type="dxa" w:w="2608"/>
          </w:tcPr>
          <w:p>
            <w:pPr>
              <w:spacing w:before="10" w:after="10"/>
            </w:pPr>
            <w:r>
              <w:rPr>
                <w:rFonts w:ascii="Calibri" w:hAnsi="Calibri"/>
                <w:b/>
                <w:color w:val="B8860B"/>
                <w:sz w:val="19"/>
              </w:rPr>
              <w:t>Deferred</w:t>
            </w:r>
          </w:p>
        </w:tc>
        <w:tc>
          <w:tcPr>
            <w:tcW w:type="dxa" w:w="4309"/>
          </w:tcPr>
          <w:p>
            <w:pPr>
              <w:spacing w:before="10" w:after="10"/>
            </w:pPr>
            <w:r>
              <w:rPr>
                <w:rFonts w:ascii="Calibri" w:hAnsi="Calibri"/>
                <w:b w:val="0"/>
                <w:sz w:val="19"/>
              </w:rPr>
              <w:t>Revisit at a later gate</w:t>
            </w:r>
          </w:p>
        </w:tc>
        <w:tc>
          <w:tcPr>
            <w:tcW w:type="dxa" w:w="6690"/>
          </w:tcPr>
          <w:p>
            <w:pPr>
              <w:spacing w:before="10" w:after="10"/>
            </w:pPr>
            <w:r>
              <w:rPr>
                <w:rFonts w:ascii="Calibri" w:hAnsi="Calibri"/>
                <w:b w:val="0"/>
                <w:sz w:val="19"/>
              </w:rPr>
              <w:t>Log with next review date</w:t>
            </w:r>
          </w:p>
        </w:tc>
      </w:tr>
    </w:tbl>
    <w:p>
      <w:pPr>
        <w:spacing w:before="160" w:after="0"/>
      </w:pPr>
      <w:r>
        <w:rPr>
          <w:rFonts w:ascii="Calibri" w:hAnsi="Calibri"/>
          <w:b/>
          <w:color w:val="0F2A4A"/>
          <w:sz w:val="26"/>
        </w:rPr>
        <w:t>Change Request CR-002 — Submitted for CCB/BOG Decision</w:t>
      </w:r>
    </w:p>
    <w:p>
      <w:pPr>
        <w:spacing w:before="60" w:after="40"/>
      </w:pPr>
      <w:r>
        <w:rPr>
          <w:rFonts w:ascii="Calibri" w:hAnsi="Calibri"/>
          <w:b w:val="0"/>
          <w:color w:val="555555"/>
          <w:sz w:val="22"/>
        </w:rPr>
        <w:t>Live, fully-completed change request raised from execution (not a template). All six change-log ingredients filled in and submitted for decision, linked to the Status Report variance finding.</w:t>
      </w:r>
    </w:p>
    <w:tbl>
      <w:tblPr>
        <w:tblStyle w:val="TableGrid"/>
        <w:tblW w:type="auto" w:w="0"/>
        <w:jc w:val="center"/>
        <w:tblLayout w:type="fixed"/>
        <w:tblLook w:firstColumn="1" w:firstRow="1" w:lastColumn="0" w:lastRow="0" w:noHBand="0" w:noVBand="1" w:val="04A0"/>
      </w:tblPr>
      <w:tblGrid>
        <w:gridCol w:w="5133"/>
        <w:gridCol w:w="5133"/>
        <w:gridCol w:w="5133"/>
      </w:tblGrid>
      <w:tr>
        <w:tc>
          <w:tcPr>
            <w:tcW w:type="dxa" w:w="907"/>
            <w:shd w:val="clear" w:color="auto" w:fill="0F2A4A"/>
          </w:tcPr>
          <w:p>
            <w:pPr>
              <w:spacing w:before="10" w:after="10"/>
            </w:pPr>
            <w:r>
              <w:rPr>
                <w:rFonts w:ascii="Calibri" w:hAnsi="Calibri"/>
                <w:b/>
                <w:color w:val="FFFFFF"/>
                <w:sz w:val="19"/>
              </w:rPr>
              <w:t>#</w:t>
            </w:r>
          </w:p>
        </w:tc>
        <w:tc>
          <w:tcPr>
            <w:tcW w:type="dxa" w:w="2608"/>
            <w:shd w:val="clear" w:color="auto" w:fill="0F2A4A"/>
          </w:tcPr>
          <w:p>
            <w:pPr>
              <w:spacing w:before="10" w:after="10"/>
            </w:pPr>
            <w:r>
              <w:rPr>
                <w:rFonts w:ascii="Calibri" w:hAnsi="Calibri"/>
                <w:b/>
                <w:color w:val="FFFFFF"/>
                <w:sz w:val="19"/>
              </w:rPr>
              <w:t>Change-log element</w:t>
            </w:r>
          </w:p>
        </w:tc>
        <w:tc>
          <w:tcPr>
            <w:tcW w:type="dxa" w:w="10092"/>
            <w:shd w:val="clear" w:color="auto" w:fill="0F2A4A"/>
          </w:tcPr>
          <w:p>
            <w:pPr>
              <w:spacing w:before="10" w:after="10"/>
            </w:pPr>
            <w:r>
              <w:rPr>
                <w:rFonts w:ascii="Calibri" w:hAnsi="Calibri"/>
                <w:b/>
                <w:color w:val="FFFFFF"/>
                <w:sz w:val="19"/>
              </w:rPr>
              <w:t>Filled entry for CR-002</w:t>
            </w:r>
          </w:p>
        </w:tc>
      </w:tr>
      <w:tr>
        <w:tc>
          <w:tcPr>
            <w:tcW w:type="dxa" w:w="907"/>
          </w:tcPr>
          <w:p>
            <w:pPr>
              <w:spacing w:before="10" w:after="10"/>
            </w:pPr>
            <w:r>
              <w:rPr>
                <w:rFonts w:ascii="Calibri" w:hAnsi="Calibri"/>
                <w:b w:val="0"/>
                <w:sz w:val="19"/>
              </w:rPr>
              <w:t>1</w:t>
            </w:r>
          </w:p>
        </w:tc>
        <w:tc>
          <w:tcPr>
            <w:tcW w:type="dxa" w:w="2608"/>
          </w:tcPr>
          <w:p>
            <w:pPr>
              <w:spacing w:before="10" w:after="10"/>
            </w:pPr>
            <w:r>
              <w:rPr>
                <w:rFonts w:ascii="Calibri" w:hAnsi="Calibri"/>
                <w:b w:val="0"/>
                <w:sz w:val="19"/>
              </w:rPr>
              <w:t>Change identification</w:t>
            </w:r>
          </w:p>
        </w:tc>
        <w:tc>
          <w:tcPr>
            <w:tcW w:type="dxa" w:w="10092"/>
          </w:tcPr>
          <w:p>
            <w:pPr>
              <w:spacing w:before="10" w:after="10"/>
            </w:pPr>
            <w:r>
              <w:rPr>
                <w:rFonts w:ascii="Calibri" w:hAnsi="Calibri"/>
                <w:b w:val="0"/>
                <w:sz w:val="19"/>
              </w:rPr>
              <w:t>CR-002 · Requester: Salman Zaman (PM) · Source: PTB-STS-001 · Baselines: PTB-SCHED-001 (D2/D3), PTB-COST-001 · WBS 2.0/3.0</w:t>
            </w:r>
          </w:p>
        </w:tc>
      </w:tr>
      <w:tr>
        <w:tc>
          <w:tcPr>
            <w:tcW w:type="dxa" w:w="907"/>
            <w:shd w:val="clear" w:color="auto" w:fill="F4F7FA"/>
          </w:tcPr>
          <w:p>
            <w:pPr>
              <w:spacing w:before="10" w:after="10"/>
            </w:pPr>
            <w:r>
              <w:rPr>
                <w:rFonts w:ascii="Calibri" w:hAnsi="Calibri"/>
                <w:b w:val="0"/>
                <w:sz w:val="19"/>
              </w:rPr>
              <w:t>2</w:t>
            </w:r>
          </w:p>
        </w:tc>
        <w:tc>
          <w:tcPr>
            <w:tcW w:type="dxa" w:w="2608"/>
            <w:shd w:val="clear" w:color="auto" w:fill="F4F7FA"/>
          </w:tcPr>
          <w:p>
            <w:pPr>
              <w:spacing w:before="10" w:after="10"/>
            </w:pPr>
            <w:r>
              <w:rPr>
                <w:rFonts w:ascii="Calibri" w:hAnsi="Calibri"/>
                <w:b w:val="0"/>
                <w:sz w:val="19"/>
              </w:rPr>
              <w:t>Reason of change</w:t>
            </w:r>
          </w:p>
        </w:tc>
        <w:tc>
          <w:tcPr>
            <w:tcW w:type="dxa" w:w="10092"/>
            <w:shd w:val="clear" w:color="auto" w:fill="F4F7FA"/>
          </w:tcPr>
          <w:p>
            <w:pPr>
              <w:spacing w:before="10" w:after="10"/>
            </w:pPr>
            <w:r>
              <w:rPr>
                <w:rFonts w:ascii="Calibri" w:hAnsi="Calibri"/>
                <w:b w:val="0"/>
                <w:sz w:val="19"/>
              </w:rPr>
              <w:t>~10% behind plan on the critical path (D2 foundation, D3 copilot) and ~12% over phase budget; authorise DEC-02 funding release and controlled rebaseline</w:t>
            </w:r>
          </w:p>
        </w:tc>
      </w:tr>
      <w:tr>
        <w:tc>
          <w:tcPr>
            <w:tcW w:type="dxa" w:w="907"/>
          </w:tcPr>
          <w:p>
            <w:pPr>
              <w:spacing w:before="10" w:after="10"/>
            </w:pPr>
            <w:r>
              <w:rPr>
                <w:rFonts w:ascii="Calibri" w:hAnsi="Calibri"/>
                <w:b w:val="0"/>
                <w:sz w:val="19"/>
              </w:rPr>
              <w:t>3</w:t>
            </w:r>
          </w:p>
        </w:tc>
        <w:tc>
          <w:tcPr>
            <w:tcW w:type="dxa" w:w="2608"/>
          </w:tcPr>
          <w:p>
            <w:pPr>
              <w:spacing w:before="10" w:after="10"/>
            </w:pPr>
            <w:r>
              <w:rPr>
                <w:rFonts w:ascii="Calibri" w:hAnsi="Calibri"/>
                <w:b w:val="0"/>
                <w:sz w:val="19"/>
              </w:rPr>
              <w:t>Impact of change</w:t>
            </w:r>
          </w:p>
        </w:tc>
        <w:tc>
          <w:tcPr>
            <w:tcW w:type="dxa" w:w="10092"/>
          </w:tcPr>
          <w:p>
            <w:pPr>
              <w:spacing w:before="10" w:after="10"/>
            </w:pPr>
            <w:r>
              <w:rPr>
                <w:rFonts w:ascii="Calibri" w:hAnsi="Calibri"/>
                <w:b w:val="0"/>
                <w:sz w:val="19"/>
              </w:rPr>
              <w:t>Schedule: funds D2/D3 catch-up (recovery). Cost: releases DEC-02 phase funding vs USD 11.5M/27.5M envelope. Risk: reduces integration/vendor-slip. Benefit: protects KPI/NPV timeline</w:t>
            </w:r>
          </w:p>
        </w:tc>
      </w:tr>
      <w:tr>
        <w:tc>
          <w:tcPr>
            <w:tcW w:type="dxa" w:w="907"/>
            <w:shd w:val="clear" w:color="auto" w:fill="F4F7FA"/>
          </w:tcPr>
          <w:p>
            <w:pPr>
              <w:spacing w:before="10" w:after="10"/>
            </w:pPr>
            <w:r>
              <w:rPr>
                <w:rFonts w:ascii="Calibri" w:hAnsi="Calibri"/>
                <w:b w:val="0"/>
                <w:sz w:val="19"/>
              </w:rPr>
              <w:t>4</w:t>
            </w:r>
          </w:p>
        </w:tc>
        <w:tc>
          <w:tcPr>
            <w:tcW w:type="dxa" w:w="2608"/>
            <w:shd w:val="clear" w:color="auto" w:fill="F4F7FA"/>
          </w:tcPr>
          <w:p>
            <w:pPr>
              <w:spacing w:before="10" w:after="10"/>
            </w:pPr>
            <w:r>
              <w:rPr>
                <w:rFonts w:ascii="Calibri" w:hAnsi="Calibri"/>
                <w:b w:val="0"/>
                <w:sz w:val="19"/>
              </w:rPr>
              <w:t>Justification</w:t>
            </w:r>
          </w:p>
        </w:tc>
        <w:tc>
          <w:tcPr>
            <w:tcW w:type="dxa" w:w="10092"/>
            <w:shd w:val="clear" w:color="auto" w:fill="F4F7FA"/>
          </w:tcPr>
          <w:p>
            <w:pPr>
              <w:spacing w:before="10" w:after="10"/>
            </w:pPr>
            <w:r>
              <w:rPr>
                <w:rFonts w:ascii="Calibri" w:hAnsi="Calibri"/>
                <w:b w:val="0"/>
                <w:sz w:val="19"/>
              </w:rPr>
              <w:t>Evidenced by PTB-STS-001 (SV -10%, SPI ~0.80; CV -12%, CPI ~0.89); funding/rebaseline only — no scope added</w:t>
            </w:r>
          </w:p>
        </w:tc>
      </w:tr>
      <w:tr>
        <w:tc>
          <w:tcPr>
            <w:tcW w:type="dxa" w:w="907"/>
          </w:tcPr>
          <w:p>
            <w:pPr>
              <w:spacing w:before="10" w:after="10"/>
            </w:pPr>
            <w:r>
              <w:rPr>
                <w:rFonts w:ascii="Calibri" w:hAnsi="Calibri"/>
                <w:b w:val="0"/>
                <w:sz w:val="19"/>
              </w:rPr>
              <w:t>5</w:t>
            </w:r>
          </w:p>
        </w:tc>
        <w:tc>
          <w:tcPr>
            <w:tcW w:type="dxa" w:w="2608"/>
          </w:tcPr>
          <w:p>
            <w:pPr>
              <w:spacing w:before="10" w:after="10"/>
            </w:pPr>
            <w:r>
              <w:rPr>
                <w:rFonts w:ascii="Calibri" w:hAnsi="Calibri"/>
                <w:b w:val="0"/>
                <w:sz w:val="19"/>
              </w:rPr>
              <w:t>Approval</w:t>
            </w:r>
          </w:p>
        </w:tc>
        <w:tc>
          <w:tcPr>
            <w:tcW w:type="dxa" w:w="10092"/>
          </w:tcPr>
          <w:p>
            <w:pPr>
              <w:spacing w:before="10" w:after="10"/>
            </w:pPr>
            <w:r>
              <w:rPr>
                <w:rFonts w:ascii="Calibri" w:hAnsi="Calibri"/>
                <w:b w:val="0"/>
                <w:sz w:val="19"/>
              </w:rPr>
              <w:t>FOR CCB/BOG DECISION · Sponsor (Sheikh Moeen Akhtar) decides · advised by PM/Finance/CIO/Risk</w:t>
            </w:r>
          </w:p>
        </w:tc>
      </w:tr>
      <w:tr>
        <w:tc>
          <w:tcPr>
            <w:tcW w:type="dxa" w:w="907"/>
            <w:shd w:val="clear" w:color="auto" w:fill="F4F7FA"/>
          </w:tcPr>
          <w:p>
            <w:pPr>
              <w:spacing w:before="10" w:after="10"/>
            </w:pPr>
            <w:r>
              <w:rPr>
                <w:rFonts w:ascii="Calibri" w:hAnsi="Calibri"/>
                <w:b w:val="0"/>
                <w:sz w:val="19"/>
              </w:rPr>
              <w:t>6</w:t>
            </w:r>
          </w:p>
        </w:tc>
        <w:tc>
          <w:tcPr>
            <w:tcW w:type="dxa" w:w="2608"/>
            <w:shd w:val="clear" w:color="auto" w:fill="F4F7FA"/>
          </w:tcPr>
          <w:p>
            <w:pPr>
              <w:spacing w:before="10" w:after="10"/>
            </w:pPr>
            <w:r>
              <w:rPr>
                <w:rFonts w:ascii="Calibri" w:hAnsi="Calibri"/>
                <w:b w:val="0"/>
                <w:sz w:val="19"/>
              </w:rPr>
              <w:t>Log</w:t>
            </w:r>
          </w:p>
        </w:tc>
        <w:tc>
          <w:tcPr>
            <w:tcW w:type="dxa" w:w="10092"/>
            <w:shd w:val="clear" w:color="auto" w:fill="F4F7FA"/>
          </w:tcPr>
          <w:p>
            <w:pPr>
              <w:spacing w:before="10" w:after="10"/>
            </w:pPr>
            <w:r>
              <w:rPr>
                <w:rFonts w:ascii="Calibri" w:hAnsi="Calibri"/>
                <w:b w:val="0"/>
                <w:sz w:val="19"/>
              </w:rPr>
              <w:t>Logged as CR-002 · status FOR CCB DECISION · linked to DEC-02</w:t>
            </w:r>
          </w:p>
        </w:tc>
      </w:tr>
    </w:tbl>
    <w:p>
      <w:pPr>
        <w:spacing w:before="0" w:after="40"/>
      </w:pPr>
      <w:r>
        <w:rPr>
          <w:rFonts w:ascii="Calibri" w:hAnsi="Calibri"/>
          <w:b w:val="0"/>
          <w:sz w:val="21"/>
        </w:rPr>
        <w:t>Execution note: CR-002 is the change request the Status Report "Decisions needed" (DEC-01/DEC-02/DEC-03) routes through. It enters the log before any decision — approved or not — and the baseline moves only through this door.</w:t>
      </w:r>
    </w:p>
    <w:p>
      <w:pPr>
        <w:spacing w:before="160" w:after="0"/>
      </w:pPr>
      <w:r>
        <w:rPr>
          <w:rFonts w:ascii="Calibri" w:hAnsi="Calibri"/>
          <w:b/>
          <w:color w:val="0F2A4A"/>
          <w:sz w:val="26"/>
        </w:rPr>
        <w:t>Section 6 — Validation, Control &amp; Baseline</w:t>
      </w:r>
    </w:p>
    <w:p>
      <w:pPr>
        <w:spacing w:before="60" w:after="40"/>
      </w:pPr>
      <w:r>
        <w:rPr>
          <w:rFonts w:ascii="Calibri" w:hAnsi="Calibri"/>
          <w:b w:val="0"/>
          <w:color w:val="555555"/>
          <w:sz w:val="22"/>
        </w:rPr>
        <w:t>Definition of a valid change-control baseline: every change is on a form in writing with a unique ID · reason and impact verified · justification evidenced · CCB decision recorded · everything logged · the baseline moves only through an approved logged change. The change log is the traceable source of truth.</w:t>
      </w:r>
    </w:p>
    <w:sectPr w:rsidR="00FC693F" w:rsidRPr="0006063C" w:rsidSect="00034616">
      <w:headerReference w:type="default" r:id="rId9"/>
      <w:footerReference w:type="default" r:id="rId10"/>
      <w:pgSz w:w="16838" w:h="11906"/>
      <w:pgMar w:top="720" w:right="720" w:bottom="720" w:left="720"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b w:val="0"/>
        <w:color w:val="808A9B"/>
        <w:sz w:val="17"/>
      </w:rPr>
      <w:t xml:space="preserve">PTB-CHG-001  ·  </w:t>
    </w:r>
    <w:r>
      <w:rPr>
        <w:rFonts w:ascii="Calibri" w:hAnsi="Calibri"/>
        <w:color w:val="808A9B"/>
        <w:sz w:val="17"/>
      </w:rPr>
      <w:t xml:space="preserve">Page </w:t>
    </w:r>
    <w:fldSimple w:instr="PAGE">
      <w:r>
        <w:rPr>
          <w:sz w:val="17"/>
          <w:color w:val="808A9B"/>
        </w:rPr>
        <w:t>1</w:t>
      </w:r>
    </w:fldSimple>
    <w:r>
      <w:rPr>
        <w:rFonts w:ascii="Calibri" w:hAnsi="Calibri"/>
        <w:b w:val="0"/>
        <w:color w:val="808A9B"/>
        <w:sz w:val="17"/>
      </w:rPr>
      <w:t xml:space="preserve">  ·  Pole Trust Bank — Synthetic Classroom Case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color w:val="146B6E"/>
        <w:sz w:val="18"/>
      </w:rPr>
      <w:t>Pole Trust Bank — Integrated AI Banking Implementation Ecosystem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