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color w:val="0F2A4A"/>
          <w:sz w:val="32"/>
        </w:rPr>
        <w:t>Project Health &amp; Status Report</w:t>
      </w:r>
      <w:r>
        <w:rPr>
          <w:rFonts w:ascii="Calibri" w:hAnsi="Calibri"/>
          <w:b/>
          <w:color w:val="B8860B"/>
          <w:sz w:val="22"/>
        </w:rPr>
        <w:t xml:space="preserve"> | PTB-STS-001  ·  Live status · 40% complete</w:t>
      </w:r>
    </w:p>
    <w:p>
      <w:pPr>
        <w:spacing w:before="20" w:after="20"/>
      </w:pPr>
      <w:r>
        <w:rPr>
          <w:rFonts w:ascii="Calibri" w:hAnsi="Calibri"/>
          <w:b w:val="0"/>
          <w:color w:val="555555"/>
          <w:sz w:val="19"/>
        </w:rPr>
        <w:t>One-page status the leaders actually read: red, amber or green against the approved schedule and budget baseline, with variance in numbers — not adjectives. ~Month 10 of 24 (40% elapsed); earned 40% is ~10% behind the ~50% planned; phase budget ~12% over plan. This edition states the root cause of each Planned-vs-Actual variance and its recovery actions.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852"/>
        <w:gridCol w:w="7852"/>
      </w:tblGrid>
      <w:tr>
        <w:tc>
          <w:tcPr>
            <w:tcW w:type="dxa" w:w="2268"/>
            <w:shd w:val="clear" w:color="auto" w:fill="EAF0F5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Document ID</w:t>
            </w:r>
          </w:p>
        </w:tc>
        <w:tc>
          <w:tcPr>
            <w:tcW w:type="dxa" w:w="1321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PTB-STS-001</w:t>
            </w:r>
          </w:p>
        </w:tc>
      </w:tr>
      <w:tr>
        <w:tc>
          <w:tcPr>
            <w:tcW w:type="dxa" w:w="2268"/>
            <w:shd w:val="clear" w:color="auto" w:fill="EAF0F5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Status / RAG</w:t>
            </w:r>
          </w:p>
        </w:tc>
        <w:tc>
          <w:tcPr>
            <w:tcW w:type="dxa" w:w="1321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AMBER — LAGGING (schedule and cost red)</w:t>
            </w:r>
          </w:p>
        </w:tc>
      </w:tr>
      <w:tr>
        <w:tc>
          <w:tcPr>
            <w:tcW w:type="dxa" w:w="2268"/>
            <w:shd w:val="clear" w:color="auto" w:fill="EAF0F5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Progress</w:t>
            </w:r>
          </w:p>
        </w:tc>
        <w:tc>
          <w:tcPr>
            <w:tcW w:type="dxa" w:w="1321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40% complete against the 24-month roadmap</w:t>
            </w:r>
          </w:p>
        </w:tc>
      </w:tr>
      <w:tr>
        <w:tc>
          <w:tcPr>
            <w:tcW w:type="dxa" w:w="2268"/>
            <w:shd w:val="clear" w:color="auto" w:fill="EAF0F5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Schedule variance</w:t>
            </w:r>
          </w:p>
        </w:tc>
        <w:tc>
          <w:tcPr>
            <w:tcW w:type="dxa" w:w="1321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EV 40% vs PV ≈ 50% ⇒ SV −10%; SPI ≈ 0.80 (critical path / heavy activities)</w:t>
            </w:r>
          </w:p>
        </w:tc>
      </w:tr>
      <w:tr>
        <w:tc>
          <w:tcPr>
            <w:tcW w:type="dxa" w:w="2268"/>
            <w:shd w:val="clear" w:color="auto" w:fill="EAF0F5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Budget variance</w:t>
            </w:r>
          </w:p>
        </w:tc>
        <w:tc>
          <w:tcPr>
            <w:tcW w:type="dxa" w:w="1321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~12% actual vs planned phase budget (CV −12%, CPI ≈ 0.89)</w:t>
            </w:r>
          </w:p>
        </w:tc>
      </w:tr>
      <w:tr>
        <w:tc>
          <w:tcPr>
            <w:tcW w:type="dxa" w:w="2268"/>
            <w:shd w:val="clear" w:color="auto" w:fill="EAF0F5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0F2A4A"/>
                <w:sz w:val="16"/>
              </w:rPr>
              <w:t>Reported to</w:t>
            </w:r>
          </w:p>
        </w:tc>
        <w:tc>
          <w:tcPr>
            <w:tcW w:type="dxa" w:w="1321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Project Sponsor (Sheikh Moeen Akhtar) and Executive Steering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color w:val="0F2A4A"/>
          <w:sz w:val="24"/>
        </w:rPr>
        <w:t>Section 1 — Overview &amp; Executive Summary</w:t>
      </w:r>
    </w:p>
    <w:p>
      <w:pPr>
        <w:spacing w:before="20" w:after="20"/>
      </w:pPr>
      <w:r>
        <w:rPr>
          <w:rFonts w:ascii="Calibri" w:hAnsi="Calibri"/>
          <w:b w:val="0"/>
          <w:color w:val="555555"/>
          <w:sz w:val="19"/>
        </w:rPr>
        <w:t>Scope: 7 deliverables (D1–D7) / 48 work packages; ~Month 10 of 24 (40%); USD 11.5M CAPEX / 27.5M TCO, USD 0 released until DEC-02. Bad news first: ~10% critical-path lag and ~12% budget variance; Sponsor decisions (DEC-01/02/03) fund and authorise recovery.</w:t>
      </w:r>
    </w:p>
    <w:p>
      <w:pPr>
        <w:spacing w:before="0" w:after="20"/>
      </w:pPr>
      <w:r>
        <w:rPr>
          <w:rFonts w:ascii="Calibri" w:hAnsi="Calibri"/>
          <w:b/>
          <w:sz w:val="19"/>
        </w:rPr>
        <w:t>Consolidated Planned vs Actual — Root Cause &amp; Recovery: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26"/>
        <w:gridCol w:w="3926"/>
        <w:gridCol w:w="3926"/>
        <w:gridCol w:w="3926"/>
      </w:tblGrid>
      <w:tr>
        <w:tc>
          <w:tcPr>
            <w:tcW w:type="dxa" w:w="2154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Variance (P / A)</w:t>
            </w:r>
          </w:p>
        </w:tc>
        <w:tc>
          <w:tcPr>
            <w:tcW w:type="dxa" w:w="3175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Root cause / reason</w:t>
            </w:r>
          </w:p>
        </w:tc>
        <w:tc>
          <w:tcPr>
            <w:tcW w:type="dxa" w:w="4876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Recovery action</w:t>
            </w:r>
          </w:p>
        </w:tc>
        <w:tc>
          <w:tcPr>
            <w:tcW w:type="dxa" w:w="2154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Owner / route</w:t>
            </w:r>
          </w:p>
        </w:tc>
      </w:tr>
      <w:tr>
        <w:tc>
          <w:tcPr>
            <w:tcW w:type="dxa" w:w="2154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Schedule −10% (SV −10%, SPI ≈ 0.80)</w:t>
            </w:r>
          </w:p>
        </w:tc>
        <w:tc>
          <w:tcPr>
            <w:tcW w:type="dxa" w:w="3175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Late start to D2 foundation (data/vendor readiness opened after the window); D3 single-threaded, no parallelism</w:t>
            </w:r>
          </w:p>
        </w:tc>
        <w:tc>
          <w:tcPr>
            <w:tcW w:type="dxa" w:w="4876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Crash D2/D3 (parallelise + COTS-first + staffing); overlap D3 with M4; rebaseline via CR-002</w:t>
            </w:r>
          </w:p>
        </w:tc>
        <w:tc>
          <w:tcPr>
            <w:tcW w:type="dxa" w:w="2154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PM / Delivery; DEC-01/02/03</w:t>
            </w:r>
          </w:p>
        </w:tc>
      </w:tr>
      <w:tr>
        <w:tc>
          <w:tcPr>
            <w:tcW w:type="dxa" w:w="2154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Cost +12% (CV −12%, CPI ≈ 0.89)</w:t>
            </w:r>
          </w:p>
        </w:tc>
        <w:tc>
          <w:tcPr>
            <w:tcW w:type="dxa" w:w="3175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Heavier-than-estimated D2/D3 foundation; windows hold resources longer; contingency drawn early</w:t>
            </w:r>
          </w:p>
        </w:tc>
        <w:tc>
          <w:tcPr>
            <w:tcW w:type="dxa" w:w="4876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Release DEC-02 funded recovery; contingency via approved CR-002; weekly EVM</w:t>
            </w:r>
          </w:p>
        </w:tc>
        <w:tc>
          <w:tcPr>
            <w:tcW w:type="dxa" w:w="2154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CFO / Sponsor; PM / Finance</w:t>
            </w:r>
          </w:p>
        </w:tc>
      </w:tr>
    </w:tbl>
    <w:p>
      <w:pPr>
        <w:spacing w:before="100" w:after="0"/>
      </w:pPr>
      <w:r>
        <w:rPr>
          <w:rFonts w:ascii="Calibri" w:hAnsi="Calibri"/>
          <w:b/>
          <w:color w:val="0F2A4A"/>
          <w:sz w:val="24"/>
        </w:rPr>
        <w:t>Section 4 — Schedule, Milestones &amp; Critical Path</w:t>
      </w:r>
    </w:p>
    <w:p>
      <w:pPr>
        <w:spacing w:before="20" w:after="20"/>
      </w:pPr>
      <w:r>
        <w:rPr>
          <w:rFonts w:ascii="Calibri" w:hAnsi="Calibri"/>
          <w:b w:val="0"/>
          <w:color w:val="555555"/>
          <w:sz w:val="19"/>
        </w:rPr>
        <w:t>~10% delay on the critical path / heavy activities (D1→D7, zero slack) extends delivery one-for-one.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41"/>
        <w:gridCol w:w="3141"/>
        <w:gridCol w:w="3141"/>
        <w:gridCol w:w="3141"/>
        <w:gridCol w:w="3141"/>
      </w:tblGrid>
      <w:tr>
        <w:tc>
          <w:tcPr>
            <w:tcW w:type="dxa" w:w="3061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Milestone / deliverable</w:t>
            </w:r>
          </w:p>
        </w:tc>
        <w:tc>
          <w:tcPr>
            <w:tcW w:type="dxa" w:w="1360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Baseline</w:t>
            </w:r>
          </w:p>
        </w:tc>
        <w:tc>
          <w:tcPr>
            <w:tcW w:type="dxa" w:w="3742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Actual / status</w:t>
            </w:r>
          </w:p>
        </w:tc>
        <w:tc>
          <w:tcPr>
            <w:tcW w:type="dxa" w:w="1644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Variance</w:t>
            </w:r>
          </w:p>
        </w:tc>
        <w:tc>
          <w:tcPr>
            <w:tcW w:type="dxa" w:w="1247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06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M0 Schedule baseline approved</w:t>
            </w:r>
          </w:p>
        </w:tc>
        <w:tc>
          <w:tcPr>
            <w:tcW w:type="dxa" w:w="1360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M1</w:t>
            </w:r>
          </w:p>
        </w:tc>
        <w:tc>
          <w:tcPr>
            <w:tcW w:type="dxa" w:w="3742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Approved (baseline)</w:t>
            </w:r>
          </w:p>
        </w:tc>
        <w:tc>
          <w:tcPr>
            <w:tcW w:type="dxa" w:w="1644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On track</w:t>
            </w:r>
          </w:p>
        </w:tc>
        <w:tc>
          <w:tcPr>
            <w:tcW w:type="dxa" w:w="1247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1E7A4F"/>
                <w:sz w:val="16"/>
              </w:rPr>
              <w:t>Green</w:t>
            </w:r>
          </w:p>
        </w:tc>
      </w:tr>
      <w:tr>
        <w:tc>
          <w:tcPr>
            <w:tcW w:type="dxa" w:w="3061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M1 Charter &amp; funding gate</w:t>
            </w:r>
          </w:p>
        </w:tc>
        <w:tc>
          <w:tcPr>
            <w:tcW w:type="dxa" w:w="1360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End M02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Approved; funding release open (DEC-02)</w:t>
            </w:r>
          </w:p>
        </w:tc>
        <w:tc>
          <w:tcPr>
            <w:tcW w:type="dxa" w:w="1644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1E7A4F"/>
                <w:sz w:val="16"/>
              </w:rPr>
              <w:t>Green</w:t>
            </w:r>
          </w:p>
        </w:tc>
      </w:tr>
      <w:tr>
        <w:tc>
          <w:tcPr>
            <w:tcW w:type="dxa" w:w="306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M2 Foundation accepted (D2)</w:t>
            </w:r>
          </w:p>
        </w:tc>
        <w:tc>
          <w:tcPr>
            <w:tcW w:type="dxa" w:w="1360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End M04</w:t>
            </w:r>
          </w:p>
        </w:tc>
        <w:tc>
          <w:tcPr>
            <w:tcW w:type="dxa" w:w="3742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Partially complete; data/vendor ready open</w:t>
            </w:r>
          </w:p>
        </w:tc>
        <w:tc>
          <w:tcPr>
            <w:tcW w:type="dxa" w:w="1644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~2 mo late</w:t>
            </w:r>
          </w:p>
        </w:tc>
        <w:tc>
          <w:tcPr>
            <w:tcW w:type="dxa" w:w="1247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C0392B"/>
                <w:sz w:val="16"/>
              </w:rPr>
              <w:t>RED</w:t>
            </w:r>
          </w:p>
        </w:tc>
      </w:tr>
      <w:tr>
        <w:tc>
          <w:tcPr>
            <w:tcW w:type="dxa" w:w="3061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M3 Copilot pilot live (D3)</w:t>
            </w:r>
          </w:p>
        </w:tc>
        <w:tc>
          <w:tcPr>
            <w:tcW w:type="dxa" w:w="1360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End M07</w:t>
            </w:r>
          </w:p>
        </w:tc>
        <w:tc>
          <w:tcPr>
            <w:tcW w:type="dxa" w:w="3742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Slipping — heavy activity</w:t>
            </w:r>
          </w:p>
        </w:tc>
        <w:tc>
          <w:tcPr>
            <w:tcW w:type="dxa" w:w="1644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~2–3 mo late</w:t>
            </w:r>
          </w:p>
        </w:tc>
        <w:tc>
          <w:tcPr>
            <w:tcW w:type="dxa" w:w="1247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C0392B"/>
                <w:sz w:val="16"/>
              </w:rPr>
              <w:t>RED</w:t>
            </w:r>
          </w:p>
        </w:tc>
      </w:tr>
      <w:tr>
        <w:tc>
          <w:tcPr>
            <w:tcW w:type="dxa" w:w="3061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M4 Customer assistant pilot (D4)</w:t>
            </w:r>
          </w:p>
        </w:tc>
        <w:tc>
          <w:tcPr>
            <w:tcW w:type="dxa" w:w="1360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End M11</w:t>
            </w:r>
          </w:p>
        </w:tc>
        <w:tc>
          <w:tcPr>
            <w:tcW w:type="dxa" w:w="3742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At risk of slipping with D3</w:t>
            </w:r>
          </w:p>
        </w:tc>
        <w:tc>
          <w:tcPr>
            <w:tcW w:type="dxa" w:w="1644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6"/>
              </w:rPr>
              <w:t>Attributable</w:t>
            </w:r>
          </w:p>
        </w:tc>
        <w:tc>
          <w:tcPr>
            <w:tcW w:type="dxa" w:w="1247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B8860B"/>
                <w:sz w:val="16"/>
              </w:rPr>
              <w:t>AMBER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sz w:val="19"/>
        </w:rPr>
        <w:t>Root cause (Planned vs Actual): late start to foundation D2 — data/build integration and vendor readiness opened after the D2 window — and single-threaded D3 with no parallelism, so each D2 slip flows one-for-one to D3.</w:t>
      </w:r>
    </w:p>
    <w:p>
      <w:pPr>
        <w:spacing w:before="0" w:after="20"/>
      </w:pPr>
      <w:r>
        <w:rPr>
          <w:rFonts w:ascii="Calibri" w:hAnsi="Calibri"/>
          <w:b w:val="0"/>
          <w:sz w:val="19"/>
        </w:rPr>
        <w:t>Recovery: crash the critical path (parallelise D2/D3 + COTS-first + staffing); overlap D3 with M4 design; fast-track vendor/data sourcing; replan windows via CR-002 once CCB/BOG approves. Owners: PM / Delivery / Procurement.</w:t>
      </w:r>
    </w:p>
    <w:p>
      <w:pPr>
        <w:spacing w:before="100" w:after="0"/>
      </w:pPr>
      <w:r>
        <w:rPr>
          <w:rFonts w:ascii="Calibri" w:hAnsi="Calibri"/>
          <w:b/>
          <w:color w:val="0F2A4A"/>
          <w:sz w:val="24"/>
        </w:rPr>
        <w:t>Section 5 — Cost, Budget &amp; Variance</w:t>
      </w:r>
    </w:p>
    <w:p>
      <w:pPr>
        <w:spacing w:before="20" w:after="20"/>
      </w:pPr>
      <w:r>
        <w:rPr>
          <w:rFonts w:ascii="Calibri" w:hAnsi="Calibri"/>
          <w:b w:val="0"/>
          <w:color w:val="555555"/>
          <w:sz w:val="19"/>
        </w:rPr>
        <w:t>Actual Cost exceeds the Planned phase budget by ~12%, in numbers — CV −12%, CPI ≈ 0.89; governed by the envelope, routed to the Sponsor (DEC-02/DEC-03).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26"/>
        <w:gridCol w:w="3926"/>
        <w:gridCol w:w="3926"/>
        <w:gridCol w:w="3926"/>
      </w:tblGrid>
      <w:tr>
        <w:tc>
          <w:tcPr>
            <w:tcW w:type="dxa" w:w="3628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Measure</w:t>
            </w:r>
          </w:p>
        </w:tc>
        <w:tc>
          <w:tcPr>
            <w:tcW w:type="dxa" w:w="2948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Value</w:t>
            </w:r>
          </w:p>
        </w:tc>
        <w:tc>
          <w:tcPr>
            <w:tcW w:type="dxa" w:w="3515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Variance (numbers)</w:t>
            </w:r>
          </w:p>
        </w:tc>
        <w:tc>
          <w:tcPr>
            <w:tcW w:type="dxa" w:w="1417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62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Planned Budget (phase)</w:t>
            </w:r>
          </w:p>
        </w:tc>
        <w:tc>
          <w:tcPr>
            <w:tcW w:type="dxa" w:w="294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100% plan</w:t>
            </w:r>
          </w:p>
        </w:tc>
        <w:tc>
          <w:tcPr>
            <w:tcW w:type="dxa" w:w="3515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—</w:t>
            </w:r>
          </w:p>
        </w:tc>
        <w:tc>
          <w:tcPr>
            <w:tcW w:type="dxa" w:w="1417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1E7A4F"/>
                <w:sz w:val="17"/>
              </w:rPr>
              <w:t>Green</w:t>
            </w:r>
          </w:p>
        </w:tc>
      </w:tr>
      <w:tr>
        <w:tc>
          <w:tcPr>
            <w:tcW w:type="dxa" w:w="3628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Actual Cost (AC)</w:t>
            </w:r>
          </w:p>
        </w:tc>
        <w:tc>
          <w:tcPr>
            <w:tcW w:type="dxa" w:w="2948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actuals from Finance</w:t>
            </w:r>
          </w:p>
        </w:tc>
        <w:tc>
          <w:tcPr>
            <w:tcW w:type="dxa" w:w="3515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~12% over plan</w:t>
            </w:r>
          </w:p>
        </w:tc>
        <w:tc>
          <w:tcPr>
            <w:tcW w:type="dxa" w:w="1417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C0392B"/>
                <w:sz w:val="17"/>
              </w:rPr>
              <w:t>RED</w:t>
            </w:r>
          </w:p>
        </w:tc>
      </w:tr>
      <w:tr>
        <w:tc>
          <w:tcPr>
            <w:tcW w:type="dxa" w:w="362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Cost Variance (CV)</w:t>
            </w:r>
          </w:p>
        </w:tc>
        <w:tc>
          <w:tcPr>
            <w:tcW w:type="dxa" w:w="294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EV − AC</w:t>
            </w:r>
          </w:p>
        </w:tc>
        <w:tc>
          <w:tcPr>
            <w:tcW w:type="dxa" w:w="3515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~12% negative</w:t>
            </w:r>
          </w:p>
        </w:tc>
        <w:tc>
          <w:tcPr>
            <w:tcW w:type="dxa" w:w="1417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C0392B"/>
                <w:sz w:val="17"/>
              </w:rPr>
              <w:t>RED</w:t>
            </w:r>
          </w:p>
        </w:tc>
      </w:tr>
      <w:tr>
        <w:tc>
          <w:tcPr>
            <w:tcW w:type="dxa" w:w="3628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Cost Performance Index (CPI)</w:t>
            </w:r>
          </w:p>
        </w:tc>
        <w:tc>
          <w:tcPr>
            <w:tcW w:type="dxa" w:w="2948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≈ 0.89</w:t>
            </w:r>
          </w:p>
        </w:tc>
        <w:tc>
          <w:tcPr>
            <w:tcW w:type="dxa" w:w="3515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−11%</w:t>
            </w:r>
          </w:p>
        </w:tc>
        <w:tc>
          <w:tcPr>
            <w:tcW w:type="dxa" w:w="1417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C0392B"/>
                <w:sz w:val="17"/>
              </w:rPr>
              <w:t>RED</w:t>
            </w:r>
          </w:p>
        </w:tc>
      </w:tr>
      <w:tr>
        <w:tc>
          <w:tcPr>
            <w:tcW w:type="dxa" w:w="362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Contingency use</w:t>
            </w:r>
          </w:p>
        </w:tc>
        <w:tc>
          <w:tcPr>
            <w:tcW w:type="dxa" w:w="294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being consumed</w:t>
            </w:r>
          </w:p>
        </w:tc>
        <w:tc>
          <w:tcPr>
            <w:tcW w:type="dxa" w:w="3515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early-burn flag</w:t>
            </w:r>
          </w:p>
        </w:tc>
        <w:tc>
          <w:tcPr>
            <w:tcW w:type="dxa" w:w="1417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B8860B"/>
                <w:sz w:val="17"/>
              </w:rPr>
              <w:t>AMBER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sz w:val="19"/>
        </w:rPr>
        <w:t>Root cause (Planned vs Actual): heavier-than-estimated D2/D3 foundation work (more specialist-effort and vendor cost than PTB-COST-001 planned); extended windows hold resources longer; contingency drawn early to protect the end-state — within the approved USD 11.5M CAPEX / 27.5M TCO envelope.</w:t>
      </w:r>
    </w:p>
    <w:p>
      <w:pPr>
        <w:spacing w:before="0" w:after="20"/>
      </w:pPr>
      <w:r>
        <w:rPr>
          <w:rFonts w:ascii="Calibri" w:hAnsi="Calibri"/>
          <w:b w:val="0"/>
          <w:sz w:val="19"/>
        </w:rPr>
        <w:t>Recovery: release CFO-supported DEC-02 funding; apply contingency only via approved CR-002 rebaseline; COTS-first + price-locked vendor sourcing; weekly EVM check on CPI (≈ 0.89) and contingency burn. Owners: CFO / Sponsor; PM / Finance; PMO.</w:t>
      </w:r>
    </w:p>
    <w:p>
      <w:pPr>
        <w:spacing w:before="100" w:after="0"/>
      </w:pPr>
      <w:r>
        <w:rPr>
          <w:rFonts w:ascii="Calibri" w:hAnsi="Calibri"/>
          <w:b/>
          <w:color w:val="0F2A4A"/>
          <w:sz w:val="24"/>
        </w:rPr>
        <w:t>Section 6 — Risks, Issues &amp; Decisions Needed</w:t>
      </w:r>
    </w:p>
    <w:p>
      <w:pPr>
        <w:spacing w:before="20" w:after="20"/>
      </w:pPr>
      <w:r>
        <w:rPr>
          <w:rFonts w:ascii="Calibri" w:hAnsi="Calibri"/>
          <w:b w:val="0"/>
          <w:color w:val="555555"/>
          <w:sz w:val="19"/>
        </w:rPr>
        <w:t>What moved/fired on the register and what was done; then the Sponsor-only calls, stated plainly.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5"/>
        <w:gridCol w:w="5235"/>
        <w:gridCol w:w="5235"/>
      </w:tblGrid>
      <w:tr>
        <w:tc>
          <w:tcPr>
            <w:tcW w:type="dxa" w:w="3175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Risk / issue</w:t>
            </w:r>
          </w:p>
        </w:tc>
        <w:tc>
          <w:tcPr>
            <w:tcW w:type="dxa" w:w="2948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Current</w:t>
            </w:r>
          </w:p>
        </w:tc>
        <w:tc>
          <w:tcPr>
            <w:tcW w:type="dxa" w:w="7484"/>
            <w:shd w:val="clear" w:color="auto" w:fill="0F2A4A"/>
          </w:tcPr>
          <w:p>
            <w:pPr>
              <w:spacing w:before="8" w:after="8"/>
            </w:pPr>
            <w:r>
              <w:rPr>
                <w:rFonts w:ascii="Calibri" w:hAnsi="Calibri"/>
                <w:b/>
                <w:color w:val="FFFFFF"/>
                <w:sz w:val="17"/>
              </w:rPr>
              <w:t>Action taken / recommendation</w:t>
            </w:r>
          </w:p>
        </w:tc>
      </w:tr>
      <w:tr>
        <w:tc>
          <w:tcPr>
            <w:tcW w:type="dxa" w:w="3175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Integration failure (D2)</w:t>
            </w:r>
          </w:p>
        </w:tc>
        <w:tc>
          <w:tcPr>
            <w:tcW w:type="dxa" w:w="294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FIRED — foundation slip</w:t>
            </w:r>
          </w:p>
        </w:tc>
        <w:tc>
          <w:tcPr>
            <w:tcW w:type="dxa" w:w="7484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Front-load API/data profiling; DEC-10</w:t>
            </w:r>
          </w:p>
        </w:tc>
      </w:tr>
      <w:tr>
        <w:tc>
          <w:tcPr>
            <w:tcW w:type="dxa" w:w="3175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Vendor / platform slip</w:t>
            </w:r>
          </w:p>
        </w:tc>
        <w:tc>
          <w:tcPr>
            <w:tcW w:type="dxa" w:w="2948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RISING — no vendor yet</w:t>
            </w:r>
          </w:p>
        </w:tc>
        <w:tc>
          <w:tcPr>
            <w:tcW w:type="dxa" w:w="7484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Early sourcing; Sponsor decision DEC-07</w:t>
            </w:r>
          </w:p>
        </w:tc>
      </w:tr>
      <w:tr>
        <w:tc>
          <w:tcPr>
            <w:tcW w:type="dxa" w:w="3175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Staff / capacity</w:t>
            </w:r>
          </w:p>
        </w:tc>
        <w:tc>
          <w:tcPr>
            <w:tcW w:type="dxa" w:w="294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RISING — staffing open</w:t>
            </w:r>
          </w:p>
        </w:tc>
        <w:tc>
          <w:tcPr>
            <w:tcW w:type="dxa" w:w="7484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DEC-05/DEC-06 appointments</w:t>
            </w:r>
          </w:p>
        </w:tc>
      </w:tr>
      <w:tr>
        <w:tc>
          <w:tcPr>
            <w:tcW w:type="dxa" w:w="3175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Hallucination / model risk</w:t>
            </w:r>
          </w:p>
        </w:tc>
        <w:tc>
          <w:tcPr>
            <w:tcW w:type="dxa" w:w="2948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MONITORING</w:t>
            </w:r>
          </w:p>
        </w:tc>
        <w:tc>
          <w:tcPr>
            <w:tcW w:type="dxa" w:w="7484"/>
            <w:shd w:val="clear" w:color="auto" w:fill="F4F7FA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Retrieval + handoff controls; pilot gates</w:t>
            </w:r>
          </w:p>
        </w:tc>
      </w:tr>
      <w:tr>
        <w:tc>
          <w:tcPr>
            <w:tcW w:type="dxa" w:w="3175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Regulator concern</w:t>
            </w:r>
          </w:p>
        </w:tc>
        <w:tc>
          <w:tcPr>
            <w:tcW w:type="dxa" w:w="2948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MONITORING</w:t>
            </w:r>
          </w:p>
        </w:tc>
        <w:tc>
          <w:tcPr>
            <w:tcW w:type="dxa" w:w="7484"/>
          </w:tcPr>
          <w:p>
            <w:pPr>
              <w:spacing w:before="8" w:after="8"/>
            </w:pPr>
            <w:r>
              <w:rPr>
                <w:rFonts w:ascii="Calibri" w:hAnsi="Calibri"/>
                <w:b w:val="0"/>
                <w:sz w:val="17"/>
              </w:rPr>
              <w:t>Compliance evidence pack; DEC-09</w:t>
            </w:r>
          </w:p>
        </w:tc>
      </w:tr>
    </w:tbl>
    <w:p>
      <w:pPr>
        <w:spacing w:before="0" w:after="20"/>
      </w:pPr>
      <w:r>
        <w:rPr>
          <w:rFonts w:ascii="Calibri" w:hAnsi="Calibri"/>
          <w:b w:val="0"/>
          <w:sz w:val="19"/>
        </w:rPr>
        <w:t>Decisions needed (Sponsor only): DEC-01 record effective date · DEC-02 release funding · DEC-03 delegate PM authority. Funding decision is implemented via change request CR-002 (PTB-CHG-001), submitted for CCB/BOG decision — the baseline moves only through that change-control firewall.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510" w:right="567" w:bottom="510" w:left="567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/>
        <w:b w:val="0"/>
        <w:color w:val="808A9B"/>
        <w:sz w:val="16"/>
      </w:rPr>
      <w:t xml:space="preserve">PTB-STS-001  ·  </w:t>
    </w:r>
    <w:r>
      <w:rPr>
        <w:rFonts w:ascii="Calibri" w:hAnsi="Calibri"/>
        <w:color w:val="808A9B"/>
        <w:sz w:val="17"/>
      </w:rPr>
      <w:t xml:space="preserve">Page </w:t>
    </w:r>
    <w:fldSimple w:instr="PAGE">
      <w:r>
        <w:rPr>
          <w:sz w:val="17"/>
          <w:color w:val="808A9B"/>
        </w:rPr>
        <w:t>1</w:t>
      </w:r>
    </w:fldSimple>
    <w:r>
      <w:rPr>
        <w:rFonts w:ascii="Calibri" w:hAnsi="Calibri"/>
        <w:b w:val="0"/>
        <w:color w:val="808A9B"/>
        <w:sz w:val="16"/>
      </w:rPr>
      <w:t xml:space="preserve">  ·  Pole Trust Bank — Synthetic Classroom Case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146B6E"/>
        <w:sz w:val="17"/>
      </w:rPr>
      <w:t>Pole Trust Bank — Integrated AI Banking Implementation Ecosystem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