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Calibri" w:hAnsi="Calibri"/>
          <w:b/>
          <w:color w:val="0F2A4A"/>
          <w:sz w:val="34"/>
        </w:rPr>
        <w:t>Project Closure | PTB-CLS-001  ·  Version 1.0  ·  Closing baseline · Sponsor review</w:t>
      </w:r>
    </w:p>
    <w:p>
      <w:pPr>
        <w:spacing w:after="160"/>
      </w:pPr>
      <w:r>
        <w:rPr>
          <w:rFonts w:ascii="Calibri" w:hAnsi="Calibri"/>
          <w:b w:val="0"/>
          <w:color w:val="555555"/>
          <w:sz w:val="22"/>
        </w:rPr>
        <w:t>The formal closing record of the approved Pair 5 programme: a defined closure process, evidence that every deliverable is accepted, the Sponsor’s final acceptance, a documented review, a clear definition of done, captured lessons learned and a closing celebration. Closure happens only through the approved acceptance gate — no scope, schedule or cost baseline moves without it.</w:t>
      </w:r>
    </w:p>
    <w:p>
      <w:pPr>
        <w:spacing w:after="40"/>
      </w:pPr>
      <w:r>
        <w:rPr>
          <w:rFonts w:ascii="Calibri" w:hAnsi="Calibri"/>
          <w:b/>
          <w:color w:val="0F2A4A"/>
          <w:sz w:val="26"/>
        </w:rPr>
        <w:t>Closure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699"/>
        <w:gridCol w:w="7699"/>
      </w:tblGrid>
      <w:tr>
        <w:tc>
          <w:tcPr>
            <w:tcW w:type="dxa" w:w="2268"/>
            <w:shd w:val="clear" w:color="auto" w:fill="F4F7FA"/>
          </w:tcPr>
          <w:p>
            <w:r/>
            <w:r>
              <w:rPr>
                <w:rFonts w:ascii="Calibri" w:hAnsi="Calibri"/>
                <w:b/>
                <w:color w:val="0F2A4A"/>
                <w:sz w:val="19"/>
              </w:rPr>
              <w:t>Document ID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b w:val="0"/>
                <w:sz w:val="19"/>
              </w:rPr>
              <w:t>PTB-CLS-001</w:t>
            </w:r>
          </w:p>
        </w:tc>
      </w:tr>
      <w:tr>
        <w:tc>
          <w:tcPr>
            <w:tcW w:type="dxa" w:w="2268"/>
            <w:shd w:val="clear" w:color="auto" w:fill="F4F7FA"/>
          </w:tcPr>
          <w:p>
            <w:r/>
            <w:r>
              <w:rPr>
                <w:rFonts w:ascii="Calibri" w:hAnsi="Calibri"/>
                <w:b/>
                <w:color w:val="0F2A4A"/>
                <w:sz w:val="19"/>
              </w:rPr>
              <w:t>Status / RAG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b w:val="0"/>
                <w:sz w:val="19"/>
              </w:rPr>
              <w:t>Closure baseline — prepared for Sponsor review</w:t>
            </w:r>
          </w:p>
        </w:tc>
      </w:tr>
      <w:tr>
        <w:tc>
          <w:tcPr>
            <w:tcW w:type="dxa" w:w="2268"/>
            <w:shd w:val="clear" w:color="auto" w:fill="F4F7FA"/>
          </w:tcPr>
          <w:p>
            <w:r/>
            <w:r>
              <w:rPr>
                <w:rFonts w:ascii="Calibri" w:hAnsi="Calibri"/>
                <w:b/>
                <w:color w:val="0F2A4A"/>
                <w:sz w:val="19"/>
              </w:rPr>
              <w:t>Parent baselines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b w:val="0"/>
                <w:sz w:val="19"/>
              </w:rPr>
              <w:t>PTB-CHARTER-001, PTB-SCOPE-001, PTB-SCHED-001, PTB-COST-001, PTB-CHG-001</w:t>
            </w:r>
          </w:p>
        </w:tc>
      </w:tr>
      <w:tr>
        <w:tc>
          <w:tcPr>
            <w:tcW w:type="dxa" w:w="2268"/>
            <w:shd w:val="clear" w:color="auto" w:fill="F4F7FA"/>
          </w:tcPr>
          <w:p>
            <w:r/>
            <w:r>
              <w:rPr>
                <w:rFonts w:ascii="Calibri" w:hAnsi="Calibri"/>
                <w:b/>
                <w:color w:val="0F2A4A"/>
                <w:sz w:val="19"/>
              </w:rPr>
              <w:t>Closing authority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b w:val="0"/>
                <w:sz w:val="19"/>
              </w:rPr>
              <w:t>Sponsor (Sheikh Moeen Akhtar) records final acceptance; PM (Salman Zaman) assembles the closure pack; functional owners validate evidence</w:t>
            </w:r>
          </w:p>
        </w:tc>
      </w:tr>
      <w:tr>
        <w:tc>
          <w:tcPr>
            <w:tcW w:type="dxa" w:w="2268"/>
            <w:shd w:val="clear" w:color="auto" w:fill="F4F7FA"/>
          </w:tcPr>
          <w:p>
            <w:r/>
            <w:r>
              <w:rPr>
                <w:rFonts w:ascii="Calibri" w:hAnsi="Calibri"/>
                <w:b/>
                <w:color w:val="0F2A4A"/>
                <w:sz w:val="19"/>
              </w:rPr>
              <w:t>Acceptance gate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b w:val="0"/>
                <w:sz w:val="19"/>
              </w:rPr>
              <w:t>D1–D7 each close on evidence + Sponsor decision; the programme closes only through final acceptance</w:t>
            </w:r>
          </w:p>
        </w:tc>
      </w:tr>
      <w:tr>
        <w:tc>
          <w:tcPr>
            <w:tcW w:type="dxa" w:w="2268"/>
            <w:shd w:val="clear" w:color="auto" w:fill="F4F7FA"/>
          </w:tcPr>
          <w:p>
            <w:r/>
            <w:r>
              <w:rPr>
                <w:rFonts w:ascii="Calibri" w:hAnsi="Calibri"/>
                <w:b/>
                <w:color w:val="0F2A4A"/>
                <w:sz w:val="19"/>
              </w:rPr>
              <w:t>Control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b w:val="0"/>
                <w:sz w:val="19"/>
              </w:rPr>
              <w:t>Closure routes through PTB-DEC-001 decisions and PTB-CHG-001 (CCB); change log is the traceable record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sz w:val="12"/>
        </w:rPr>
      </w:r>
    </w:p>
    <w:p>
      <w:pPr>
        <w:spacing w:after="40"/>
      </w:pPr>
      <w:r>
        <w:rPr>
          <w:rFonts w:ascii="Calibri" w:hAnsi="Calibri"/>
          <w:b/>
          <w:color w:val="0F2A4A"/>
          <w:sz w:val="26"/>
        </w:rPr>
        <w:t>Section 1 — Process Closure</w:t>
      </w:r>
    </w:p>
    <w:p>
      <w:pPr>
        <w:spacing w:after="160"/>
      </w:pPr>
      <w:r>
        <w:rPr>
          <w:rFonts w:ascii="Calibri" w:hAnsi="Calibri"/>
          <w:b w:val="0"/>
          <w:color w:val="555555"/>
          <w:sz w:val="22"/>
        </w:rPr>
        <w:t>Closure is a defined, sequential process (PMBoK Close Project or Phase) — it does not happen by silence or drift: verify the work is complete and accepted, capture lessons, and hand over the durable records.</w:t>
      </w:r>
    </w:p>
    <w:p>
      <w:pPr>
        <w:spacing w:after="120"/>
      </w:pPr>
      <w:r>
        <w:rPr>
          <w:rFonts w:ascii="Calibri" w:hAnsi="Calibri"/>
          <w:b w:val="0"/>
          <w:sz w:val="21"/>
        </w:rPr>
        <w:t>Steps: 1 Verify (all scope delivered, D1–D7 accepted, open decisions closed / residual change routed to the CCB) · 2 Record (complete the closure evidence pack and review; capture lessons; hand over knowledge, controls and benefits) · 3 Decide (Sponsor records final acceptance). Closure is a gate, not a gradual fade.</w:t>
      </w:r>
    </w:p>
    <w:p>
      <w:pPr>
        <w:spacing w:after="40"/>
      </w:pPr>
      <w:r>
        <w:rPr>
          <w:rFonts w:ascii="Calibri" w:hAnsi="Calibri"/>
          <w:b/>
          <w:color w:val="0F2A4A"/>
          <w:sz w:val="26"/>
        </w:rPr>
        <w:t>Section 2 — Deliverable Accepted</w:t>
      </w:r>
    </w:p>
    <w:p>
      <w:pPr>
        <w:spacing w:after="160"/>
      </w:pPr>
      <w:r>
        <w:rPr>
          <w:rFonts w:ascii="Calibri" w:hAnsi="Calibri"/>
          <w:b w:val="0"/>
          <w:color w:val="555555"/>
          <w:sz w:val="22"/>
        </w:rPr>
        <w:t>Every controlled deliverable D1–D7 is formally accepted with evidence before the project can close — validated by the functional owner and recorded as the Sponsor’s consolidated decision.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849"/>
        <w:gridCol w:w="3849"/>
        <w:gridCol w:w="3849"/>
        <w:gridCol w:w="3849"/>
      </w:tblGrid>
      <w:tr>
        <w:tc>
          <w:tcPr>
            <w:tcW w:type="dxa" w:w="3849"/>
            <w:shd w:val="clear" w:color="auto" w:fill="0F2A4A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Deliverable</w:t>
            </w:r>
          </w:p>
        </w:tc>
        <w:tc>
          <w:tcPr>
            <w:tcW w:type="dxa" w:w="3849"/>
            <w:shd w:val="clear" w:color="auto" w:fill="0F2A4A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Window</w:t>
            </w:r>
          </w:p>
        </w:tc>
        <w:tc>
          <w:tcPr>
            <w:tcW w:type="dxa" w:w="3849"/>
            <w:shd w:val="clear" w:color="auto" w:fill="0F2A4A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Acceptance evidence required</w:t>
            </w:r>
          </w:p>
        </w:tc>
        <w:tc>
          <w:tcPr>
            <w:tcW w:type="dxa" w:w="3849"/>
            <w:shd w:val="clear" w:color="auto" w:fill="0F2A4A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Functional evidence owner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8"/>
              </w:rPr>
              <w:t>D1 Initiation &amp; planning baselines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/>
                <w:b w:val="0"/>
                <w:sz w:val="18"/>
              </w:rPr>
              <w:t>M1–2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sz w:val="18"/>
              </w:rPr>
              <w:t>Sponsor-approved decision/charter; baselines accepted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8"/>
              </w:rPr>
              <w:t>PM assembles; Sponsor approves</w:t>
            </w:r>
          </w:p>
        </w:tc>
      </w:tr>
      <w:tr>
        <w:tc>
          <w:tcPr>
            <w:tcW w:type="dxa" w:w="2381"/>
            <w:shd w:val="clear" w:color="auto" w:fill="F4F7FA"/>
          </w:tcPr>
          <w:p>
            <w:r/>
            <w:r>
              <w:rPr>
                <w:rFonts w:ascii="Calibri" w:hAnsi="Calibri"/>
                <w:b w:val="0"/>
                <w:sz w:val="18"/>
              </w:rPr>
              <w:t>D2 AI governance &amp; architecture foundation</w:t>
            </w:r>
          </w:p>
        </w:tc>
        <w:tc>
          <w:tcPr>
            <w:tcW w:type="dxa" w:w="1020"/>
            <w:shd w:val="clear" w:color="auto" w:fill="F4F7FA"/>
          </w:tcPr>
          <w:p>
            <w:r/>
            <w:r>
              <w:rPr>
                <w:rFonts w:ascii="Calibri" w:hAnsi="Calibri"/>
                <w:b w:val="0"/>
                <w:sz w:val="18"/>
              </w:rPr>
              <w:t>M3–4</w:t>
            </w:r>
          </w:p>
        </w:tc>
        <w:tc>
          <w:tcPr>
            <w:tcW w:type="dxa" w:w="3118"/>
            <w:shd w:val="clear" w:color="auto" w:fill="F4F7FA"/>
          </w:tcPr>
          <w:p>
            <w:r/>
            <w:r>
              <w:rPr>
                <w:rFonts w:ascii="Calibri" w:hAnsi="Calibri"/>
                <w:b w:val="0"/>
                <w:sz w:val="18"/>
              </w:rPr>
              <w:t>Governance model, target architecture, gate checklist</w:t>
            </w:r>
          </w:p>
        </w:tc>
        <w:tc>
          <w:tcPr>
            <w:tcW w:type="dxa" w:w="1984"/>
            <w:shd w:val="clear" w:color="auto" w:fill="F4F7FA"/>
          </w:tcPr>
          <w:p>
            <w:r/>
            <w:r>
              <w:rPr>
                <w:rFonts w:ascii="Calibri" w:hAnsi="Calibri"/>
                <w:b w:val="0"/>
                <w:sz w:val="18"/>
              </w:rPr>
              <w:t>CIO / control functions validate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8"/>
              </w:rPr>
              <w:t>D3 Internal productivity copilot MVP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/>
                <w:b w:val="0"/>
                <w:sz w:val="18"/>
              </w:rPr>
              <w:t>M5–7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sz w:val="18"/>
              </w:rPr>
              <w:t>Pilot, knowledge/prompt library, human-verification, measurement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8"/>
              </w:rPr>
              <w:t>Copilot PO + Risk/Security validate</w:t>
            </w:r>
          </w:p>
        </w:tc>
      </w:tr>
      <w:tr>
        <w:tc>
          <w:tcPr>
            <w:tcW w:type="dxa" w:w="2381"/>
            <w:shd w:val="clear" w:color="auto" w:fill="F4F7FA"/>
          </w:tcPr>
          <w:p>
            <w:r/>
            <w:r>
              <w:rPr>
                <w:rFonts w:ascii="Calibri" w:hAnsi="Calibri"/>
                <w:b w:val="0"/>
                <w:sz w:val="18"/>
              </w:rPr>
              <w:t>D4 Customer digital assistant MVP</w:t>
            </w:r>
          </w:p>
        </w:tc>
        <w:tc>
          <w:tcPr>
            <w:tcW w:type="dxa" w:w="1020"/>
            <w:shd w:val="clear" w:color="auto" w:fill="F4F7FA"/>
          </w:tcPr>
          <w:p>
            <w:r/>
            <w:r>
              <w:rPr>
                <w:rFonts w:ascii="Calibri" w:hAnsi="Calibri"/>
                <w:b w:val="0"/>
                <w:sz w:val="18"/>
              </w:rPr>
              <w:t>M8–11</w:t>
            </w:r>
          </w:p>
        </w:tc>
        <w:tc>
          <w:tcPr>
            <w:tcW w:type="dxa" w:w="3118"/>
            <w:shd w:val="clear" w:color="auto" w:fill="F4F7FA"/>
          </w:tcPr>
          <w:p>
            <w:r/>
            <w:r>
              <w:rPr>
                <w:rFonts w:ascii="Calibri" w:hAnsi="Calibri"/>
                <w:b w:val="0"/>
                <w:sz w:val="18"/>
              </w:rPr>
              <w:t>Knowledge, handoff, privacy/security, audit, pilot, measurement</w:t>
            </w:r>
          </w:p>
        </w:tc>
        <w:tc>
          <w:tcPr>
            <w:tcW w:type="dxa" w:w="1984"/>
            <w:shd w:val="clear" w:color="auto" w:fill="F4F7FA"/>
          </w:tcPr>
          <w:p>
            <w:r/>
            <w:r>
              <w:rPr>
                <w:rFonts w:ascii="Calibri" w:hAnsi="Calibri"/>
                <w:b w:val="0"/>
                <w:sz w:val="18"/>
              </w:rPr>
              <w:t>Retail / Contact Centre PO + controls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8"/>
              </w:rPr>
              <w:t>D5 Lending decision-support MVP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/>
                <w:b w:val="0"/>
                <w:sz w:val="18"/>
              </w:rPr>
              <w:t>M12–15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sz w:val="18"/>
              </w:rPr>
              <w:t>Completeness/risk summaries, override/audit, human authority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8"/>
              </w:rPr>
              <w:t>Lending PO + Credit Risk/Compliance</w:t>
            </w:r>
          </w:p>
        </w:tc>
      </w:tr>
      <w:tr>
        <w:tc>
          <w:tcPr>
            <w:tcW w:type="dxa" w:w="2381"/>
            <w:shd w:val="clear" w:color="auto" w:fill="F4F7FA"/>
          </w:tcPr>
          <w:p>
            <w:r/>
            <w:r>
              <w:rPr>
                <w:rFonts w:ascii="Calibri" w:hAnsi="Calibri"/>
                <w:b w:val="0"/>
                <w:sz w:val="18"/>
              </w:rPr>
              <w:t>D6 Fraud investigator-assist MVP</w:t>
            </w:r>
          </w:p>
        </w:tc>
        <w:tc>
          <w:tcPr>
            <w:tcW w:type="dxa" w:w="1020"/>
            <w:shd w:val="clear" w:color="auto" w:fill="F4F7FA"/>
          </w:tcPr>
          <w:p>
            <w:r/>
            <w:r>
              <w:rPr>
                <w:rFonts w:ascii="Calibri" w:hAnsi="Calibri"/>
                <w:b w:val="0"/>
                <w:sz w:val="18"/>
              </w:rPr>
              <w:t>M16–18</w:t>
            </w:r>
          </w:p>
        </w:tc>
        <w:tc>
          <w:tcPr>
            <w:tcW w:type="dxa" w:w="3118"/>
            <w:shd w:val="clear" w:color="auto" w:fill="F4F7FA"/>
          </w:tcPr>
          <w:p>
            <w:r/>
            <w:r>
              <w:rPr>
                <w:rFonts w:ascii="Calibri" w:hAnsi="Calibri"/>
                <w:b w:val="0"/>
                <w:sz w:val="18"/>
              </w:rPr>
              <w:t>Alert-prioritization, thresholds, investigator review, no auto action</w:t>
            </w:r>
          </w:p>
        </w:tc>
        <w:tc>
          <w:tcPr>
            <w:tcW w:type="dxa" w:w="1984"/>
            <w:shd w:val="clear" w:color="auto" w:fill="F4F7FA"/>
          </w:tcPr>
          <w:p>
            <w:r/>
            <w:r>
              <w:rPr>
                <w:rFonts w:ascii="Calibri" w:hAnsi="Calibri"/>
                <w:b w:val="0"/>
                <w:sz w:val="18"/>
              </w:rPr>
              <w:t>Fraud PO + Financial Crime/Risk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/>
                <w:b w:val="0"/>
                <w:sz w:val="18"/>
              </w:rPr>
              <w:t>D7 Scale, transition &amp; closure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/>
                <w:b w:val="0"/>
                <w:sz w:val="18"/>
              </w:rPr>
              <w:t>M19–24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sz w:val="18"/>
              </w:rPr>
              <w:t>Scale decisions, support, knowledge transfer, benefits, lessons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b w:val="0"/>
                <w:sz w:val="18"/>
              </w:rPr>
              <w:t>Operations owners validate transition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sz w:val="12"/>
        </w:rPr>
      </w:r>
    </w:p>
    <w:p>
      <w:pPr>
        <w:spacing w:after="40"/>
      </w:pPr>
      <w:r>
        <w:rPr>
          <w:rFonts w:ascii="Calibri" w:hAnsi="Calibri"/>
          <w:b/>
          <w:color w:val="0F2A4A"/>
          <w:sz w:val="26"/>
        </w:rPr>
        <w:t>Section 3 — Final Acceptance</w:t>
      </w:r>
    </w:p>
    <w:p>
      <w:pPr>
        <w:spacing w:after="160"/>
      </w:pPr>
      <w:r>
        <w:rPr>
          <w:rFonts w:ascii="Calibri" w:hAnsi="Calibri"/>
          <w:b w:val="0"/>
          <w:color w:val="555555"/>
          <w:sz w:val="22"/>
        </w:rPr>
        <w:t>The consolidated Sponsor decision that closes the programme once all seven deliverables are accepted.</w:t>
      </w:r>
    </w:p>
    <w:p>
      <w:pPr>
        <w:spacing w:after="120"/>
      </w:pPr>
      <w:r>
        <w:rPr>
          <w:rFonts w:ascii="Calibri" w:hAnsi="Calibri"/>
          <w:b w:val="0"/>
          <w:sz w:val="21"/>
        </w:rPr>
        <w:t>Pre-conditions: all D1–D7 accepted; KPIs / benefits / transition reviewed; residual change or decisions logged or carried. Decision: Sponsor records accept / conditional / reject with conditions in writing. Effect: programme closes, operations own the live service, benefits transfer to Finance/operations, post-implementation review scheduled (D7).</w:t>
      </w:r>
    </w:p>
    <w:p>
      <w:pPr>
        <w:spacing w:after="40"/>
      </w:pPr>
      <w:r>
        <w:rPr>
          <w:rFonts w:ascii="Calibri" w:hAnsi="Calibri"/>
          <w:b/>
          <w:color w:val="0F2A4A"/>
          <w:sz w:val="26"/>
        </w:rPr>
        <w:t>Section 4 — Review of the Document</w:t>
      </w:r>
    </w:p>
    <w:p>
      <w:pPr>
        <w:spacing w:after="160"/>
      </w:pPr>
      <w:r>
        <w:rPr>
          <w:rFonts w:ascii="Calibri" w:hAnsi="Calibri"/>
          <w:b w:val="0"/>
          <w:color w:val="555555"/>
          <w:sz w:val="22"/>
        </w:rPr>
        <w:t>A deliberate, documented review of the closure records before final acceptance.</w:t>
      </w:r>
    </w:p>
    <w:p>
      <w:pPr>
        <w:spacing w:after="120"/>
      </w:pPr>
      <w:r>
        <w:rPr>
          <w:rFonts w:ascii="Calibri" w:hAnsi="Calibri"/>
          <w:b w:val="0"/>
          <w:sz w:val="21"/>
        </w:rPr>
        <w:t>Checks: deliverable completeness (D1–D7 present with acceptance evidence) · records completeness (change log closed or carried, decisions logged, risk register finalised) · closure-record accuracy · handover readiness (knowledge, support, SLA owners, benefits accountability). A review that finds gaps defers final acceptance until closed.</w:t>
      </w:r>
    </w:p>
    <w:p>
      <w:pPr>
        <w:spacing w:after="40"/>
      </w:pPr>
      <w:r>
        <w:rPr>
          <w:rFonts w:ascii="Calibri" w:hAnsi="Calibri"/>
          <w:b/>
          <w:color w:val="0F2A4A"/>
          <w:sz w:val="26"/>
        </w:rPr>
        <w:t>Section 5 — Definition of Done</w:t>
      </w:r>
    </w:p>
    <w:p>
      <w:pPr>
        <w:spacing w:after="160"/>
      </w:pPr>
      <w:r>
        <w:rPr>
          <w:rFonts w:ascii="Calibri" w:hAnsi="Calibri"/>
          <w:b w:val="0"/>
          <w:color w:val="555555"/>
          <w:sz w:val="22"/>
        </w:rPr>
        <w:t>The agreed checklist that a deliverable — and then the whole programme — must satisfy to be called done.</w:t>
      </w:r>
    </w:p>
    <w:p>
      <w:pPr>
        <w:spacing w:after="120"/>
      </w:pPr>
      <w:r>
        <w:rPr>
          <w:rFonts w:ascii="Calibri" w:hAnsi="Calibri"/>
          <w:b w:val="0"/>
          <w:sz w:val="21"/>
        </w:rPr>
        <w:t>Deliverable done: meets PTB-SCOPE-001 acceptance criteria, validated by the functional owner, recorded. Programme done: all seven deliverables accepted, benefits/KPI reviewed with Finance, operations handed over. Closure done: review passes, lessons captured/archived, Sponsor records final acceptance. If any item is not done, it is not closed.</w:t>
      </w:r>
    </w:p>
    <w:p>
      <w:pPr>
        <w:spacing w:after="40"/>
      </w:pPr>
      <w:r>
        <w:rPr>
          <w:rFonts w:ascii="Calibri" w:hAnsi="Calibri"/>
          <w:b/>
          <w:color w:val="0F2A4A"/>
          <w:sz w:val="26"/>
        </w:rPr>
        <w:t>Section 6 — Lessons Learned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33"/>
        <w:gridCol w:w="5133"/>
        <w:gridCol w:w="5133"/>
      </w:tblGrid>
      <w:tr>
        <w:tc>
          <w:tcPr>
            <w:tcW w:type="dxa" w:w="5133"/>
            <w:shd w:val="clear" w:color="auto" w:fill="0F2A4A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Lesson</w:t>
            </w:r>
          </w:p>
        </w:tc>
        <w:tc>
          <w:tcPr>
            <w:tcW w:type="dxa" w:w="5133"/>
            <w:shd w:val="clear" w:color="auto" w:fill="0F2A4A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What happened</w:t>
            </w:r>
          </w:p>
        </w:tc>
        <w:tc>
          <w:tcPr>
            <w:tcW w:type="dxa" w:w="5133"/>
            <w:shd w:val="clear" w:color="auto" w:fill="0F2A4A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Recommendation for the organisation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sz w:val="18"/>
              </w:rPr>
              <w:t>Plan updates &amp; acceptance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b w:val="0"/>
                <w:sz w:val="18"/>
              </w:rPr>
              <w:t>Baselines reviewed through the change-control firewall before closure</w:t>
            </w:r>
          </w:p>
        </w:tc>
        <w:tc>
          <w:tcPr>
            <w:tcW w:type="dxa" w:w="3005"/>
          </w:tcPr>
          <w:p>
            <w:r/>
            <w:r>
              <w:rPr>
                <w:rFonts w:ascii="Calibri" w:hAnsi="Calibri"/>
                <w:b w:val="0"/>
                <w:sz w:val="18"/>
              </w:rPr>
              <w:t>Always gate baseline changes through PTB-CHG-001 before closure</w:t>
            </w:r>
          </w:p>
        </w:tc>
      </w:tr>
      <w:tr>
        <w:tc>
          <w:tcPr>
            <w:tcW w:type="dxa" w:w="1814"/>
            <w:shd w:val="clear" w:color="auto" w:fill="F4F7FA"/>
          </w:tcPr>
          <w:p>
            <w:r/>
            <w:r>
              <w:rPr>
                <w:rFonts w:ascii="Calibri" w:hAnsi="Calibri"/>
                <w:b w:val="0"/>
                <w:sz w:val="18"/>
              </w:rPr>
              <w:t>Operational handover</w:t>
            </w:r>
          </w:p>
        </w:tc>
        <w:tc>
          <w:tcPr>
            <w:tcW w:type="dxa" w:w="3685"/>
            <w:shd w:val="clear" w:color="auto" w:fill="F4F7FA"/>
          </w:tcPr>
          <w:p>
            <w:r/>
            <w:r>
              <w:rPr>
                <w:rFonts w:ascii="Calibri" w:hAnsi="Calibri"/>
                <w:b w:val="0"/>
                <w:sz w:val="18"/>
              </w:rPr>
              <w:t>Support model, SLA owners and benefits accountability transferred at D7</w:t>
            </w:r>
          </w:p>
        </w:tc>
        <w:tc>
          <w:tcPr>
            <w:tcW w:type="dxa" w:w="3005"/>
            <w:shd w:val="clear" w:color="auto" w:fill="F4F7FA"/>
          </w:tcPr>
          <w:p>
            <w:r/>
            <w:r>
              <w:rPr>
                <w:rFonts w:ascii="Calibri" w:hAnsi="Calibri"/>
                <w:b w:val="0"/>
                <w:sz w:val="18"/>
              </w:rPr>
              <w:t>Start operational-transition planning before the last phase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/>
                <w:b w:val="0"/>
                <w:sz w:val="18"/>
              </w:rPr>
              <w:t>Benefits measurement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b w:val="0"/>
                <w:sz w:val="18"/>
              </w:rPr>
              <w:t>KPI and benefits evidence reviewed with Finance before closure</w:t>
            </w:r>
          </w:p>
        </w:tc>
        <w:tc>
          <w:tcPr>
            <w:tcW w:type="dxa" w:w="3005"/>
          </w:tcPr>
          <w:p>
            <w:r/>
            <w:r>
              <w:rPr>
                <w:rFonts w:ascii="Calibri" w:hAnsi="Calibri"/>
                <w:b w:val="0"/>
                <w:sz w:val="18"/>
              </w:rPr>
              <w:t>Freeze benefit baselines early and measure to closure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sz w:val="12"/>
        </w:rPr>
      </w:r>
    </w:p>
    <w:p>
      <w:pPr>
        <w:spacing w:after="40"/>
      </w:pPr>
      <w:r>
        <w:rPr>
          <w:rFonts w:ascii="Calibri" w:hAnsi="Calibri"/>
          <w:b/>
          <w:color w:val="0F2A4A"/>
          <w:sz w:val="26"/>
        </w:rPr>
        <w:t>Section 7 — Celebrate &amp; Recognition</w:t>
      </w:r>
    </w:p>
    <w:p>
      <w:pPr>
        <w:spacing w:after="160"/>
      </w:pPr>
      <w:r>
        <w:rPr>
          <w:rFonts w:ascii="Calibri" w:hAnsi="Calibri"/>
          <w:b w:val="0"/>
          <w:color w:val="555555"/>
          <w:sz w:val="22"/>
        </w:rPr>
        <w:t>A deliberate, documented recognition milestone after final acceptance — earned by a real definition of done, never a substitute for closure.</w:t>
      </w:r>
    </w:p>
    <w:p>
      <w:pPr>
        <w:spacing w:after="120"/>
      </w:pPr>
      <w:r>
        <w:rPr>
          <w:rFonts w:ascii="Calibri" w:hAnsi="Calibri"/>
          <w:b w:val="0"/>
          <w:sz w:val="21"/>
        </w:rPr>
        <w:t>Recognition and thanks recorded in the closure pack; named product owners and control functions acknowledged; shared with stakeholders on the comms cadence. Celebrate after the Sponsor’s recorded final acceptance — never before; it is the closing note, not the decision.</w:t>
      </w:r>
    </w:p>
    <w:p>
      <w:pPr>
        <w:spacing w:after="40"/>
      </w:pPr>
      <w:r>
        <w:rPr>
          <w:rFonts w:ascii="Calibri" w:hAnsi="Calibri"/>
          <w:b/>
          <w:color w:val="0F2A4A"/>
          <w:sz w:val="26"/>
        </w:rPr>
        <w:t>Section 8 — Validation &amp; Closure Record</w:t>
      </w:r>
    </w:p>
    <w:p>
      <w:pPr>
        <w:spacing w:after="120"/>
      </w:pPr>
      <w:r>
        <w:rPr>
          <w:rFonts w:ascii="Calibri" w:hAnsi="Calibri"/>
          <w:b w:val="0"/>
          <w:sz w:val="21"/>
        </w:rPr>
        <w:t>Definition of a valid closure baseline: every deliverable accepted on the record · review completed with no open critical gaps · lessons captured and archived · final acceptance recorded by the Sponsor · closure log records the decision and conditions · residual changes/decisions logged or carried · records archived for audit and post-implementation review. The baseline moves to closed through the Sponsor’s recorded decision and the closure log — nothing is assumed.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720" w:right="720" w:bottom="720" w:left="720" w:header="227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color w:val="808A9B"/>
        <w:sz w:val="17"/>
      </w:rPr>
      <w:t xml:space="preserve">PTB-CLS-001  ·  Page </w:t>
    </w:r>
    <w:fldSimple w:instr="PAGE"/>
    <w:r>
      <w:rPr>
        <w:rFonts w:ascii="Calibri" w:hAnsi="Calibri"/>
        <w:color w:val="808A9B"/>
        <w:sz w:val="17"/>
      </w:rPr>
      <w:t xml:space="preserve">  ·  Pole Trust Bank — Synthetic Classroom Case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146B6E"/>
        <w:sz w:val="18"/>
      </w:rPr>
      <w:t>Pole Trust Bank — Integrated AI Banking Implementation Ecosystem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