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  <w:jc w:val="center"/>
      </w:pPr>
      <w:r>
        <w:rPr>
          <w:rFonts w:ascii="Calibri" w:hAnsi="Calibri"/>
          <w:b/>
          <w:color w:val="0F2A4A"/>
          <w:sz w:val="34"/>
        </w:rPr>
        <w:t>Project Health &amp; Status Report</w:t>
      </w:r>
      <w:r>
        <w:rPr>
          <w:rFonts w:ascii="Calibri" w:hAnsi="Calibri"/>
          <w:b/>
          <w:color w:val="B8860B"/>
          <w:sz w:val="24"/>
        </w:rPr>
        <w:t xml:space="preserve"> | PTB-STS-001  ·  Live status · 40% complete</w:t>
      </w:r>
    </w:p>
    <w:p>
      <w:pPr>
        <w:spacing w:before="60" w:after="40"/>
      </w:pPr>
      <w:r>
        <w:rPr>
          <w:rFonts w:ascii="Calibri" w:hAnsi="Calibri"/>
          <w:b w:val="0"/>
          <w:color w:val="555555"/>
          <w:sz w:val="22"/>
        </w:rPr>
        <w:t>One-page status the leaders actually read: red, amber or green against the approved schedule and budget baseline, with the variance in numbers — not adjectives. The programme is ~Month 10 of 24 (40% elapsed); earned progress of 40% is ~10% behind the ~50% planned, and the phase budget is ~12% over plan.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699"/>
        <w:gridCol w:w="7699"/>
      </w:tblGrid>
      <w:tr>
        <w:tc>
          <w:tcPr>
            <w:tcW w:type="dxa" w:w="2551"/>
            <w:shd w:val="clear" w:color="auto" w:fill="EAF0F5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color w:val="0F2A4A"/>
                <w:sz w:val="19"/>
              </w:rPr>
              <w:t>Document ID</w:t>
            </w:r>
          </w:p>
        </w:tc>
        <w:tc>
          <w:tcPr>
            <w:tcW w:type="dxa" w:w="12927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sz w:val="19"/>
              </w:rPr>
              <w:t>PTB-STS-001</w:t>
            </w:r>
          </w:p>
        </w:tc>
      </w:tr>
      <w:tr>
        <w:tc>
          <w:tcPr>
            <w:tcW w:type="dxa" w:w="2551"/>
            <w:shd w:val="clear" w:color="auto" w:fill="EAF0F5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color w:val="0F2A4A"/>
                <w:sz w:val="19"/>
              </w:rPr>
              <w:t>Status / RAG</w:t>
            </w:r>
          </w:p>
        </w:tc>
        <w:tc>
          <w:tcPr>
            <w:tcW w:type="dxa" w:w="12927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sz w:val="19"/>
              </w:rPr>
              <w:t>AMBER — LAGGING (schedule and cost red)</w:t>
            </w:r>
          </w:p>
        </w:tc>
      </w:tr>
      <w:tr>
        <w:tc>
          <w:tcPr>
            <w:tcW w:type="dxa" w:w="2551"/>
            <w:shd w:val="clear" w:color="auto" w:fill="EAF0F5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color w:val="0F2A4A"/>
                <w:sz w:val="19"/>
              </w:rPr>
              <w:t>Progress</w:t>
            </w:r>
          </w:p>
        </w:tc>
        <w:tc>
          <w:tcPr>
            <w:tcW w:type="dxa" w:w="12927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sz w:val="19"/>
              </w:rPr>
              <w:t>40% complete against the 24-month roadmap</w:t>
            </w:r>
          </w:p>
        </w:tc>
      </w:tr>
      <w:tr>
        <w:tc>
          <w:tcPr>
            <w:tcW w:type="dxa" w:w="2551"/>
            <w:shd w:val="clear" w:color="auto" w:fill="EAF0F5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color w:val="0F2A4A"/>
                <w:sz w:val="19"/>
              </w:rPr>
              <w:t>Schedule variance</w:t>
            </w:r>
          </w:p>
        </w:tc>
        <w:tc>
          <w:tcPr>
            <w:tcW w:type="dxa" w:w="12927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sz w:val="19"/>
              </w:rPr>
              <w:t>EV 40% vs PV ≈ 50% ⇒ SV −10%; SPI ≈ 0.80 (critical path / heavy activities)</w:t>
            </w:r>
          </w:p>
        </w:tc>
      </w:tr>
      <w:tr>
        <w:tc>
          <w:tcPr>
            <w:tcW w:type="dxa" w:w="2551"/>
            <w:shd w:val="clear" w:color="auto" w:fill="EAF0F5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color w:val="0F2A4A"/>
                <w:sz w:val="19"/>
              </w:rPr>
              <w:t>Budget variance</w:t>
            </w:r>
          </w:p>
        </w:tc>
        <w:tc>
          <w:tcPr>
            <w:tcW w:type="dxa" w:w="12927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sz w:val="19"/>
              </w:rPr>
              <w:t>~12% actual vs planned phase budget (CV −12%, CPI ≈ 0.89)</w:t>
            </w:r>
          </w:p>
        </w:tc>
      </w:tr>
      <w:tr>
        <w:tc>
          <w:tcPr>
            <w:tcW w:type="dxa" w:w="2551"/>
            <w:shd w:val="clear" w:color="auto" w:fill="EAF0F5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color w:val="0F2A4A"/>
                <w:sz w:val="19"/>
              </w:rPr>
              <w:t>Reported to</w:t>
            </w:r>
          </w:p>
        </w:tc>
        <w:tc>
          <w:tcPr>
            <w:tcW w:type="dxa" w:w="12927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sz w:val="19"/>
              </w:rPr>
              <w:t>Project Sponsor (Sheikh Moeen Akhtar) and Executive Steering</w:t>
            </w:r>
          </w:p>
        </w:tc>
      </w:tr>
    </w:tbl>
    <w:p>
      <w:pPr>
        <w:spacing w:before="160" w:after="0"/>
      </w:pPr>
      <w:r>
        <w:rPr>
          <w:rFonts w:ascii="Calibri" w:hAnsi="Calibri"/>
          <w:b/>
          <w:color w:val="0F2A4A"/>
          <w:sz w:val="26"/>
        </w:rPr>
        <w:t>Section 1 — Project Overview &amp; Executive Summary</w:t>
      </w:r>
    </w:p>
    <w:p>
      <w:pPr>
        <w:spacing w:before="60" w:after="40"/>
      </w:pPr>
      <w:r>
        <w:rPr>
          <w:rFonts w:ascii="Calibri" w:hAnsi="Calibri"/>
          <w:b w:val="0"/>
          <w:color w:val="555555"/>
          <w:sz w:val="22"/>
        </w:rPr>
        <w:t>Scope: 7 controlled deliverables (D1–D7) / 48 work packages. Schedule: ~Month 10 of 24 (40% elapsed); earned ~40% is ~10% behind the ~50% planned, concentrated on heavy/critical-path activities. Budget: approved USD 11.5M CAPEX / 27.5M TCO envelope; phase actual ~12% over plan. USD 0 released until DEC-02.</w:t>
      </w:r>
    </w:p>
    <w:p>
      <w:pPr>
        <w:spacing w:before="0" w:after="40"/>
      </w:pPr>
      <w:r>
        <w:rPr>
          <w:rFonts w:ascii="Calibri" w:hAnsi="Calibri"/>
          <w:b w:val="0"/>
          <w:sz w:val="21"/>
        </w:rPr>
        <w:t>Executive summary (bad news first): schedule lag ~10% on the critical path and ~12% budget variance are the headline concerns. Immediate Sponsor decisions (DEC-01 effective date, DEC-02 funding release, DEC-03 delegation) are required to fund and authorise recovery.</w:t>
      </w:r>
    </w:p>
    <w:p>
      <w:pPr>
        <w:spacing w:before="160" w:after="0"/>
      </w:pPr>
      <w:r>
        <w:rPr>
          <w:rFonts w:ascii="Calibri" w:hAnsi="Calibri"/>
          <w:b/>
          <w:color w:val="0F2A4A"/>
          <w:sz w:val="26"/>
        </w:rPr>
        <w:t>Sections 3–4 — Progress &amp; Schedule (Critical Path)</w:t>
      </w:r>
    </w:p>
    <w:p>
      <w:pPr>
        <w:spacing w:before="60" w:after="40"/>
      </w:pPr>
      <w:r>
        <w:rPr>
          <w:rFonts w:ascii="Calibri" w:hAnsi="Calibri"/>
          <w:b w:val="0"/>
          <w:color w:val="555555"/>
          <w:sz w:val="22"/>
        </w:rPr>
        <w:t>Variance in numbers: EV 40% vs PV ≈ 50% ⇒ SV −10%; SPI ≈ 0.80. Basis: the ~50% PV at Month 10 reflects the time-phased baseline’s front-loaded critical-path profile (D1/D2 heavy foundation work scheduled early), not elapsed-proportional phasing. M2 foundation (D2) ~2 months late; M3 copilot pilot (D3) slipping ~2–3 months behind plan (heavy activity).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80"/>
        <w:gridCol w:w="3080"/>
        <w:gridCol w:w="3080"/>
        <w:gridCol w:w="3080"/>
        <w:gridCol w:w="3080"/>
      </w:tblGrid>
      <w:tr>
        <w:tc>
          <w:tcPr>
            <w:tcW w:type="dxa" w:w="2948"/>
            <w:shd w:val="clear" w:color="auto" w:fill="0F2A4A"/>
          </w:tcPr>
          <w:p>
            <w:pPr>
              <w:spacing w:before="10" w:after="10"/>
            </w:pPr>
            <w:r>
              <w:rPr>
                <w:rFonts w:ascii="Calibri" w:hAnsi="Calibri"/>
                <w:b/>
                <w:color w:val="FFFFFF"/>
                <w:sz w:val="19"/>
              </w:rPr>
              <w:t>Milestone / deliverable</w:t>
            </w:r>
          </w:p>
        </w:tc>
        <w:tc>
          <w:tcPr>
            <w:tcW w:type="dxa" w:w="1247"/>
            <w:shd w:val="clear" w:color="auto" w:fill="0F2A4A"/>
          </w:tcPr>
          <w:p>
            <w:pPr>
              <w:spacing w:before="10" w:after="10"/>
            </w:pPr>
            <w:r>
              <w:rPr>
                <w:rFonts w:ascii="Calibri" w:hAnsi="Calibri"/>
                <w:b/>
                <w:color w:val="FFFFFF"/>
                <w:sz w:val="19"/>
              </w:rPr>
              <w:t>Baseline</w:t>
            </w:r>
          </w:p>
        </w:tc>
        <w:tc>
          <w:tcPr>
            <w:tcW w:type="dxa" w:w="3742"/>
            <w:shd w:val="clear" w:color="auto" w:fill="0F2A4A"/>
          </w:tcPr>
          <w:p>
            <w:pPr>
              <w:spacing w:before="10" w:after="10"/>
            </w:pPr>
            <w:r>
              <w:rPr>
                <w:rFonts w:ascii="Calibri" w:hAnsi="Calibri"/>
                <w:b/>
                <w:color w:val="FFFFFF"/>
                <w:sz w:val="19"/>
              </w:rPr>
              <w:t>Actual / status</w:t>
            </w:r>
          </w:p>
        </w:tc>
        <w:tc>
          <w:tcPr>
            <w:tcW w:type="dxa" w:w="1587"/>
            <w:shd w:val="clear" w:color="auto" w:fill="0F2A4A"/>
          </w:tcPr>
          <w:p>
            <w:pPr>
              <w:spacing w:before="10" w:after="10"/>
            </w:pPr>
            <w:r>
              <w:rPr>
                <w:rFonts w:ascii="Calibri" w:hAnsi="Calibri"/>
                <w:b/>
                <w:color w:val="FFFFFF"/>
                <w:sz w:val="19"/>
              </w:rPr>
              <w:t>Variance</w:t>
            </w:r>
          </w:p>
        </w:tc>
        <w:tc>
          <w:tcPr>
            <w:tcW w:type="dxa" w:w="1474"/>
            <w:shd w:val="clear" w:color="auto" w:fill="0F2A4A"/>
          </w:tcPr>
          <w:p>
            <w:pPr>
              <w:spacing w:before="10" w:after="10"/>
            </w:pPr>
            <w:r>
              <w:rPr>
                <w:rFonts w:ascii="Calibri" w:hAnsi="Calibri"/>
                <w:b/>
                <w:color w:val="FFFFFF"/>
                <w:sz w:val="19"/>
              </w:rPr>
              <w:t>Status</w:t>
            </w:r>
          </w:p>
        </w:tc>
      </w:tr>
      <w:tr>
        <w:tc>
          <w:tcPr>
            <w:tcW w:type="dxa" w:w="2948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sz w:val="19"/>
              </w:rPr>
              <w:t>M0 Schedule baseline approved</w:t>
            </w:r>
          </w:p>
        </w:tc>
        <w:tc>
          <w:tcPr>
            <w:tcW w:type="dxa" w:w="1247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sz w:val="19"/>
              </w:rPr>
              <w:t>M1</w:t>
            </w:r>
          </w:p>
        </w:tc>
        <w:tc>
          <w:tcPr>
            <w:tcW w:type="dxa" w:w="3742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sz w:val="19"/>
              </w:rPr>
              <w:t>Approved</w:t>
            </w:r>
          </w:p>
        </w:tc>
        <w:tc>
          <w:tcPr>
            <w:tcW w:type="dxa" w:w="1587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sz w:val="19"/>
              </w:rPr>
              <w:t>On track</w:t>
            </w:r>
          </w:p>
        </w:tc>
        <w:tc>
          <w:tcPr>
            <w:tcW w:type="dxa" w:w="1474"/>
          </w:tcPr>
          <w:p>
            <w:pPr>
              <w:spacing w:before="10" w:after="10"/>
            </w:pPr>
            <w:r>
              <w:rPr>
                <w:rFonts w:ascii="Calibri" w:hAnsi="Calibri"/>
                <w:b/>
                <w:color w:val="1E7A4F"/>
                <w:sz w:val="19"/>
              </w:rPr>
              <w:t>OK</w:t>
            </w:r>
          </w:p>
        </w:tc>
      </w:tr>
      <w:tr>
        <w:tc>
          <w:tcPr>
            <w:tcW w:type="dxa" w:w="2948"/>
            <w:shd w:val="clear" w:color="auto" w:fill="F4F7FA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sz w:val="19"/>
              </w:rPr>
              <w:t>M1 Charter &amp; funding gate</w:t>
            </w:r>
          </w:p>
        </w:tc>
        <w:tc>
          <w:tcPr>
            <w:tcW w:type="dxa" w:w="1247"/>
            <w:shd w:val="clear" w:color="auto" w:fill="F4F7FA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sz w:val="19"/>
              </w:rPr>
              <w:t>M02</w:t>
            </w:r>
          </w:p>
        </w:tc>
        <w:tc>
          <w:tcPr>
            <w:tcW w:type="dxa" w:w="3742"/>
            <w:shd w:val="clear" w:color="auto" w:fill="F4F7FA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sz w:val="19"/>
              </w:rPr>
              <w:t>Approved; funding release open</w:t>
            </w:r>
          </w:p>
        </w:tc>
        <w:tc>
          <w:tcPr>
            <w:tcW w:type="dxa" w:w="1587"/>
            <w:shd w:val="clear" w:color="auto" w:fill="F4F7FA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sz w:val="19"/>
              </w:rPr>
              <w:t>0</w:t>
            </w:r>
          </w:p>
        </w:tc>
        <w:tc>
          <w:tcPr>
            <w:tcW w:type="dxa" w:w="1474"/>
            <w:shd w:val="clear" w:color="auto" w:fill="F4F7FA"/>
          </w:tcPr>
          <w:p>
            <w:pPr>
              <w:spacing w:before="10" w:after="10"/>
            </w:pPr>
            <w:r>
              <w:rPr>
                <w:rFonts w:ascii="Calibri" w:hAnsi="Calibri"/>
                <w:b/>
                <w:color w:val="1E7A4F"/>
                <w:sz w:val="19"/>
              </w:rPr>
              <w:t>OK</w:t>
            </w:r>
          </w:p>
        </w:tc>
      </w:tr>
      <w:tr>
        <w:tc>
          <w:tcPr>
            <w:tcW w:type="dxa" w:w="2948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sz w:val="19"/>
              </w:rPr>
              <w:t>M2 Foundation accepted (D2)</w:t>
            </w:r>
          </w:p>
        </w:tc>
        <w:tc>
          <w:tcPr>
            <w:tcW w:type="dxa" w:w="1247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sz w:val="19"/>
              </w:rPr>
              <w:t>M04</w:t>
            </w:r>
          </w:p>
        </w:tc>
        <w:tc>
          <w:tcPr>
            <w:tcW w:type="dxa" w:w="3742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sz w:val="19"/>
              </w:rPr>
              <w:t>Partially complete; data/vendor open</w:t>
            </w:r>
          </w:p>
        </w:tc>
        <w:tc>
          <w:tcPr>
            <w:tcW w:type="dxa" w:w="1587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sz w:val="19"/>
              </w:rPr>
              <w:t>~2 mo late</w:t>
            </w:r>
          </w:p>
        </w:tc>
        <w:tc>
          <w:tcPr>
            <w:tcW w:type="dxa" w:w="1474"/>
          </w:tcPr>
          <w:p>
            <w:pPr>
              <w:spacing w:before="10" w:after="10"/>
            </w:pPr>
            <w:r>
              <w:rPr>
                <w:rFonts w:ascii="Calibri" w:hAnsi="Calibri"/>
                <w:b/>
                <w:color w:val="C0392B"/>
                <w:sz w:val="19"/>
              </w:rPr>
              <w:t>RED</w:t>
            </w:r>
          </w:p>
        </w:tc>
      </w:tr>
      <w:tr>
        <w:tc>
          <w:tcPr>
            <w:tcW w:type="dxa" w:w="2948"/>
            <w:shd w:val="clear" w:color="auto" w:fill="F4F7FA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sz w:val="19"/>
              </w:rPr>
              <w:t>M3 Copilot pilot live (D3)</w:t>
            </w:r>
          </w:p>
        </w:tc>
        <w:tc>
          <w:tcPr>
            <w:tcW w:type="dxa" w:w="1247"/>
            <w:shd w:val="clear" w:color="auto" w:fill="F4F7FA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sz w:val="19"/>
              </w:rPr>
              <w:t>M07</w:t>
            </w:r>
          </w:p>
        </w:tc>
        <w:tc>
          <w:tcPr>
            <w:tcW w:type="dxa" w:w="3742"/>
            <w:shd w:val="clear" w:color="auto" w:fill="F4F7FA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sz w:val="19"/>
              </w:rPr>
              <w:t>Slipping (heavy activity)</w:t>
            </w:r>
          </w:p>
        </w:tc>
        <w:tc>
          <w:tcPr>
            <w:tcW w:type="dxa" w:w="1587"/>
            <w:shd w:val="clear" w:color="auto" w:fill="F4F7FA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sz w:val="19"/>
              </w:rPr>
              <w:t>~2–3 mo late</w:t>
            </w:r>
          </w:p>
        </w:tc>
        <w:tc>
          <w:tcPr>
            <w:tcW w:type="dxa" w:w="1474"/>
            <w:shd w:val="clear" w:color="auto" w:fill="F4F7FA"/>
          </w:tcPr>
          <w:p>
            <w:pPr>
              <w:spacing w:before="10" w:after="10"/>
            </w:pPr>
            <w:r>
              <w:rPr>
                <w:rFonts w:ascii="Calibri" w:hAnsi="Calibri"/>
                <w:b/>
                <w:color w:val="C0392B"/>
                <w:sz w:val="19"/>
              </w:rPr>
              <w:t>RED</w:t>
            </w:r>
          </w:p>
        </w:tc>
      </w:tr>
      <w:tr>
        <w:tc>
          <w:tcPr>
            <w:tcW w:type="dxa" w:w="2948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sz w:val="19"/>
              </w:rPr>
              <w:t>M4 Customer assistant (D4)</w:t>
            </w:r>
          </w:p>
        </w:tc>
        <w:tc>
          <w:tcPr>
            <w:tcW w:type="dxa" w:w="1247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sz w:val="19"/>
              </w:rPr>
              <w:t>M11</w:t>
            </w:r>
          </w:p>
        </w:tc>
        <w:tc>
          <w:tcPr>
            <w:tcW w:type="dxa" w:w="3742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sz w:val="19"/>
              </w:rPr>
              <w:t>At risk with D3</w:t>
            </w:r>
          </w:p>
        </w:tc>
        <w:tc>
          <w:tcPr>
            <w:tcW w:type="dxa" w:w="1587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sz w:val="19"/>
              </w:rPr>
              <w:t>Attributable</w:t>
            </w:r>
          </w:p>
        </w:tc>
        <w:tc>
          <w:tcPr>
            <w:tcW w:type="dxa" w:w="1474"/>
          </w:tcPr>
          <w:p>
            <w:pPr>
              <w:spacing w:before="10" w:after="10"/>
            </w:pPr>
            <w:r>
              <w:rPr>
                <w:rFonts w:ascii="Calibri" w:hAnsi="Calibri"/>
                <w:b/>
                <w:color w:val="B8860B"/>
                <w:sz w:val="19"/>
              </w:rPr>
              <w:t>AMBER</w:t>
            </w:r>
          </w:p>
        </w:tc>
      </w:tr>
    </w:tbl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849"/>
        <w:gridCol w:w="3849"/>
        <w:gridCol w:w="3849"/>
        <w:gridCol w:w="3849"/>
      </w:tblGrid>
      <w:tr>
        <w:tc>
          <w:tcPr>
            <w:tcW w:type="dxa" w:w="3402"/>
            <w:shd w:val="clear" w:color="auto" w:fill="0F2A4A"/>
          </w:tcPr>
          <w:p>
            <w:pPr>
              <w:spacing w:before="10" w:after="10"/>
            </w:pPr>
            <w:r>
              <w:rPr>
                <w:rFonts w:ascii="Calibri" w:hAnsi="Calibri"/>
                <w:b/>
                <w:color w:val="FFFFFF"/>
                <w:sz w:val="19"/>
              </w:rPr>
              <w:t>Measure</w:t>
            </w:r>
          </w:p>
        </w:tc>
        <w:tc>
          <w:tcPr>
            <w:tcW w:type="dxa" w:w="2608"/>
            <w:shd w:val="clear" w:color="auto" w:fill="0F2A4A"/>
          </w:tcPr>
          <w:p>
            <w:pPr>
              <w:spacing w:before="10" w:after="10"/>
            </w:pPr>
            <w:r>
              <w:rPr>
                <w:rFonts w:ascii="Calibri" w:hAnsi="Calibri"/>
                <w:b/>
                <w:color w:val="FFFFFF"/>
                <w:sz w:val="19"/>
              </w:rPr>
              <w:t>Value</w:t>
            </w:r>
          </w:p>
        </w:tc>
        <w:tc>
          <w:tcPr>
            <w:tcW w:type="dxa" w:w="4536"/>
            <w:shd w:val="clear" w:color="auto" w:fill="0F2A4A"/>
          </w:tcPr>
          <w:p>
            <w:pPr>
              <w:spacing w:before="10" w:after="10"/>
            </w:pPr>
            <w:r>
              <w:rPr>
                <w:rFonts w:ascii="Calibri" w:hAnsi="Calibri"/>
                <w:b/>
                <w:color w:val="FFFFFF"/>
                <w:sz w:val="19"/>
              </w:rPr>
              <w:t>Variance (numbers)</w:t>
            </w:r>
          </w:p>
        </w:tc>
        <w:tc>
          <w:tcPr>
            <w:tcW w:type="dxa" w:w="3061"/>
            <w:shd w:val="clear" w:color="auto" w:fill="0F2A4A"/>
          </w:tcPr>
          <w:p>
            <w:pPr>
              <w:spacing w:before="10" w:after="10"/>
            </w:pPr>
            <w:r>
              <w:rPr>
                <w:rFonts w:ascii="Calibri" w:hAnsi="Calibri"/>
                <w:b/>
                <w:color w:val="FFFFFF"/>
                <w:sz w:val="19"/>
              </w:rPr>
              <w:t>Status</w:t>
            </w:r>
          </w:p>
        </w:tc>
      </w:tr>
      <w:tr>
        <w:tc>
          <w:tcPr>
            <w:tcW w:type="dxa" w:w="3402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sz w:val="19"/>
              </w:rPr>
              <w:t>Elapsed</w:t>
            </w:r>
          </w:p>
        </w:tc>
        <w:tc>
          <w:tcPr>
            <w:tcW w:type="dxa" w:w="2608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sz w:val="19"/>
              </w:rPr>
              <w:t>≈ Month 10 (40%)</w:t>
            </w:r>
          </w:p>
        </w:tc>
        <w:tc>
          <w:tcPr>
            <w:tcW w:type="dxa" w:w="4536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sz w:val="19"/>
              </w:rPr>
              <w:t>40% elapsed vs 24-month</w:t>
            </w:r>
          </w:p>
        </w:tc>
        <w:tc>
          <w:tcPr>
            <w:tcW w:type="dxa" w:w="3061"/>
          </w:tcPr>
          <w:p>
            <w:pPr>
              <w:spacing w:before="10" w:after="10"/>
            </w:pPr>
            <w:r>
              <w:rPr>
                <w:rFonts w:ascii="Calibri" w:hAnsi="Calibri"/>
                <w:b/>
                <w:color w:val="1E7A4F"/>
                <w:sz w:val="19"/>
              </w:rPr>
              <w:t>OK</w:t>
            </w:r>
          </w:p>
        </w:tc>
      </w:tr>
      <w:tr>
        <w:tc>
          <w:tcPr>
            <w:tcW w:type="dxa" w:w="3402"/>
            <w:shd w:val="clear" w:color="auto" w:fill="F4F7FA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sz w:val="19"/>
              </w:rPr>
              <w:t>Planned Value (PV)</w:t>
            </w:r>
          </w:p>
        </w:tc>
        <w:tc>
          <w:tcPr>
            <w:tcW w:type="dxa" w:w="2608"/>
            <w:shd w:val="clear" w:color="auto" w:fill="F4F7FA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sz w:val="19"/>
              </w:rPr>
              <w:t>≈ 50% by Month 10</w:t>
            </w:r>
          </w:p>
        </w:tc>
        <w:tc>
          <w:tcPr>
            <w:tcW w:type="dxa" w:w="4536"/>
            <w:shd w:val="clear" w:color="auto" w:fill="F4F7FA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sz w:val="19"/>
              </w:rPr>
              <w:t>front-loaded critical-path baseline</w:t>
            </w:r>
          </w:p>
        </w:tc>
        <w:tc>
          <w:tcPr>
            <w:tcW w:type="dxa" w:w="3061"/>
            <w:shd w:val="clear" w:color="auto" w:fill="F4F7FA"/>
          </w:tcPr>
          <w:p>
            <w:pPr>
              <w:spacing w:before="10" w:after="10"/>
            </w:pPr>
            <w:r>
              <w:rPr>
                <w:rFonts w:ascii="Calibri" w:hAnsi="Calibri"/>
                <w:b/>
                <w:color w:val="1E7A4F"/>
                <w:sz w:val="19"/>
              </w:rPr>
              <w:t>OK</w:t>
            </w:r>
          </w:p>
        </w:tc>
      </w:tr>
      <w:tr>
        <w:tc>
          <w:tcPr>
            <w:tcW w:type="dxa" w:w="3402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sz w:val="19"/>
              </w:rPr>
              <w:t>Earned Value (EV)</w:t>
            </w:r>
          </w:p>
        </w:tc>
        <w:tc>
          <w:tcPr>
            <w:tcW w:type="dxa" w:w="2608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sz w:val="19"/>
              </w:rPr>
              <w:t>40% complete</w:t>
            </w:r>
          </w:p>
        </w:tc>
        <w:tc>
          <w:tcPr>
            <w:tcW w:type="dxa" w:w="4536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sz w:val="19"/>
              </w:rPr>
              <w:t>SV = −10% (behind plan)</w:t>
            </w:r>
          </w:p>
        </w:tc>
        <w:tc>
          <w:tcPr>
            <w:tcW w:type="dxa" w:w="3061"/>
          </w:tcPr>
          <w:p>
            <w:pPr>
              <w:spacing w:before="10" w:after="10"/>
            </w:pPr>
            <w:r>
              <w:rPr>
                <w:rFonts w:ascii="Calibri" w:hAnsi="Calibri"/>
                <w:b/>
                <w:color w:val="C0392B"/>
                <w:sz w:val="19"/>
              </w:rPr>
              <w:t>RED</w:t>
            </w:r>
          </w:p>
        </w:tc>
      </w:tr>
      <w:tr>
        <w:tc>
          <w:tcPr>
            <w:tcW w:type="dxa" w:w="3402"/>
            <w:shd w:val="clear" w:color="auto" w:fill="F4F7FA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sz w:val="19"/>
              </w:rPr>
              <w:t>Schedule Performance Index (SPI)</w:t>
            </w:r>
          </w:p>
        </w:tc>
        <w:tc>
          <w:tcPr>
            <w:tcW w:type="dxa" w:w="2608"/>
            <w:shd w:val="clear" w:color="auto" w:fill="F4F7FA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sz w:val="19"/>
              </w:rPr>
              <w:t>≈ 0.80</w:t>
            </w:r>
          </w:p>
        </w:tc>
        <w:tc>
          <w:tcPr>
            <w:tcW w:type="dxa" w:w="4536"/>
            <w:shd w:val="clear" w:color="auto" w:fill="F4F7FA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sz w:val="19"/>
              </w:rPr>
              <w:t>−20% against plan</w:t>
            </w:r>
          </w:p>
        </w:tc>
        <w:tc>
          <w:tcPr>
            <w:tcW w:type="dxa" w:w="3061"/>
            <w:shd w:val="clear" w:color="auto" w:fill="F4F7FA"/>
          </w:tcPr>
          <w:p>
            <w:pPr>
              <w:spacing w:before="10" w:after="10"/>
            </w:pPr>
            <w:r>
              <w:rPr>
                <w:rFonts w:ascii="Calibri" w:hAnsi="Calibri"/>
                <w:b/>
                <w:color w:val="C0392B"/>
                <w:sz w:val="19"/>
              </w:rPr>
              <w:t>RED</w:t>
            </w:r>
          </w:p>
        </w:tc>
      </w:tr>
      <w:tr>
        <w:tc>
          <w:tcPr>
            <w:tcW w:type="dxa" w:w="3402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sz w:val="19"/>
              </w:rPr>
              <w:t>Critical-path status</w:t>
            </w:r>
          </w:p>
        </w:tc>
        <w:tc>
          <w:tcPr>
            <w:tcW w:type="dxa" w:w="2608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sz w:val="19"/>
              </w:rPr>
              <w:t>D1/D2 partial, D3 slipping</w:t>
            </w:r>
          </w:p>
        </w:tc>
        <w:tc>
          <w:tcPr>
            <w:tcW w:type="dxa" w:w="4536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sz w:val="19"/>
              </w:rPr>
              <w:t>~10% slip on heavy activities</w:t>
            </w:r>
          </w:p>
        </w:tc>
        <w:tc>
          <w:tcPr>
            <w:tcW w:type="dxa" w:w="3061"/>
          </w:tcPr>
          <w:p>
            <w:pPr>
              <w:spacing w:before="10" w:after="10"/>
            </w:pPr>
            <w:r>
              <w:rPr>
                <w:rFonts w:ascii="Calibri" w:hAnsi="Calibri"/>
                <w:b/>
                <w:color w:val="C0392B"/>
                <w:sz w:val="19"/>
              </w:rPr>
              <w:t>RED</w:t>
            </w:r>
          </w:p>
        </w:tc>
      </w:tr>
    </w:tbl>
    <w:p>
      <w:pPr>
        <w:spacing w:before="160" w:after="0"/>
      </w:pPr>
      <w:r>
        <w:rPr>
          <w:rFonts w:ascii="Calibri" w:hAnsi="Calibri"/>
          <w:b/>
          <w:color w:val="0F2A4A"/>
          <w:sz w:val="26"/>
        </w:rPr>
        <w:t>Section 5 — Cost &amp; Variance</w:t>
      </w:r>
    </w:p>
    <w:p>
      <w:pPr>
        <w:spacing w:before="60" w:after="40"/>
      </w:pPr>
      <w:r>
        <w:rPr>
          <w:rFonts w:ascii="Calibri" w:hAnsi="Calibri"/>
          <w:b w:val="0"/>
          <w:color w:val="555555"/>
          <w:sz w:val="22"/>
        </w:rPr>
        <w:t>Relation of variance: the ~12% cost variance tracks the ~10% schedule lag — heavy/critical-path work is costing more than planned. Reported in numbers (CV −12%, CPI ≈ 0.89), governed by the approved envelope, routed to the Sponsor (DEC-02/DEC-03), never absorbed silently.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849"/>
        <w:gridCol w:w="3849"/>
        <w:gridCol w:w="3849"/>
        <w:gridCol w:w="3849"/>
      </w:tblGrid>
      <w:tr>
        <w:tc>
          <w:tcPr>
            <w:tcW w:type="dxa" w:w="3969"/>
            <w:shd w:val="clear" w:color="auto" w:fill="0F2A4A"/>
          </w:tcPr>
          <w:p>
            <w:pPr>
              <w:spacing w:before="10" w:after="10"/>
            </w:pPr>
            <w:r>
              <w:rPr>
                <w:rFonts w:ascii="Calibri" w:hAnsi="Calibri"/>
                <w:b/>
                <w:color w:val="FFFFFF"/>
                <w:sz w:val="19"/>
              </w:rPr>
              <w:t>Measure</w:t>
            </w:r>
          </w:p>
        </w:tc>
        <w:tc>
          <w:tcPr>
            <w:tcW w:type="dxa" w:w="3402"/>
            <w:shd w:val="clear" w:color="auto" w:fill="0F2A4A"/>
          </w:tcPr>
          <w:p>
            <w:pPr>
              <w:spacing w:before="10" w:after="10"/>
            </w:pPr>
            <w:r>
              <w:rPr>
                <w:rFonts w:ascii="Calibri" w:hAnsi="Calibri"/>
                <w:b/>
                <w:color w:val="FFFFFF"/>
                <w:sz w:val="19"/>
              </w:rPr>
              <w:t>Value</w:t>
            </w:r>
          </w:p>
        </w:tc>
        <w:tc>
          <w:tcPr>
            <w:tcW w:type="dxa" w:w="3969"/>
            <w:shd w:val="clear" w:color="auto" w:fill="0F2A4A"/>
          </w:tcPr>
          <w:p>
            <w:pPr>
              <w:spacing w:before="10" w:after="10"/>
            </w:pPr>
            <w:r>
              <w:rPr>
                <w:rFonts w:ascii="Calibri" w:hAnsi="Calibri"/>
                <w:b/>
                <w:color w:val="FFFFFF"/>
                <w:sz w:val="19"/>
              </w:rPr>
              <w:t>Variance (numbers)</w:t>
            </w:r>
          </w:p>
        </w:tc>
        <w:tc>
          <w:tcPr>
            <w:tcW w:type="dxa" w:w="2268"/>
            <w:shd w:val="clear" w:color="auto" w:fill="0F2A4A"/>
          </w:tcPr>
          <w:p>
            <w:pPr>
              <w:spacing w:before="10" w:after="10"/>
            </w:pPr>
            <w:r>
              <w:rPr>
                <w:rFonts w:ascii="Calibri" w:hAnsi="Calibri"/>
                <w:b/>
                <w:color w:val="FFFFFF"/>
                <w:sz w:val="19"/>
              </w:rPr>
              <w:t>Status</w:t>
            </w:r>
          </w:p>
        </w:tc>
      </w:tr>
      <w:tr>
        <w:tc>
          <w:tcPr>
            <w:tcW w:type="dxa" w:w="3969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sz w:val="19"/>
              </w:rPr>
              <w:t>Planned Budget (phase)</w:t>
            </w:r>
          </w:p>
        </w:tc>
        <w:tc>
          <w:tcPr>
            <w:tcW w:type="dxa" w:w="3402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sz w:val="19"/>
              </w:rPr>
              <w:t>100% plan</w:t>
            </w:r>
          </w:p>
        </w:tc>
        <w:tc>
          <w:tcPr>
            <w:tcW w:type="dxa" w:w="3969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sz w:val="19"/>
              </w:rPr>
              <w:t>—</w:t>
            </w:r>
          </w:p>
        </w:tc>
        <w:tc>
          <w:tcPr>
            <w:tcW w:type="dxa" w:w="2268"/>
          </w:tcPr>
          <w:p>
            <w:pPr>
              <w:spacing w:before="10" w:after="10"/>
            </w:pPr>
            <w:r>
              <w:rPr>
                <w:rFonts w:ascii="Calibri" w:hAnsi="Calibri"/>
                <w:b/>
                <w:color w:val="1E7A4F"/>
                <w:sz w:val="19"/>
              </w:rPr>
              <w:t>OK</w:t>
            </w:r>
          </w:p>
        </w:tc>
      </w:tr>
      <w:tr>
        <w:tc>
          <w:tcPr>
            <w:tcW w:type="dxa" w:w="3969"/>
            <w:shd w:val="clear" w:color="auto" w:fill="F4F7FA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sz w:val="19"/>
              </w:rPr>
              <w:t>Actual Cost (AC)</w:t>
            </w:r>
          </w:p>
        </w:tc>
        <w:tc>
          <w:tcPr>
            <w:tcW w:type="dxa" w:w="3402"/>
            <w:shd w:val="clear" w:color="auto" w:fill="F4F7FA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sz w:val="19"/>
              </w:rPr>
              <w:t>actuals from Finance</w:t>
            </w:r>
          </w:p>
        </w:tc>
        <w:tc>
          <w:tcPr>
            <w:tcW w:type="dxa" w:w="3969"/>
            <w:shd w:val="clear" w:color="auto" w:fill="F4F7FA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sz w:val="19"/>
              </w:rPr>
              <w:t>~12% over plan</w:t>
            </w:r>
          </w:p>
        </w:tc>
        <w:tc>
          <w:tcPr>
            <w:tcW w:type="dxa" w:w="2268"/>
            <w:shd w:val="clear" w:color="auto" w:fill="F4F7FA"/>
          </w:tcPr>
          <w:p>
            <w:pPr>
              <w:spacing w:before="10" w:after="10"/>
            </w:pPr>
            <w:r>
              <w:rPr>
                <w:rFonts w:ascii="Calibri" w:hAnsi="Calibri"/>
                <w:b/>
                <w:color w:val="C0392B"/>
                <w:sz w:val="19"/>
              </w:rPr>
              <w:t>RED</w:t>
            </w:r>
          </w:p>
        </w:tc>
      </w:tr>
      <w:tr>
        <w:tc>
          <w:tcPr>
            <w:tcW w:type="dxa" w:w="3969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sz w:val="19"/>
              </w:rPr>
              <w:t>Cost Variance (CV)</w:t>
            </w:r>
          </w:p>
        </w:tc>
        <w:tc>
          <w:tcPr>
            <w:tcW w:type="dxa" w:w="3402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sz w:val="19"/>
              </w:rPr>
              <w:t>EV − AC</w:t>
            </w:r>
          </w:p>
        </w:tc>
        <w:tc>
          <w:tcPr>
            <w:tcW w:type="dxa" w:w="3969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sz w:val="19"/>
              </w:rPr>
              <w:t>~12% negative</w:t>
            </w:r>
          </w:p>
        </w:tc>
        <w:tc>
          <w:tcPr>
            <w:tcW w:type="dxa" w:w="2268"/>
          </w:tcPr>
          <w:p>
            <w:pPr>
              <w:spacing w:before="10" w:after="10"/>
            </w:pPr>
            <w:r>
              <w:rPr>
                <w:rFonts w:ascii="Calibri" w:hAnsi="Calibri"/>
                <w:b/>
                <w:color w:val="C0392B"/>
                <w:sz w:val="19"/>
              </w:rPr>
              <w:t>RED</w:t>
            </w:r>
          </w:p>
        </w:tc>
      </w:tr>
      <w:tr>
        <w:tc>
          <w:tcPr>
            <w:tcW w:type="dxa" w:w="3969"/>
            <w:shd w:val="clear" w:color="auto" w:fill="F4F7FA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sz w:val="19"/>
              </w:rPr>
              <w:t>Cost Performance Index (CPI)</w:t>
            </w:r>
          </w:p>
        </w:tc>
        <w:tc>
          <w:tcPr>
            <w:tcW w:type="dxa" w:w="3402"/>
            <w:shd w:val="clear" w:color="auto" w:fill="F4F7FA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sz w:val="19"/>
              </w:rPr>
              <w:t>≈ 0.89</w:t>
            </w:r>
          </w:p>
        </w:tc>
        <w:tc>
          <w:tcPr>
            <w:tcW w:type="dxa" w:w="3969"/>
            <w:shd w:val="clear" w:color="auto" w:fill="F4F7FA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sz w:val="19"/>
              </w:rPr>
              <w:t>−11%</w:t>
            </w:r>
          </w:p>
        </w:tc>
        <w:tc>
          <w:tcPr>
            <w:tcW w:type="dxa" w:w="2268"/>
            <w:shd w:val="clear" w:color="auto" w:fill="F4F7FA"/>
          </w:tcPr>
          <w:p>
            <w:pPr>
              <w:spacing w:before="10" w:after="10"/>
            </w:pPr>
            <w:r>
              <w:rPr>
                <w:rFonts w:ascii="Calibri" w:hAnsi="Calibri"/>
                <w:b/>
                <w:color w:val="C0392B"/>
                <w:sz w:val="19"/>
              </w:rPr>
              <w:t>RED</w:t>
            </w:r>
          </w:p>
        </w:tc>
      </w:tr>
      <w:tr>
        <w:tc>
          <w:tcPr>
            <w:tcW w:type="dxa" w:w="3969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sz w:val="19"/>
              </w:rPr>
              <w:t>Contingency use</w:t>
            </w:r>
          </w:p>
        </w:tc>
        <w:tc>
          <w:tcPr>
            <w:tcW w:type="dxa" w:w="3402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sz w:val="19"/>
              </w:rPr>
              <w:t>being consumed</w:t>
            </w:r>
          </w:p>
        </w:tc>
        <w:tc>
          <w:tcPr>
            <w:tcW w:type="dxa" w:w="3969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sz w:val="19"/>
              </w:rPr>
              <w:t>early-burn flag</w:t>
            </w:r>
          </w:p>
        </w:tc>
        <w:tc>
          <w:tcPr>
            <w:tcW w:type="dxa" w:w="2268"/>
          </w:tcPr>
          <w:p>
            <w:pPr>
              <w:spacing w:before="10" w:after="10"/>
            </w:pPr>
            <w:r>
              <w:rPr>
                <w:rFonts w:ascii="Calibri" w:hAnsi="Calibri"/>
                <w:b/>
                <w:color w:val="B8860B"/>
                <w:sz w:val="19"/>
              </w:rPr>
              <w:t>AMBER</w:t>
            </w:r>
          </w:p>
        </w:tc>
      </w:tr>
    </w:tbl>
    <w:p>
      <w:pPr>
        <w:spacing w:before="160" w:after="0"/>
      </w:pPr>
      <w:r>
        <w:rPr>
          <w:rFonts w:ascii="Calibri" w:hAnsi="Calibri"/>
          <w:b/>
          <w:color w:val="0F2A4A"/>
          <w:sz w:val="26"/>
        </w:rPr>
        <w:t>Section 6 — Risks, Issues &amp; Decisions Needed</w:t>
      </w:r>
    </w:p>
    <w:p>
      <w:pPr>
        <w:spacing w:before="60" w:after="40"/>
      </w:pPr>
      <w:r>
        <w:rPr>
          <w:rFonts w:ascii="Calibri" w:hAnsi="Calibri"/>
          <w:b w:val="0"/>
          <w:color w:val="555555"/>
          <w:sz w:val="22"/>
        </w:rPr>
        <w:t>What moved/fired on the register and what was done; then the 2–3 Sponsor-only calls, stated plainly with a recommendation.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33"/>
        <w:gridCol w:w="5133"/>
        <w:gridCol w:w="5133"/>
      </w:tblGrid>
      <w:tr>
        <w:tc>
          <w:tcPr>
            <w:tcW w:type="dxa" w:w="3402"/>
            <w:shd w:val="clear" w:color="auto" w:fill="0F2A4A"/>
          </w:tcPr>
          <w:p>
            <w:pPr>
              <w:spacing w:before="10" w:after="10"/>
            </w:pPr>
            <w:r>
              <w:rPr>
                <w:rFonts w:ascii="Calibri" w:hAnsi="Calibri"/>
                <w:b/>
                <w:color w:val="FFFFFF"/>
                <w:sz w:val="19"/>
              </w:rPr>
              <w:t>Risk / issue</w:t>
            </w:r>
          </w:p>
        </w:tc>
        <w:tc>
          <w:tcPr>
            <w:tcW w:type="dxa" w:w="3061"/>
            <w:shd w:val="clear" w:color="auto" w:fill="0F2A4A"/>
          </w:tcPr>
          <w:p>
            <w:pPr>
              <w:spacing w:before="10" w:after="10"/>
            </w:pPr>
            <w:r>
              <w:rPr>
                <w:rFonts w:ascii="Calibri" w:hAnsi="Calibri"/>
                <w:b/>
                <w:color w:val="FFFFFF"/>
                <w:sz w:val="19"/>
              </w:rPr>
              <w:t>Current</w:t>
            </w:r>
          </w:p>
        </w:tc>
        <w:tc>
          <w:tcPr>
            <w:tcW w:type="dxa" w:w="7144"/>
            <w:shd w:val="clear" w:color="auto" w:fill="0F2A4A"/>
          </w:tcPr>
          <w:p>
            <w:pPr>
              <w:spacing w:before="10" w:after="10"/>
            </w:pPr>
            <w:r>
              <w:rPr>
                <w:rFonts w:ascii="Calibri" w:hAnsi="Calibri"/>
                <w:b/>
                <w:color w:val="FFFFFF"/>
                <w:sz w:val="19"/>
              </w:rPr>
              <w:t>Action taken / recommendation</w:t>
            </w:r>
          </w:p>
        </w:tc>
      </w:tr>
      <w:tr>
        <w:tc>
          <w:tcPr>
            <w:tcW w:type="dxa" w:w="3402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sz w:val="19"/>
              </w:rPr>
              <w:t>Integration failure (D2)</w:t>
            </w:r>
          </w:p>
        </w:tc>
        <w:tc>
          <w:tcPr>
            <w:tcW w:type="dxa" w:w="3061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sz w:val="19"/>
              </w:rPr>
              <w:t>FIRED — foundation slip</w:t>
            </w:r>
          </w:p>
        </w:tc>
        <w:tc>
          <w:tcPr>
            <w:tcW w:type="dxa" w:w="7144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sz w:val="19"/>
              </w:rPr>
              <w:t>Front-load API/data profiling; DEC-10 catch-up</w:t>
            </w:r>
          </w:p>
        </w:tc>
      </w:tr>
      <w:tr>
        <w:tc>
          <w:tcPr>
            <w:tcW w:type="dxa" w:w="3402"/>
            <w:shd w:val="clear" w:color="auto" w:fill="F4F7FA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sz w:val="19"/>
              </w:rPr>
              <w:t>Vendor / platform slip</w:t>
            </w:r>
          </w:p>
        </w:tc>
        <w:tc>
          <w:tcPr>
            <w:tcW w:type="dxa" w:w="3061"/>
            <w:shd w:val="clear" w:color="auto" w:fill="F4F7FA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sz w:val="19"/>
              </w:rPr>
              <w:t>RISING — no vendor yet</w:t>
            </w:r>
          </w:p>
        </w:tc>
        <w:tc>
          <w:tcPr>
            <w:tcW w:type="dxa" w:w="7144"/>
            <w:shd w:val="clear" w:color="auto" w:fill="F4F7FA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sz w:val="19"/>
              </w:rPr>
              <w:t>Early sourcing; Sponsor decision DEC-07</w:t>
            </w:r>
          </w:p>
        </w:tc>
      </w:tr>
      <w:tr>
        <w:tc>
          <w:tcPr>
            <w:tcW w:type="dxa" w:w="3402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sz w:val="19"/>
              </w:rPr>
              <w:t>Staff / capacity</w:t>
            </w:r>
          </w:p>
        </w:tc>
        <w:tc>
          <w:tcPr>
            <w:tcW w:type="dxa" w:w="3061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sz w:val="19"/>
              </w:rPr>
              <w:t>RISING — staffing open</w:t>
            </w:r>
          </w:p>
        </w:tc>
        <w:tc>
          <w:tcPr>
            <w:tcW w:type="dxa" w:w="7144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sz w:val="19"/>
              </w:rPr>
              <w:t>DEC-05/DEC-06 appointments</w:t>
            </w:r>
          </w:p>
        </w:tc>
      </w:tr>
      <w:tr>
        <w:tc>
          <w:tcPr>
            <w:tcW w:type="dxa" w:w="3402"/>
            <w:shd w:val="clear" w:color="auto" w:fill="F4F7FA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sz w:val="19"/>
              </w:rPr>
              <w:t>Hallucination / model risk</w:t>
            </w:r>
          </w:p>
        </w:tc>
        <w:tc>
          <w:tcPr>
            <w:tcW w:type="dxa" w:w="3061"/>
            <w:shd w:val="clear" w:color="auto" w:fill="F4F7FA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sz w:val="19"/>
              </w:rPr>
              <w:t>MONITORING</w:t>
            </w:r>
          </w:p>
        </w:tc>
        <w:tc>
          <w:tcPr>
            <w:tcW w:type="dxa" w:w="7144"/>
            <w:shd w:val="clear" w:color="auto" w:fill="F4F7FA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sz w:val="19"/>
              </w:rPr>
              <w:t>Retrieval + handoff controls; pilot gates</w:t>
            </w:r>
          </w:p>
        </w:tc>
      </w:tr>
      <w:tr>
        <w:tc>
          <w:tcPr>
            <w:tcW w:type="dxa" w:w="3402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sz w:val="19"/>
              </w:rPr>
              <w:t>Regulator concern</w:t>
            </w:r>
          </w:p>
        </w:tc>
        <w:tc>
          <w:tcPr>
            <w:tcW w:type="dxa" w:w="3061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sz w:val="19"/>
              </w:rPr>
              <w:t>MONITORING</w:t>
            </w:r>
          </w:p>
        </w:tc>
        <w:tc>
          <w:tcPr>
            <w:tcW w:type="dxa" w:w="7144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sz w:val="19"/>
              </w:rPr>
              <w:t>Compliance evidence pack; DEC-09</w:t>
            </w:r>
          </w:p>
        </w:tc>
      </w:tr>
    </w:tbl>
    <w:p>
      <w:pPr>
        <w:spacing w:before="0" w:after="40"/>
      </w:pPr>
      <w:r>
        <w:rPr>
          <w:rFonts w:ascii="Calibri" w:hAnsi="Calibri"/>
          <w:b w:val="0"/>
          <w:sz w:val="21"/>
        </w:rPr>
        <w:t>Decisions needed (Sponsor only): DEC-01 record effective date · DEC-02 release initial phase funding · DEC-03 delegate PM authority to act on the recovery. The report recommends, the Sponsor decides.</w:t>
      </w:r>
    </w:p>
    <w:sectPr w:rsidR="00FC693F" w:rsidRPr="0006063C" w:rsidSect="00034616">
      <w:headerReference w:type="default" r:id="rId9"/>
      <w:footerReference w:type="default" r:id="rId10"/>
      <w:pgSz w:w="16838" w:h="11906"/>
      <w:pgMar w:top="720" w:right="720" w:bottom="720" w:left="720" w:header="227" w:footer="22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  <w:r>
      <w:rPr>
        <w:rFonts w:ascii="Calibri" w:hAnsi="Calibri"/>
        <w:b w:val="0"/>
        <w:color w:val="808A9B"/>
        <w:sz w:val="17"/>
      </w:rPr>
      <w:t xml:space="preserve">PTB-STS-001  ·  </w:t>
    </w:r>
    <w:r>
      <w:rPr>
        <w:rFonts w:ascii="Calibri" w:hAnsi="Calibri"/>
        <w:color w:val="808A9B"/>
        <w:sz w:val="17"/>
      </w:rPr>
      <w:t xml:space="preserve">Page </w:t>
    </w:r>
    <w:fldSimple w:instr="PAGE">
      <w:r>
        <w:rPr>
          <w:sz w:val="17"/>
          <w:color w:val="808A9B"/>
        </w:rPr>
        <w:t>1</w:t>
      </w:r>
    </w:fldSimple>
    <w:r>
      <w:rPr>
        <w:rFonts w:ascii="Calibri" w:hAnsi="Calibri"/>
        <w:b w:val="0"/>
        <w:color w:val="808A9B"/>
        <w:sz w:val="17"/>
      </w:rPr>
      <w:t xml:space="preserve">  ·  Pole Trust Bank — Synthetic Classroom Case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  <w:r>
      <w:rPr>
        <w:rFonts w:ascii="Calibri" w:hAnsi="Calibri"/>
        <w:b/>
        <w:color w:val="146B6E"/>
        <w:sz w:val="18"/>
      </w:rPr>
      <w:t>Pole Trust Bank — Integrated AI Banking Implementation Ecosystem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