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D29" w:rsidRPr="001470DA" w:rsidRDefault="00537D29" w:rsidP="001470DA">
      <w:pPr>
        <w:pStyle w:val="a3"/>
        <w:rPr>
          <w:rFonts w:ascii="宋体" w:eastAsia="宋体" w:hAnsi="宋体" w:cs="Helvetica Neue"/>
        </w:rPr>
      </w:pPr>
      <w:r w:rsidRPr="001470DA">
        <w:rPr>
          <w:rFonts w:ascii="宋体" w:eastAsia="宋体" w:hAnsi="宋体" w:hint="eastAsia"/>
        </w:rPr>
        <w:t>基础天文学标准</w:t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jc w:val="center"/>
        <w:rPr>
          <w:rFonts w:ascii="Helvetica Neue" w:eastAsia="PingFang TC" w:hAnsi="Helvetica Neue" w:cs="Helvetica Neue"/>
          <w:color w:val="000000"/>
          <w:kern w:val="0"/>
          <w:sz w:val="30"/>
          <w:szCs w:val="30"/>
        </w:rPr>
      </w:pPr>
      <w:r>
        <w:rPr>
          <w:rFonts w:ascii="Helvetica Neue" w:eastAsia="PingFang TC" w:hAnsi="Helvetica Neue" w:cs="Helvetica Neue"/>
          <w:color w:val="000000"/>
          <w:kern w:val="0"/>
          <w:sz w:val="30"/>
          <w:szCs w:val="30"/>
        </w:rPr>
        <w:t>Standards of Fundamental Astronomy</w:t>
      </w:r>
    </w:p>
    <w:p w:rsidR="00537D29" w:rsidRPr="001470DA" w:rsidRDefault="00537D29" w:rsidP="001470DA">
      <w:pPr>
        <w:pStyle w:val="1"/>
        <w:numPr>
          <w:ilvl w:val="0"/>
          <w:numId w:val="6"/>
        </w:numPr>
        <w:spacing w:before="120" w:after="120" w:line="360" w:lineRule="auto"/>
        <w:ind w:left="0" w:firstLine="0"/>
        <w:rPr>
          <w:rFonts w:ascii="Helvetica Neue" w:cs="Helvetica Neue"/>
          <w:sz w:val="30"/>
          <w:szCs w:val="30"/>
        </w:rPr>
      </w:pPr>
      <w:r w:rsidRPr="001470DA">
        <w:rPr>
          <w:rFonts w:hint="eastAsia"/>
          <w:sz w:val="30"/>
          <w:szCs w:val="30"/>
        </w:rPr>
        <w:t>缩略词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600"/>
        <w:gridCol w:w="3040"/>
      </w:tblGrid>
      <w:tr w:rsidR="00537D29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center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 Neue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缩略词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center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全称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center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BCRS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Barycentric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质心天球参考系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CIO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Celestial Intermediate Origin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天球中间参考系原点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CIP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Celestial Intermediate Pole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天球中间参考系极轴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CIRS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Celestial Intermediate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天球中间参考系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EE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equation of the equinoxes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二分点方程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EMB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Earth-Moon barycenter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地月质心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EO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equation of the origins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原点方程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FK4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fourth fundamental catalog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第四代基础星表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FK5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fifth fundamental catalog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第五代基础星表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GCRS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Geocentric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地心天球参考系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GMST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Greenwich mean 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格林威治平恒星时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GST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Greenwich (apparent) 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格林威治视恒星时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IAU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International Astronomical Union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国际天文学联合会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ICRS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International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国际天球参考系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IERS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International Earth rotation and reference systems service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国际地球自转及参考系服务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ITRS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International Terrestrial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国际地面参考系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J2000.0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2000 January 1.5 (in some specified time scale)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2000</w:t>
            </w:r>
            <w:r>
              <w:rPr>
                <w:rFonts w:ascii="PingFang TC" w:eastAsia="PingFang TC" w:hAnsi="Helvetica Neue" w:cs="PingFang TC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PingFang TC" w:eastAsia="PingFang TC" w:hAnsi="Helvetica Neue" w:cs="PingFang TC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PingFang TC" w:eastAsia="PingFang TC" w:hAnsi="Helvetica Neue" w:cs="PingFang TC" w:hint="eastAsia"/>
                <w:color w:val="000000"/>
                <w:kern w:val="0"/>
                <w:sz w:val="20"/>
                <w:szCs w:val="20"/>
              </w:rPr>
              <w:t>日</w:t>
            </w: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ascii="PingFang TC" w:eastAsia="PingFang TC" w:hAnsi="Helvetica Neue" w:cs="PingFang TC" w:hint="eastAsia"/>
                <w:color w:val="000000"/>
                <w:kern w:val="0"/>
                <w:sz w:val="20"/>
                <w:szCs w:val="20"/>
              </w:rPr>
              <w:t>时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NPB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nutation, precession and frame bias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章动、岁差及框架偏差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SOFA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Standards of Fundamental Astronomy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基础天文学标准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恒星时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TIO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Terrestrial Intermediate Origin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地面中间参考系原点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TIRS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Terrestrial Intermediate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地面中间参考系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TT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Terrestrial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地球时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UT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Universal Time UT1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世界时（</w:t>
            </w: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UT1</w:t>
            </w:r>
            <w:r>
              <w:rPr>
                <w:rFonts w:ascii="PingFang SC" w:eastAsia="PingFang SC" w:hAnsi="Helvetica Neue" w:cs="PingFang SC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537D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1"/>
                <w:sz w:val="24"/>
              </w:rPr>
            </w:pPr>
            <w:r>
              <w:rPr>
                <w:rFonts w:ascii="Helvetica Neue" w:eastAsia="PingFang SC" w:hAnsi="Helvetica Neue" w:cs="Helvetica Neue"/>
                <w:color w:val="000000"/>
                <w:kern w:val="0"/>
                <w:sz w:val="20"/>
                <w:szCs w:val="20"/>
              </w:rPr>
              <w:t>UTC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SC" w:hAnsi="Helvetica" w:cs="Helvetica"/>
                <w:kern w:val="1"/>
                <w:sz w:val="24"/>
              </w:rPr>
            </w:pPr>
            <w:r>
              <w:rPr>
                <w:rFonts w:ascii="Helvetica" w:eastAsia="PingFang SC" w:hAnsi="Helvetica" w:cs="Helvetica"/>
                <w:color w:val="000000"/>
                <w:kern w:val="0"/>
                <w:sz w:val="22"/>
                <w:szCs w:val="22"/>
              </w:rPr>
              <w:t>Coordinated Universal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协调世界时</w:t>
            </w:r>
          </w:p>
        </w:tc>
      </w:tr>
      <w:tr w:rsidR="00537D29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 Neue" w:eastAsia="PingFang TC" w:hAnsi="Helvetica Neue" w:cs="Helvetica Neue"/>
                <w:color w:val="000000"/>
                <w:kern w:val="0"/>
                <w:sz w:val="20"/>
                <w:szCs w:val="20"/>
              </w:rPr>
              <w:t>VLBI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" w:eastAsia="PingFang TC" w:hAnsi="Helvetica" w:cs="Helvetica"/>
                <w:kern w:val="1"/>
                <w:sz w:val="24"/>
              </w:rPr>
            </w:pPr>
            <w:r>
              <w:rPr>
                <w:rFonts w:ascii="Helvetica" w:eastAsia="PingFang TC" w:hAnsi="Helvetica" w:cs="Helvetica"/>
                <w:color w:val="000000"/>
                <w:kern w:val="0"/>
                <w:sz w:val="22"/>
                <w:szCs w:val="22"/>
              </w:rPr>
              <w:t>very long baseline interferometry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Default="00537D29">
            <w:pPr>
              <w:autoSpaceDE w:val="0"/>
              <w:autoSpaceDN w:val="0"/>
              <w:adjustRightInd w:val="0"/>
              <w:jc w:val="left"/>
              <w:rPr>
                <w:rFonts w:ascii="Helvetica Neue" w:eastAsia="PingFang TC" w:hAnsi="Helvetica Neue" w:cs="Helvetica Neue"/>
                <w:color w:val="000000"/>
                <w:kern w:val="0"/>
                <w:sz w:val="24"/>
              </w:rPr>
            </w:pPr>
            <w:r>
              <w:rPr>
                <w:rFonts w:ascii="PingFang TC" w:eastAsia="PingFang TC" w:hAnsi="Helvetica" w:cs="PingFang TC" w:hint="eastAsia"/>
                <w:color w:val="000000"/>
                <w:kern w:val="0"/>
                <w:sz w:val="20"/>
                <w:szCs w:val="20"/>
              </w:rPr>
              <w:t>甚长基线干涉</w:t>
            </w:r>
          </w:p>
        </w:tc>
      </w:tr>
    </w:tbl>
    <w:p w:rsidR="00537D29" w:rsidRPr="00203837" w:rsidRDefault="00537D29" w:rsidP="00203837">
      <w:pPr>
        <w:pStyle w:val="1"/>
        <w:numPr>
          <w:ilvl w:val="0"/>
          <w:numId w:val="6"/>
        </w:numPr>
        <w:spacing w:before="120" w:after="120" w:line="360" w:lineRule="auto"/>
        <w:ind w:left="0" w:firstLine="0"/>
        <w:rPr>
          <w:sz w:val="30"/>
          <w:szCs w:val="30"/>
        </w:rPr>
      </w:pPr>
      <w:r w:rsidRPr="00203837">
        <w:rPr>
          <w:rFonts w:hint="eastAsia"/>
          <w:sz w:val="30"/>
          <w:szCs w:val="30"/>
        </w:rPr>
        <w:lastRenderedPageBreak/>
        <w:t>天球坐标</w:t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Helvetica Neue" w:eastAsia="PingFang TC" w:hAnsi="Helvetica Neue" w:cs="Helvetica Neue"/>
          <w:color w:val="000000"/>
          <w:kern w:val="0"/>
          <w:sz w:val="24"/>
        </w:rPr>
        <w:t>SOFA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重点定义坐标类型、坐标系三要素等概念，并基于</w:t>
      </w:r>
      <w:r>
        <w:rPr>
          <w:rFonts w:ascii="Helvetica Neue" w:eastAsia="PingFang TC" w:hAnsi="Helvetica Neue" w:cs="Helvetica Neue"/>
          <w:color w:val="000000"/>
          <w:kern w:val="0"/>
          <w:sz w:val="24"/>
        </w:rPr>
        <w:t>IAU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模型、为球面坐标或坐标矢量提供包括岁差</w:t>
      </w:r>
      <w:r>
        <w:rPr>
          <w:rFonts w:ascii="Helvetica Neue" w:eastAsia="PingFang TC" w:hAnsi="Helvetica Neue" w:cs="Helvetica Neue"/>
          <w:color w:val="000000"/>
          <w:kern w:val="0"/>
          <w:sz w:val="24"/>
        </w:rPr>
        <w:t>-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章动、地球自转等计算工具。</w:t>
      </w:r>
      <w:r>
        <w:rPr>
          <w:rFonts w:ascii="Helvetica Neue" w:eastAsia="PingFang TC" w:hAnsi="Helvetica Neue" w:cs="Helvetica Neue"/>
          <w:color w:val="000000"/>
          <w:kern w:val="0"/>
          <w:sz w:val="24"/>
        </w:rPr>
        <w:t>SOFA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未提供引力弯曲、光行差、周日视差和大气折射等计算工具。</w:t>
      </w:r>
    </w:p>
    <w:p w:rsidR="00537D29" w:rsidRPr="00203837" w:rsidRDefault="00537D29" w:rsidP="00203837">
      <w:pPr>
        <w:pStyle w:val="1"/>
        <w:numPr>
          <w:ilvl w:val="0"/>
          <w:numId w:val="6"/>
        </w:numPr>
        <w:spacing w:before="120" w:after="120" w:line="360" w:lineRule="auto"/>
        <w:ind w:left="0" w:firstLine="0"/>
        <w:rPr>
          <w:sz w:val="30"/>
          <w:szCs w:val="30"/>
        </w:rPr>
      </w:pPr>
      <w:r w:rsidRPr="00203837">
        <w:rPr>
          <w:rFonts w:hint="eastAsia"/>
          <w:sz w:val="30"/>
          <w:szCs w:val="30"/>
        </w:rPr>
        <w:t>天球参考系进化史</w:t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经典天球参考系建立在天赤道和黄道基础上，并将春分点定义为赤经零点。这个参考系精度较低，可以用于描述天文现象，但不能满足现代高精度应用需求（例如基于</w:t>
      </w:r>
      <w:r>
        <w:rPr>
          <w:rFonts w:ascii="Helvetica Neue" w:eastAsia="PingFang TC" w:hAnsi="Helvetica Neue" w:cs="Helvetica Neue"/>
          <w:color w:val="000000"/>
          <w:kern w:val="0"/>
          <w:sz w:val="24"/>
        </w:rPr>
        <w:t>VLBI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或脉冲星的时间基准）。</w:t>
      </w:r>
      <w:r>
        <w:rPr>
          <w:rFonts w:ascii="Helvetica Neue" w:eastAsia="PingFang TC" w:hAnsi="Helvetica Neue" w:cs="Helvetica Neue"/>
          <w:color w:val="000000"/>
          <w:kern w:val="0"/>
          <w:sz w:val="24"/>
        </w:rPr>
        <w:t xml:space="preserve"> </w:t>
      </w:r>
    </w:p>
    <w:p w:rsidR="005D7482" w:rsidRDefault="005D7482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</w:p>
    <w:p w:rsidR="00537D29" w:rsidRDefault="004A6B28" w:rsidP="00537D29">
      <w:pPr>
        <w:autoSpaceDE w:val="0"/>
        <w:autoSpaceDN w:val="0"/>
        <w:adjustRightInd w:val="0"/>
        <w:spacing w:line="360" w:lineRule="auto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 w:rsidRPr="004A6B28">
        <w:rPr>
          <w:rFonts w:ascii="Helvetica Neue" w:eastAsia="PingFang TC" w:hAnsi="Helvetica Neue" w:cs="Helvetica Neue"/>
          <w:color w:val="000000"/>
          <w:kern w:val="0"/>
          <w:sz w:val="24"/>
        </w:rPr>
        <w:lastRenderedPageBreak/>
        <w:drawing>
          <wp:inline distT="0" distB="0" distL="0" distR="0" wp14:anchorId="13C1F7BC" wp14:editId="62599093">
            <wp:extent cx="5486400" cy="639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</w:p>
    <w:p w:rsidR="00537D29" w:rsidRDefault="003B3549" w:rsidP="004A6B28">
      <w:pPr>
        <w:autoSpaceDE w:val="0"/>
        <w:autoSpaceDN w:val="0"/>
        <w:adjustRightInd w:val="0"/>
        <w:spacing w:line="360" w:lineRule="auto"/>
        <w:jc w:val="left"/>
        <w:rPr>
          <w:rFonts w:ascii="Helvetica Neue" w:eastAsia="PingFang TC" w:hAnsi="Helvetica Neue" w:cs="Helvetica Neue" w:hint="eastAsia"/>
          <w:color w:val="000000"/>
          <w:kern w:val="0"/>
          <w:sz w:val="24"/>
        </w:rPr>
      </w:pPr>
      <w:r w:rsidRPr="003B3549">
        <w:rPr>
          <w:rFonts w:ascii="Helvetica Neue" w:eastAsia="PingFang TC" w:hAnsi="Helvetica Neue" w:cs="Helvetica Neue"/>
          <w:color w:val="000000"/>
          <w:kern w:val="0"/>
          <w:sz w:val="24"/>
        </w:rPr>
        <w:lastRenderedPageBreak/>
        <w:drawing>
          <wp:inline distT="0" distB="0" distL="0" distR="0" wp14:anchorId="12D8BFA4" wp14:editId="0F653F5B">
            <wp:extent cx="5486400" cy="6981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</w:p>
    <w:p w:rsidR="00CF3FBD" w:rsidRDefault="00CF3FBD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 w:hint="eastAsia"/>
          <w:color w:val="000000"/>
          <w:kern w:val="0"/>
          <w:sz w:val="24"/>
        </w:rPr>
      </w:pPr>
      <w:bookmarkStart w:id="0" w:name="_GoBack"/>
      <w:bookmarkEnd w:id="0"/>
    </w:p>
    <w:p w:rsidR="00537D29" w:rsidRPr="00203837" w:rsidRDefault="00537D29" w:rsidP="00203837">
      <w:pPr>
        <w:pStyle w:val="1"/>
        <w:numPr>
          <w:ilvl w:val="0"/>
          <w:numId w:val="6"/>
        </w:numPr>
        <w:spacing w:before="120" w:after="120" w:line="360" w:lineRule="auto"/>
        <w:ind w:left="0" w:firstLine="0"/>
        <w:rPr>
          <w:sz w:val="30"/>
          <w:szCs w:val="30"/>
        </w:rPr>
      </w:pPr>
      <w:r w:rsidRPr="00203837">
        <w:rPr>
          <w:rFonts w:hint="eastAsia"/>
          <w:sz w:val="30"/>
          <w:szCs w:val="30"/>
        </w:rPr>
        <w:lastRenderedPageBreak/>
        <w:t>最新模型</w:t>
      </w:r>
    </w:p>
    <w:p w:rsidR="00537D29" w:rsidRDefault="00537D29" w:rsidP="00537D29">
      <w:pPr>
        <w:autoSpaceDE w:val="0"/>
        <w:autoSpaceDN w:val="0"/>
        <w:adjustRightInd w:val="0"/>
        <w:spacing w:line="360" w:lineRule="auto"/>
        <w:ind w:firstLine="680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最新模型基于：</w:t>
      </w:r>
    </w:p>
    <w:p w:rsidR="00537D29" w:rsidRDefault="00537D29" w:rsidP="00537D29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="261" w:firstLine="418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Helvetica Neue" w:eastAsia="PingFang TC" w:hAnsi="Helvetica Neue" w:cs="Helvetica Neue"/>
          <w:color w:val="000000"/>
          <w:kern w:val="0"/>
          <w:sz w:val="24"/>
        </w:rPr>
        <w:t>IAU 2006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岁差</w:t>
      </w:r>
    </w:p>
    <w:p w:rsidR="00537D29" w:rsidRDefault="00537D29" w:rsidP="00537D29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="261" w:firstLine="418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Helvetica Neue" w:eastAsia="PingFang TC" w:hAnsi="Helvetica Neue" w:cs="Helvetica Neue"/>
          <w:color w:val="000000"/>
          <w:kern w:val="0"/>
          <w:sz w:val="24"/>
        </w:rPr>
        <w:t>IERS 2003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极移</w:t>
      </w:r>
    </w:p>
    <w:p w:rsidR="00537D29" w:rsidRDefault="00537D29" w:rsidP="00537D29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="261" w:firstLine="418"/>
        <w:jc w:val="left"/>
        <w:rPr>
          <w:rFonts w:ascii="Helvetica Neue" w:eastAsia="PingFang TC" w:hAnsi="Helvetica Neue" w:cs="Helvetica Neue"/>
          <w:color w:val="000000"/>
          <w:kern w:val="0"/>
          <w:sz w:val="24"/>
        </w:rPr>
      </w:pPr>
      <w:r>
        <w:rPr>
          <w:rFonts w:ascii="Helvetica Neue" w:eastAsia="PingFang TC" w:hAnsi="Helvetica Neue" w:cs="Helvetica Neue"/>
          <w:color w:val="000000"/>
          <w:kern w:val="0"/>
          <w:sz w:val="24"/>
        </w:rPr>
        <w:t>IAU 2000</w:t>
      </w:r>
      <w:r>
        <w:rPr>
          <w:rFonts w:ascii="PingFang TC" w:eastAsia="PingFang TC" w:hAnsi="Helvetica Neue" w:cs="PingFang TC" w:hint="eastAsia"/>
          <w:color w:val="000000"/>
          <w:kern w:val="0"/>
          <w:sz w:val="24"/>
        </w:rPr>
        <w:t>章动和地球自转</w:t>
      </w:r>
    </w:p>
    <w:p w:rsidR="00C13EF7" w:rsidRDefault="00C13EF7"/>
    <w:sectPr w:rsidR="00C13EF7" w:rsidSect="00557D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5E3C5C"/>
    <w:multiLevelType w:val="hybridMultilevel"/>
    <w:tmpl w:val="953A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9"/>
    <w:rsid w:val="001470DA"/>
    <w:rsid w:val="00203837"/>
    <w:rsid w:val="003B3549"/>
    <w:rsid w:val="00404118"/>
    <w:rsid w:val="004A6B28"/>
    <w:rsid w:val="00537D29"/>
    <w:rsid w:val="005D7482"/>
    <w:rsid w:val="00C13EF7"/>
    <w:rsid w:val="00C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1B01"/>
  <w15:chartTrackingRefBased/>
  <w15:docId w15:val="{EC7EDD1B-C249-6148-A3D3-916FAF27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7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70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8</cp:revision>
  <dcterms:created xsi:type="dcterms:W3CDTF">2019-06-24T04:28:00Z</dcterms:created>
  <dcterms:modified xsi:type="dcterms:W3CDTF">2019-06-24T04:32:00Z</dcterms:modified>
</cp:coreProperties>
</file>