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E7490" w:sz="28" w:space="1"/>
        </w:pBdr>
        <w:spacing w:before="360" w:after="0"/>
      </w:pPr>
    </w:p>
    <w:p>
      <w:pPr>
        <w:spacing w:before="0" w:after="3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0A0A0A"/>
          <w:spacing w:val="60"/>
          <w:sz w:val="96"/>
          <w:szCs w:val="96"/>
        </w:rPr>
        <w:t xml:space="preserve">G-ROOK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E7490"/>
          <w:spacing w:val="200"/>
          <w:sz w:val="36"/>
          <w:szCs w:val="36"/>
        </w:rPr>
        <w:t xml:space="preserve">TECHNICAL FRAMEWORK</w:t>
      </w:r>
    </w:p>
    <w:p>
      <w:pPr>
        <w:spacing w:before="0" w:after="320"/>
      </w:pPr>
      <w:r>
        <w:rPr>
          <w:rFonts w:ascii="Georgia" w:cs="Georgia" w:eastAsia="Georgia" w:hAnsi="Georgia"/>
          <w:i/>
          <w:iCs/>
          <w:color w:val="64748B"/>
          <w:sz w:val="26"/>
          <w:szCs w:val="26"/>
        </w:rPr>
        <w:t xml:space="preserve">Reef-King Defense  ·  6/7 Living Monolith</w:t>
      </w:r>
    </w:p>
    <w:p>
      <w:pPr>
        <w:pBdr>
          <w:bottom w:val="single" w:color="0EA5E9" w:sz="6" w:space="1"/>
        </w:pBdr>
        <w:spacing w:before="0" w:after="0"/>
      </w:pPr>
    </w:p>
    <w:p>
      <w:pPr>
        <w:spacing w:before="0" w:after="180"/>
      </w:pPr>
    </w:p>
    <w:p>
      <w:pPr>
        <w:spacing w:before="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PROJECT  </w:t>
      </w:r>
      <w:r>
        <w:rPr>
          <w:rFonts w:ascii="Arial" w:cs="Arial" w:eastAsia="Arial" w:hAnsi="Arial"/>
          <w:b/>
          <w:bCs/>
          <w:color w:val="0D1520"/>
          <w:sz w:val="18"/>
          <w:szCs w:val="18"/>
        </w:rPr>
        <w:t xml:space="preserve">Reef-King Defense / 6/7 Living Monolith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LEAD ENGINEER  </w:t>
      </w:r>
      <w:r>
        <w:rPr>
          <w:rFonts w:ascii="Arial" w:cs="Arial" w:eastAsia="Arial" w:hAnsi="Arial"/>
          <w:b/>
          <w:bCs/>
          <w:color w:val="0D1520"/>
          <w:sz w:val="18"/>
          <w:szCs w:val="18"/>
        </w:rPr>
        <w:t xml:space="preserve">Thomas Joseph William Salmon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REPORT DATE  </w:t>
      </w:r>
      <w:r>
        <w:rPr>
          <w:rFonts w:ascii="Arial" w:cs="Arial" w:eastAsia="Arial" w:hAnsi="Arial"/>
          <w:b/>
          <w:bCs/>
          <w:color w:val="0D1520"/>
          <w:sz w:val="18"/>
          <w:szCs w:val="18"/>
        </w:rPr>
        <w:t xml:space="preserve">March 10, 2026</w:t>
      </w:r>
    </w:p>
    <w:p>
      <w:pPr>
        <w:spacing w:before="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STATUS 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PHASE 1 — ACTIVE INITIALIZATION</w:t>
      </w:r>
    </w:p>
    <w:p>
      <w:pPr>
        <w:spacing w:before="0"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2"/>
              <w:left w:val="single" w:color="10B981" w:sz="20"/>
              <w:bottom w:val="single" w:color="0E7490" w:sz="2"/>
              <w:right w:val="single" w:color="0E7490" w:sz="2"/>
            </w:tcBorders>
            <w:shd w:fill="042F2E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pacing w:val="200"/>
                <w:sz w:val="18"/>
                <w:szCs w:val="18"/>
              </w:rPr>
              <w:t xml:space="preserve">PHASE 1  ·  ACTIVE INITIALIZATION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SABI matrix deployment in progress. Calcification layers bonding. Bioluminescent colony health verified.</w:t>
            </w:r>
          </w:p>
        </w:tc>
      </w:tr>
    </w:tbl>
    <w:p>
      <w:pPr>
        <w:spacing w:before="0" w:after="6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1.0  Executive Summary</w:t>
      </w:r>
    </w:p>
    <w:p>
      <w:pPr>
        <w:pBdr>
          <w:bottom w:val="single" w:color="0E7490" w:sz="8" w:space="1"/>
        </w:pBdr>
        <w:spacing w:before="0" w:after="0"/>
      </w:pPr>
    </w:p>
    <w:p>
      <w:pPr>
        <w:spacing w:before="0" w:after="100"/>
      </w:pPr>
    </w:p>
    <w:p>
      <w:pPr>
        <w:spacing w:before="80" w:after="140" w:line="320" w:lineRule="auto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D1520"/>
          <w:sz w:val="22"/>
          <w:szCs w:val="22"/>
        </w:rPr>
        <w:t xml:space="preserve">The G-ROOK framework utilizes Self-Assembling Biogenic Infrastructure (SABI) to provide a sustainable, self-healing coastal defense system. The current deployment focuses on the synchronization of the 6/7 Concrete Crown with a synthetic coral matrix to mitigate hydrodynamic surges while fostering local marine biodiversity.</w:t>
      </w:r>
    </w:p>
    <w:p>
      <w:pPr>
        <w:spacing w:before="80" w:after="140" w:line="320" w:lineRule="auto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D1520"/>
          <w:sz w:val="22"/>
          <w:szCs w:val="22"/>
        </w:rPr>
        <w:t xml:space="preserve">Unlike static seawall architectures that degrade under sustained tidal stress, the G-ROOK system is designed to strengthen over time. Each storm event accelerates aragonite deposition, reinforcing structural integrity organically and without external maintenance.</w:t>
      </w:r>
    </w:p>
    <w:p>
      <w:pPr>
        <w:spacing w:before="0" w:after="1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2.0  Architectural Specifications</w:t>
      </w:r>
    </w:p>
    <w:p>
      <w:pPr>
        <w:pBdr>
          <w:bottom w:val="single" w:color="0E7490" w:sz="8" w:space="1"/>
        </w:pBdr>
        <w:spacing w:before="0" w:after="0"/>
      </w:pP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FAE5" w:sz="1"/>
              <w:left w:val="single" w:color="0E7490" w:sz="12"/>
              <w:bottom w:val="single" w:color="D1FAE5" w:sz="1"/>
              <w:right w:val="none" w:color="auto" w:sz="0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Infrastructure Type</w:t>
            </w:r>
          </w:p>
        </w:tc>
        <w:tc>
          <w:tcPr>
            <w:tcW w:type="dxa" w:w="6360"/>
            <w:tcBorders>
              <w:top w:val="single" w:color="D1FAE5" w:sz="1"/>
              <w:left w:val="none" w:color="auto" w:sz="0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SABI — Self-Assembling Biogenic Infrastructure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0E7490" w:sz="12"/>
              <w:bottom w:val="single" w:color="D1FAE5" w:sz="1"/>
              <w:right w:val="none" w:color="auto" w:sz="0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Crown Dimension</w:t>
            </w:r>
          </w:p>
        </w:tc>
        <w:tc>
          <w:tcPr>
            <w:tcW w:type="dxa" w:w="6360"/>
            <w:tcBorders>
              <w:top w:val="single" w:color="D1FAE5" w:sz="1"/>
              <w:left w:val="none" w:color="auto" w:sz="0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6ft Concrete Reinforced Shell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0E7490" w:sz="12"/>
              <w:bottom w:val="single" w:color="D1FAE5" w:sz="1"/>
              <w:right w:val="none" w:color="auto" w:sz="0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Sub-Structure Clearance</w:t>
            </w:r>
          </w:p>
        </w:tc>
        <w:tc>
          <w:tcPr>
            <w:tcW w:type="dxa" w:w="6360"/>
            <w:tcBorders>
              <w:top w:val="single" w:color="D1FAE5" w:sz="1"/>
              <w:left w:val="none" w:color="auto" w:sz="0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7ft Fluid-Passage Void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0E7490" w:sz="12"/>
              <w:bottom w:val="single" w:color="D1FAE5" w:sz="1"/>
              <w:right w:val="none" w:color="auto" w:sz="0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Matrix Material</w:t>
            </w:r>
          </w:p>
        </w:tc>
        <w:tc>
          <w:tcPr>
            <w:tcW w:type="dxa" w:w="6360"/>
            <w:tcBorders>
              <w:top w:val="single" w:color="D1FAE5" w:sz="1"/>
              <w:left w:val="none" w:color="auto" w:sz="0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Bio-receptive concrete with integrated coral-seed catalysts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0E7490" w:sz="12"/>
              <w:bottom w:val="single" w:color="D1FAE5" w:sz="1"/>
              <w:right w:val="none" w:color="auto" w:sz="0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Defense Classification</w:t>
            </w:r>
          </w:p>
        </w:tc>
        <w:tc>
          <w:tcPr>
            <w:tcW w:type="dxa" w:w="6360"/>
            <w:tcBorders>
              <w:top w:val="single" w:color="D1FAE5" w:sz="1"/>
              <w:left w:val="none" w:color="auto" w:sz="0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Coastal Defense / Environmental Reinforcement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0E7490" w:sz="12"/>
              <w:bottom w:val="single" w:color="D1FAE5" w:sz="1"/>
              <w:right w:val="none" w:color="auto" w:sz="0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System Category</w:t>
            </w:r>
          </w:p>
        </w:tc>
        <w:tc>
          <w:tcPr>
            <w:tcW w:type="dxa" w:w="6360"/>
            <w:tcBorders>
              <w:top w:val="single" w:color="D1FAE5" w:sz="1"/>
              <w:left w:val="none" w:color="auto" w:sz="0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Living Monolith — Biogenic Dynamic Architecture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3.0  SABI System Performance</w:t>
      </w:r>
    </w:p>
    <w:p>
      <w:pPr>
        <w:pBdr>
          <w:bottom w:val="single" w:color="0E7490" w:sz="8" w:space="1"/>
        </w:pBdr>
        <w:spacing w:before="0" w:after="0"/>
      </w:pPr>
    </w:p>
    <w:p>
      <w:pPr>
        <w:spacing w:before="0" w:after="100"/>
      </w:pPr>
    </w:p>
    <w:p>
      <w:pPr>
        <w:spacing w:before="80" w:after="140" w:line="320" w:lineRule="auto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D1520"/>
          <w:sz w:val="22"/>
          <w:szCs w:val="22"/>
        </w:rPr>
        <w:t xml:space="preserve">Current matrix development is ahead of schedule. All key performance indicators are tracking positive across the initial deployment array.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059669" w:sz="14"/>
              <w:bottom w:val="single" w:color="D1FAE5" w:sz="1"/>
              <w:right w:val="single" w:color="D1FAE5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⬡  </w:t>
            </w:r>
            <w:r>
              <w:rPr>
                <w:rFonts w:ascii="Arial" w:cs="Arial" w:eastAsia="Arial" w:hAnsi="Arial"/>
                <w:b/>
                <w:bCs/>
                <w:color w:val="0D1520"/>
                <w:sz w:val="21"/>
                <w:szCs w:val="21"/>
              </w:rPr>
              <w:t xml:space="preserve">Calcification Bonding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NOMINAL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Aragonite layers bonding successfully to the primary 6ft concrete seed structure.</w:t>
            </w:r>
          </w:p>
        </w:tc>
      </w:tr>
      <w:tr>
        <w:tc>
          <w:tcPr>
            <w:tcW w:type="dxa" w:w="9360"/>
            <w:tcBorders>
              <w:top w:val="single" w:color="D1FAE5" w:sz="1"/>
              <w:left w:val="single" w:color="0E7490" w:sz="14"/>
              <w:bottom w:val="single" w:color="D1FAE5" w:sz="1"/>
              <w:right w:val="single" w:color="D1FAE5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🔄  </w:t>
            </w:r>
            <w:r>
              <w:rPr>
                <w:rFonts w:ascii="Arial" w:cs="Arial" w:eastAsia="Arial" w:hAnsi="Arial"/>
                <w:b/>
                <w:bCs/>
                <w:color w:val="0D1520"/>
                <w:sz w:val="21"/>
                <w:szCs w:val="21"/>
              </w:rPr>
              <w:t xml:space="preserve">Self-Healing Protocols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ACTIVE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Structural micro-fractures caused by tidal oscillation have been identified and addressed autonomously.</w:t>
            </w:r>
          </w:p>
        </w:tc>
      </w:tr>
      <w:tr>
        <w:tc>
          <w:tcPr>
            <w:tcW w:type="dxa" w:w="9360"/>
            <w:tcBorders>
              <w:top w:val="single" w:color="D1FAE5" w:sz="1"/>
              <w:left w:val="single" w:color="10B981" w:sz="14"/>
              <w:bottom w:val="single" w:color="D1FAE5" w:sz="1"/>
              <w:right w:val="single" w:color="D1FAE5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0D1520"/>
                <w:sz w:val="21"/>
                <w:szCs w:val="21"/>
              </w:rPr>
              <w:t xml:space="preserve">Bioluminescent Indicators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VERIFIED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Visual verification of live-colony health active across full G-ROOK array. No degradation detected.</w:t>
            </w:r>
          </w:p>
        </w:tc>
      </w:tr>
      <w:tr>
        <w:tc>
          <w:tcPr>
            <w:tcW w:type="dxa" w:w="9360"/>
            <w:tcBorders>
              <w:top w:val="single" w:color="D1FAE5" w:sz="1"/>
              <w:left w:val="single" w:color="059669" w:sz="14"/>
              <w:bottom w:val="single" w:color="D1FAE5" w:sz="1"/>
              <w:right w:val="single" w:color="D1FAE5" w:sz="1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📡  </w:t>
            </w:r>
            <w:r>
              <w:rPr>
                <w:rFonts w:ascii="Arial" w:cs="Arial" w:eastAsia="Arial" w:hAnsi="Arial"/>
                <w:b/>
                <w:bCs/>
                <w:color w:val="0D1520"/>
                <w:sz w:val="21"/>
                <w:szCs w:val="21"/>
              </w:rPr>
              <w:t xml:space="preserve">Matrix Development Schedule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AHEAD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Deployment ahead of projected timeline. Secondary calcification layer exceeding growth rate targets.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4.0  Wave Attenuation &amp; Fluid Dynamics</w:t>
      </w:r>
    </w:p>
    <w:p>
      <w:pPr>
        <w:pBdr>
          <w:bottom w:val="single" w:color="0E7490" w:sz="8" w:space="1"/>
        </w:pBdr>
        <w:spacing w:before="0" w:after="0"/>
      </w:pPr>
    </w:p>
    <w:p>
      <w:pPr>
        <w:spacing w:before="0" w:after="100"/>
      </w:pPr>
    </w:p>
    <w:p>
      <w:pPr>
        <w:spacing w:before="80" w:after="140" w:line="320" w:lineRule="auto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D1520"/>
          <w:sz w:val="22"/>
          <w:szCs w:val="22"/>
        </w:rPr>
        <w:t xml:space="preserve">The 7ft sub-structure clearance is maintaining optimal nutrient-rich tidal flow through the lower matrix. This design feature is central to the G-ROOK's dual-purpose function: coastal defense and active reef cultivation.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4748B" w:sz="2"/>
              <w:left w:val="none" w:color="auto" w:sz="0"/>
              <w:bottom w:val="single" w:color="64748B" w:sz="2"/>
              <w:right w:val="single" w:color="E2E8F0" w:sz="1"/>
            </w:tcBorders>
            <w:shd w:fill="FEF2F2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pacing w:val="100"/>
                <w:sz w:val="18"/>
                <w:szCs w:val="18"/>
              </w:rPr>
              <w:t xml:space="preserve">STATIC SEAWALL</w:t>
            </w:r>
          </w:p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Reflects wave energy back into surf zone</w:t>
            </w:r>
          </w:p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Causes sediment scouring and backwash erosion</w:t>
            </w:r>
          </w:p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Degrades structurally over time under surge load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Blocks nutrient flow — kills marine ecosystem</w:t>
            </w:r>
          </w:p>
        </w:tc>
        <w:tc>
          <w:tcPr>
            <w:tcW w:type="dxa" w:w="4680"/>
            <w:tcBorders>
              <w:top w:val="single" w:color="059669" w:sz="2"/>
              <w:left w:val="single" w:color="E2E8F0" w:sz="1"/>
              <w:bottom w:val="single" w:color="059669" w:sz="2"/>
              <w:right w:val="none" w:color="auto" w:sz="0"/>
            </w:tcBorders>
            <w:shd w:fill="F0FDF4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pacing w:val="100"/>
                <w:sz w:val="18"/>
                <w:szCs w:val="18"/>
              </w:rPr>
              <w:t xml:space="preserve">G-ROOK / 6/7 LIVING MONOLITH</w:t>
            </w:r>
          </w:p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Dissipates wave energy through porous biogenic structure</w:t>
            </w:r>
          </w:p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7ft clearance prevents backwash — protects shoreline sediment</w:t>
            </w:r>
          </w:p>
          <w:p>
            <w:pPr>
              <w:spacing w:before="0" w:after="4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Strengthens over time via aragonite deposition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Maintains nutrient flow — actively builds reef colony</w:t>
            </w:r>
          </w:p>
        </w:tc>
      </w:tr>
    </w:tbl>
    <w:p>
      <w:pPr>
        <w:spacing w:before="0" w:after="140"/>
      </w:pPr>
    </w:p>
    <w:p>
      <w:pPr>
        <w:spacing w:before="80" w:after="140" w:line="320" w:lineRule="auto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D1520"/>
          <w:sz w:val="22"/>
          <w:szCs w:val="22"/>
        </w:rPr>
        <w:t xml:space="preserve">Pulse-surge testing confirms significant reduction in backwash energy across all tested tidal cycles. Shoreline sediment retention is exceeding baseline projections. The 6ft crown is performing dual action: breaking cresting wave force above while the 7ft void allows laminar nutrient flow below.</w:t>
      </w:r>
    </w:p>
    <w:p>
      <w:pPr>
        <w:spacing w:before="0"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5.0  Upcoming Milestones</w:t>
      </w:r>
    </w:p>
    <w:p>
      <w:pPr>
        <w:pBdr>
          <w:bottom w:val="single" w:color="0E7490" w:sz="8" w:space="1"/>
        </w:pBdr>
        <w:spacing w:before="0" w:after="0"/>
      </w:pP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auto" w:sz="0"/>
              <w:left w:val="none" w:color="auto" w:sz="0"/>
              <w:bottom w:val="single" w:color="E2F8F2" w:sz="1"/>
              <w:right w:val="none" w:color="auto" w:sz="0"/>
            </w:tcBorders>
            <w:shd w:fill="0A2540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720"/>
            <w:tcBorders>
              <w:top w:val="none" w:color="auto" w:sz="0"/>
              <w:left w:val="single" w:color="1E293B" w:sz="1"/>
              <w:bottom w:val="single" w:color="E2F8F2" w:sz="1"/>
              <w:right w:val="none" w:color="auto" w:sz="0"/>
            </w:tcBorders>
            <w:shd w:fill="F8FAFC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Completion of the Secondary Poly-Matrix Bridge — structural reinforcement of the primary calcification layer with secondary biogenic mesh.</w:t>
            </w:r>
          </w:p>
        </w:tc>
      </w:tr>
      <w:tr>
        <w:tc>
          <w:tcPr>
            <w:tcW w:type="dxa" w:w="640"/>
            <w:tcBorders>
              <w:top w:val="none" w:color="auto" w:sz="0"/>
              <w:left w:val="none" w:color="auto" w:sz="0"/>
              <w:bottom w:val="single" w:color="E2F8F2" w:sz="1"/>
              <w:right w:val="none" w:color="auto" w:sz="0"/>
            </w:tcBorders>
            <w:shd w:fill="0A2540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720"/>
            <w:tcBorders>
              <w:top w:val="none" w:color="auto" w:sz="0"/>
              <w:left w:val="single" w:color="1E293B" w:sz="1"/>
              <w:bottom w:val="single" w:color="E2F8F2" w:sz="1"/>
              <w:right w:val="none" w:color="auto" w:sz="0"/>
            </w:tcBorders>
            <w:shd w:fill="F8FAFC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Integration of IPFS Cryptographic Anchors for immutable structural data logging — enabling tamper-proof health reporting and chain-of-custody for all SABI events.</w:t>
            </w:r>
          </w:p>
        </w:tc>
      </w:tr>
      <w:tr>
        <w:tc>
          <w:tcPr>
            <w:tcW w:type="dxa" w:w="640"/>
            <w:tcBorders>
              <w:top w:val="none" w:color="auto" w:sz="0"/>
              <w:left w:val="none" w:color="auto" w:sz="0"/>
              <w:bottom w:val="single" w:color="E2F8F2" w:sz="1"/>
              <w:right w:val="none" w:color="auto" w:sz="0"/>
            </w:tcBorders>
            <w:shd w:fill="0A2540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720"/>
            <w:tcBorders>
              <w:top w:val="none" w:color="auto" w:sz="0"/>
              <w:left w:val="single" w:color="1E293B" w:sz="1"/>
              <w:bottom w:val="single" w:color="E2F8F2" w:sz="1"/>
              <w:right w:val="none" w:color="auto" w:sz="0"/>
            </w:tcBorders>
            <w:shd w:fill="F8FAFC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D1520"/>
                <w:sz w:val="21"/>
                <w:szCs w:val="21"/>
              </w:rPr>
              <w:t xml:space="preserve">Expansion of the Reef-King defense line across identified erosion hotspots — Phase 2 deployment targeting high-priority coastal vulnerability zones.</w:t>
            </w:r>
          </w:p>
        </w:tc>
      </w:tr>
    </w:tbl>
    <w:p>
      <w:pPr>
        <w:spacing w:before="0"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AE6FD" w:sz="1"/>
              <w:left w:val="single" w:color="0E7490" w:sz="14"/>
              <w:bottom w:val="single" w:color="BAE6FD" w:sz="1"/>
              <w:right w:val="single" w:color="BAE6FD" w:sz="1"/>
            </w:tcBorders>
            <w:shd w:fill="F0F9FF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7490"/>
                <w:spacing w:val="120"/>
                <w:sz w:val="17"/>
                <w:szCs w:val="17"/>
              </w:rPr>
              <w:t xml:space="preserve">G-SHIELD INTEGRATION NOTE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0D1520"/>
                <w:sz w:val="20"/>
                <w:szCs w:val="20"/>
              </w:rPr>
              <w:t xml:space="preserve">System integrity is monitored via G-SHIELD IPFS anchors. These decentralized nodes log structural health and environmental flux data without reliance on centralized servers, ensuring the Reef-King defense line operates as a secured, tamper-resistant data network in addition to its physical function.</w:t>
            </w:r>
          </w:p>
        </w:tc>
      </w:tr>
    </w:tbl>
    <w:p>
      <w:pPr>
        <w:spacing w:before="0" w:after="300"/>
      </w:pPr>
    </w:p>
    <w:p>
      <w:pPr>
        <w:pBdr>
          <w:bottom w:val="single" w:color="0EA5E9" w:sz="6" w:space="1"/>
        </w:pBdr>
        <w:spacing w:before="0" w:after="0"/>
      </w:pPr>
    </w:p>
    <w:p>
      <w:pPr>
        <w:spacing w:before="0" w:after="20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0D1520"/>
          <w:sz w:val="24"/>
          <w:szCs w:val="24"/>
        </w:rPr>
        <w:t xml:space="preserve">Thomas Joseph William Salmon</w:t>
      </w:r>
    </w:p>
    <w:p>
      <w:pPr>
        <w:spacing w:before="0" w:after="60"/>
      </w:pPr>
      <w:r>
        <w:rPr>
          <w:rFonts w:ascii="Georgia" w:cs="Georgia" w:eastAsia="Georgia" w:hAnsi="Georgia"/>
          <w:i/>
          <w:iCs/>
          <w:color w:val="64748B"/>
          <w:sz w:val="20"/>
          <w:szCs w:val="20"/>
        </w:rPr>
        <w:t xml:space="preserve">Lead Engineer  ·  G-ROOK / Reef-King Defense</w:t>
      </w:r>
    </w:p>
    <w:p>
      <w:pPr>
        <w:spacing w:before="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March 10, 2026  ·  Phase 1  ·  Confidential Intellectual Property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F2FE" w:sz="4" w:space="1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64748B"/>
        <w:sz w:val="16"/>
        <w:szCs w:val="16"/>
      </w:rPr>
      <w:t xml:space="preserve">Thomas Joseph William Salmon  ·  Confidential IP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1"/>
      </w:pBdr>
      <w:tabs>
        <w:tab w:val="right" w:pos="9026"/>
      </w:tabs>
      <w:spacing w:before="0" w:after="160"/>
    </w:pPr>
    <w:r>
      <w:rPr>
        <w:rFonts w:ascii="Arial" w:cs="Arial" w:eastAsia="Arial" w:hAnsi="Arial"/>
        <w:b/>
        <w:bCs/>
        <w:color w:val="0E7490"/>
        <w:spacing w:val="120"/>
        <w:sz w:val="16"/>
        <w:szCs w:val="16"/>
      </w:rPr>
      <w:t xml:space="preserve">G-ROOK TECHNICAL FRAMEWORK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Reef-King Defense  ·  PHASE 1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D1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0A0A0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2026-03-15T00:51:41.083Z</dcterms:created>
  <dcterms:modified xsi:type="dcterms:W3CDTF">2026-03-15T00:51:41.084Z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