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80c10"/>
          <w:sz w:val="40"/>
          <w:szCs w:val="40"/>
        </w:rPr>
        <w:t xml:space="preserve">SALMON NEUTRINO-FLUX HYPOTHESIS</w:t>
      </w:r>
    </w:p>
    <w:p>
      <w:pPr>
        <w:spacing w:after="80" w:before="0"/>
        <w:jc w:val="center"/>
      </w:pPr>
      <w:r>
        <w:rPr>
          <w:rFonts w:ascii="Arial" w:cs="Arial" w:eastAsia="Arial" w:hAnsi="Arial"/>
          <w:i/>
          <w:iCs/>
          <w:color w:val="3a6a8a"/>
          <w:sz w:val="28"/>
          <w:szCs w:val="28"/>
        </w:rPr>
        <w:t xml:space="preserve">Differential Neutrino Exposure Between Stellar and Man-Made Light</w:t>
      </w:r>
    </w:p>
    <w:p>
      <w:pPr>
        <w:spacing w:after="80" w:before="0"/>
        <w:jc w:val="center"/>
      </w:pPr>
      <w:r>
        <w:rPr>
          <w:rFonts w:ascii="Arial" w:cs="Arial" w:eastAsia="Arial" w:hAnsi="Arial"/>
          <w:i/>
          <w:iCs/>
          <w:color w:val="3a6a8a"/>
          <w:sz w:val="28"/>
          <w:szCs w:val="28"/>
        </w:rPr>
        <w:t xml:space="preserve">as a Causal Factor in Anomalous Double-Slit Observations</w:t>
      </w:r>
    </w:p>
    <w:p>
      <w:pPr>
        <w:pBdr>
          <w:bottom w:val="single" w:color="2a5a8a" w:sz="4" w:space="1"/>
        </w:pBdr>
        <w:spacing w:after="80" w:before="80"/>
        <w:jc w:val="center"/>
      </w:pPr>
      <w:r>
        <w:rPr>
          <w:sz w:val="12"/>
          <w:szCs w:val="12"/>
        </w:rPr>
        <w:t xml:space="preserve"> </w:t>
      </w:r>
    </w:p>
    <w:p>
      <w:pPr>
        <w:spacing w:after="60" w:before="120"/>
        <w:jc w:val="center"/>
      </w:pPr>
      <w:r>
        <w:rPr>
          <w:rFonts w:ascii="Arial" w:cs="Arial" w:eastAsia="Arial" w:hAnsi="Arial"/>
          <w:b/>
          <w:bCs/>
          <w:sz w:val="24"/>
          <w:szCs w:val="24"/>
        </w:rPr>
        <w:t xml:space="preserve">Thomas Joseph William Salmon</w:t>
      </w:r>
    </w:p>
    <w:p>
      <w:pPr>
        <w:spacing w:after="60" w:before="0"/>
        <w:jc w:val="center"/>
      </w:pPr>
      <w:r>
        <w:rPr>
          <w:rFonts w:ascii="Arial" w:cs="Arial" w:eastAsia="Arial" w:hAnsi="Arial"/>
          <w:color w:val="6a9aba"/>
          <w:sz w:val="22"/>
          <w:szCs w:val="22"/>
        </w:rPr>
        <w:t xml:space="preserve">Augmented Universe // Independent Research</w:t>
      </w:r>
    </w:p>
    <w:p>
      <w:pPr>
        <w:spacing w:after="480" w:before="0"/>
        <w:jc w:val="center"/>
      </w:pPr>
      <w:r>
        <w:rPr>
          <w:rFonts w:ascii="Arial" w:cs="Arial" w:eastAsia="Arial" w:hAnsi="Arial"/>
          <w:color w:val="6a9aba"/>
          <w:sz w:val="22"/>
          <w:szCs w:val="22"/>
        </w:rPr>
        <w:t xml:space="preserve">Leitchfield, Kentucky  |  March 2026</w:t>
      </w:r>
    </w:p>
    <w:p>
      <w:pPr>
        <w:pStyle w:val="Heading1"/>
      </w:pPr>
      <w:r>
        <w:t xml:space="preserve">Abstract</w:t>
      </w:r>
    </w:p>
    <w:p>
      <w:pPr>
        <w:spacing w:after="240" w:before="120"/>
      </w:pPr>
      <w:r>
        <w:rPr>
          <w:rFonts w:ascii="Arial" w:cs="Arial" w:eastAsia="Arial" w:hAnsi="Arial"/>
          <w:color w:val="2a2a2a"/>
          <w:sz w:val="22"/>
          <w:szCs w:val="22"/>
        </w:rPr>
        <w:t xml:space="preserve">This paper proposes that differential neutrino flux — the measurable difference in neutrino exposure between natural stellar light sources and man-made artificial light — may serve as an overlooked variable in quantum mechanical experiments, specifically the double-slit experiment. Standard interpretations of double-slit anomalies invoke observer effect and wave-function collapse as primary explanatory mechanisms. This hypothesis offers a supplementary or alternative causal pathway: that neutrino flux differentials, dependent on light source origin, interact with quantum systems at a scale sufficient to influence interference pattern formation. The hypothesis is presented as a formal research framework for empirical investigation.</w:t>
      </w:r>
    </w:p>
    <w:p>
      <w:pPr>
        <w:pStyle w:val="Heading1"/>
      </w:pPr>
      <w:r>
        <w:t xml:space="preserve">1. Background and Motivation</w:t>
      </w:r>
    </w:p>
    <w:p>
      <w:pPr>
        <w:spacing w:after="160" w:before="100"/>
      </w:pPr>
      <w:r>
        <w:rPr>
          <w:rFonts w:ascii="Arial" w:cs="Arial" w:eastAsia="Arial" w:hAnsi="Arial"/>
          <w:sz w:val="22"/>
          <w:szCs w:val="22"/>
        </w:rPr>
        <w:t xml:space="preserve">The double-slit experiment is among the most consequential and least fully explained phenomena in modern physics. When particles — photons, electrons, even molecules — are passed through a double-slit apparatus, they produce interference patterns consistent with wave behavior. However, when observation is introduced, the interference pattern collapses and particles behave as discrete objects. This observer-dependent outcome has driven decades of interpretive frameworks including Copenhagen, Many-Worlds, and pilot-wave theory, none of which achieve universal acceptance.</w:t>
      </w:r>
    </w:p>
    <w:p>
      <w:pPr>
        <w:spacing w:after="160" w:before="0"/>
      </w:pPr>
      <w:r>
        <w:rPr>
          <w:rFonts w:ascii="Arial" w:cs="Arial" w:eastAsia="Arial" w:hAnsi="Arial"/>
          <w:sz w:val="22"/>
          <w:szCs w:val="22"/>
        </w:rPr>
        <w:t xml:space="preserve">A consistently underexamined variable in double-slit experimental design is the electromagnetic and particle environment of the laboratory itself — specifically the neutrino background. Neutrinos are among the most abundant particles in the universe, produced in vast quantities by stellar fusion. Natural stellar light (sunlight) arrives with an associated neutrino flux density that is fundamentally different from that accompanying man-made light sources such as LEDs, fluorescent tubes, or lasers, which generate photons through electronic transitions without associated neutrino production.</w:t>
      </w:r>
    </w:p>
    <w:p>
      <w:pPr>
        <w:spacing w:after="200" w:before="0"/>
      </w:pPr>
      <w:r>
        <w:rPr>
          <w:rFonts w:ascii="Arial" w:cs="Arial" w:eastAsia="Arial" w:hAnsi="Arial"/>
          <w:b/>
          <w:bCs/>
          <w:sz w:val="22"/>
          <w:szCs w:val="22"/>
        </w:rPr>
        <w:t xml:space="preserve">This asymmetry has not been formally investigated as a potential causal variable in quantum interference experiments. The Salmon Neutrino-Flux Hypothesis proposes that it should be.</w:t>
      </w:r>
    </w:p>
    <w:p>
      <w:pPr>
        <w:pStyle w:val="Heading1"/>
      </w:pPr>
      <w:r>
        <w:t xml:space="preserve">2. Core Hypothesis</w:t>
      </w:r>
    </w:p>
    <w:p>
      <w:pPr>
        <w:spacing w:after="120" w:before="100"/>
      </w:pPr>
      <w:r>
        <w:rPr>
          <w:rFonts w:ascii="Arial" w:cs="Arial" w:eastAsia="Arial" w:hAnsi="Arial"/>
          <w:sz w:val="22"/>
          <w:szCs w:val="22"/>
        </w:rPr>
        <w:t xml:space="preserve">The hypothesis is stated as follows:</w:t>
      </w:r>
    </w:p>
    <w:p>
      <w:pPr>
        <w:pBdr>
          <w:left w:val="single" w:color="2a5a8a" w:sz="6" w:space="10"/>
        </w:pBdr>
        <w:spacing w:after="80" w:before="80"/>
        <w:ind w:left="720" w:right="720"/>
      </w:pPr>
      <w:r>
        <w:rPr>
          <w:rFonts w:ascii="Arial" w:cs="Arial" w:eastAsia="Arial" w:hAnsi="Arial"/>
          <w:i/>
          <w:iCs/>
          <w:color w:val="1a3a5a"/>
          <w:sz w:val="22"/>
          <w:szCs w:val="22"/>
        </w:rPr>
        <w:t xml:space="preserve">Differential neutrino flux between natural stellar light sources and man-made artificial light sources constitutes an unmeasured environmental variable in quantum mechanical double-slit experiments. This differential flux may interact with quantum systems — particularly at the level of wave-function coherence — producing measurable differences in interference pattern formation, fringe visibility, or collapse behavior when experiments are conducted under stellar illumination versus artificial illumination conditions, even when photon wavelength and intensity are held constant.</w:t>
      </w:r>
    </w:p>
    <w:p>
      <w:pPr>
        <w:spacing w:after="0" w:before="80"/>
      </w:pPr>
      <w:r>
        <w:t xml:space="preserve"> </w:t>
      </w:r>
    </w:p>
    <w:p>
      <w:pPr>
        <w:pStyle w:val="Heading1"/>
      </w:pPr>
      <w:r>
        <w:t xml:space="preserve">3. Theoretical Framework</w:t>
      </w:r>
    </w:p>
    <w:p>
      <w:pPr>
        <w:pStyle w:val="Heading2"/>
      </w:pPr>
      <w:r>
        <w:t xml:space="preserve">3.1 Neutrino Properties Relevant to the Hypothesis</w:t>
      </w:r>
    </w:p>
    <w:p>
      <w:pPr>
        <w:spacing w:after="100" w:before="80"/>
      </w:pPr>
      <w:r>
        <w:rPr>
          <w:rFonts w:ascii="Arial" w:cs="Arial" w:eastAsia="Arial" w:hAnsi="Arial"/>
          <w:sz w:val="22"/>
          <w:szCs w:val="22"/>
        </w:rPr>
        <w:t xml:space="preserve">Neutrinos are electrically neutral leptons with extremely small but nonzero mass. They interact exclusively through the weak nuclear force and gravity, making them extraordinarily penetrating — approximately 70 billion solar neutrinos pass through each square centimeter of Earth's surface per second. Relevant properties include:</w:t>
      </w:r>
    </w:p>
    <w:p>
      <w:pPr>
        <w:pStyle w:val="ListParagraph"/>
        <w:numPr>
          <w:ilvl w:val="0"/>
          <w:numId w:val="2"/>
        </w:numPr>
        <w:spacing w:after="40" w:before="40"/>
      </w:pPr>
      <w:r>
        <w:rPr>
          <w:rFonts w:ascii="Arial" w:cs="Arial" w:eastAsia="Arial" w:hAnsi="Arial"/>
          <w:sz w:val="22"/>
          <w:szCs w:val="22"/>
        </w:rPr>
        <w:t xml:space="preserve">Near-zero mass but confirmed nonzero — sufficient for gravitational interaction.</w:t>
      </w:r>
    </w:p>
    <w:p>
      <w:pPr>
        <w:pStyle w:val="ListParagraph"/>
        <w:numPr>
          <w:ilvl w:val="0"/>
          <w:numId w:val="2"/>
        </w:numPr>
        <w:spacing w:after="40" w:before="40"/>
      </w:pPr>
      <w:r>
        <w:rPr>
          <w:rFonts w:ascii="Arial" w:cs="Arial" w:eastAsia="Arial" w:hAnsi="Arial"/>
          <w:sz w:val="22"/>
          <w:szCs w:val="22"/>
        </w:rPr>
        <w:t xml:space="preserve">Flavor oscillation across electron, muon, and tau varieties over distance.</w:t>
      </w:r>
    </w:p>
    <w:p>
      <w:pPr>
        <w:pStyle w:val="ListParagraph"/>
        <w:numPr>
          <w:ilvl w:val="0"/>
          <w:numId w:val="2"/>
        </w:numPr>
        <w:spacing w:after="40" w:before="40"/>
      </w:pPr>
      <w:r>
        <w:rPr>
          <w:rFonts w:ascii="Arial" w:cs="Arial" w:eastAsia="Arial" w:hAnsi="Arial"/>
          <w:sz w:val="22"/>
          <w:szCs w:val="22"/>
        </w:rPr>
        <w:t xml:space="preserve">Helicity-dependent interaction with matter — left-handed neutrinos interact via weak force.</w:t>
      </w:r>
    </w:p>
    <w:p>
      <w:pPr>
        <w:pStyle w:val="ListParagraph"/>
        <w:numPr>
          <w:ilvl w:val="0"/>
          <w:numId w:val="2"/>
        </w:numPr>
        <w:spacing w:after="40" w:before="40"/>
      </w:pPr>
      <w:r>
        <w:rPr>
          <w:rFonts w:ascii="Arial" w:cs="Arial" w:eastAsia="Arial" w:hAnsi="Arial"/>
          <w:sz w:val="22"/>
          <w:szCs w:val="22"/>
        </w:rPr>
        <w:t xml:space="preserve">Background flux is anisotropic — directionally dependent on stellar source position.</w:t>
      </w:r>
    </w:p>
    <w:p>
      <w:pPr>
        <w:pStyle w:val="ListParagraph"/>
        <w:numPr>
          <w:ilvl w:val="0"/>
          <w:numId w:val="2"/>
        </w:numPr>
        <w:spacing w:after="40" w:before="40"/>
      </w:pPr>
      <w:r>
        <w:rPr>
          <w:rFonts w:ascii="Arial" w:cs="Arial" w:eastAsia="Arial" w:hAnsi="Arial"/>
          <w:sz w:val="22"/>
          <w:szCs w:val="22"/>
        </w:rPr>
        <w:t xml:space="preserve">Solar neutrino flux at Earth surface: approximately 6.5 x 10^10 per cm^2 per second.</w:t>
      </w:r>
    </w:p>
    <w:p>
      <w:pPr>
        <w:pStyle w:val="Heading2"/>
      </w:pPr>
      <w:r>
        <w:t xml:space="preserve">3.2 The Flux Differential</w:t>
      </w:r>
    </w:p>
    <w:p>
      <w:pPr>
        <w:spacing w:after="160" w:before="80"/>
      </w:pPr>
      <w:r>
        <w:rPr>
          <w:rFonts w:ascii="Arial" w:cs="Arial" w:eastAsia="Arial" w:hAnsi="Arial"/>
          <w:sz w:val="22"/>
          <w:szCs w:val="22"/>
        </w:rPr>
        <w:t xml:space="preserve">Natural stellar light (sunlight) is produced by nuclear fusion in the solar core. This process generates neutrinos directly — specifically electron neutrinos via the pp chain and CNO cycle. The photons and neutrinos are co-produced, meaning stellar illumination carries an inherent neutrino flux signature. Man-made light sources — LEDs, fluorescent lamps, incandescent bulbs, lasers — produce photons through electronic excitation or recombination processes. These processes do not generate neutrinos. The resulting photon streams arrive in laboratory settings without an associated neutrino production signature.</w:t>
      </w:r>
    </w:p>
    <w:p>
      <w:pPr>
        <w:spacing w:after="160" w:before="0"/>
      </w:pPr>
      <w:r>
        <w:rPr>
          <w:rFonts w:ascii="Arial" w:cs="Arial" w:eastAsia="Arial" w:hAnsi="Arial"/>
          <w:sz w:val="22"/>
          <w:szCs w:val="22"/>
        </w:rPr>
        <w:t xml:space="preserve">The hypothesis does not claim that man-made light eliminates background neutrino flux entirely — cosmic and atmospheric neutrinos remain present. It claims that stellar illumination introduces a directional, correlated neutrino flux component that man-made illumination does not, and that this difference may be detectable at the quantum scale under controlled conditions.</w:t>
      </w:r>
    </w:p>
    <w:p>
      <w:pPr>
        <w:pStyle w:val="Heading2"/>
      </w:pPr>
      <w:r>
        <w:t xml:space="preserve">3.3 Proposed Interaction Mechanism</w:t>
      </w:r>
    </w:p>
    <w:p>
      <w:pPr>
        <w:spacing w:after="160" w:before="80"/>
      </w:pPr>
      <w:r>
        <w:rPr>
          <w:rFonts w:ascii="Arial" w:cs="Arial" w:eastAsia="Arial" w:hAnsi="Arial"/>
          <w:sz w:val="22"/>
          <w:szCs w:val="22"/>
        </w:rPr>
        <w:t xml:space="preserve">The precise mechanism by which neutrino flux would interact with quantum interference systems is not yet specified — this is the core unknown the hypothesis flags for investigation. Several candidate mechanisms are proposed for consideration:</w:t>
      </w:r>
    </w:p>
    <w:p>
      <w:pPr>
        <w:pStyle w:val="ListParagraph"/>
        <w:numPr>
          <w:ilvl w:val="0"/>
          <w:numId w:val="2"/>
        </w:numPr>
        <w:spacing w:after="40" w:before="40"/>
      </w:pPr>
      <w:r>
        <w:rPr>
          <w:rFonts w:ascii="Arial" w:cs="Arial" w:eastAsia="Arial" w:hAnsi="Arial"/>
          <w:sz w:val="22"/>
          <w:szCs w:val="22"/>
        </w:rPr>
        <w:t xml:space="preserve">Weak-force micro-interactions between neutrinos and the electrons involved in quantum coherent states, potentially perturbing coherence lifetime.</w:t>
      </w:r>
    </w:p>
    <w:p>
      <w:pPr>
        <w:pStyle w:val="ListParagraph"/>
        <w:numPr>
          <w:ilvl w:val="0"/>
          <w:numId w:val="2"/>
        </w:numPr>
        <w:spacing w:after="40" w:before="40"/>
      </w:pPr>
      <w:r>
        <w:rPr>
          <w:rFonts w:ascii="Arial" w:cs="Arial" w:eastAsia="Arial" w:hAnsi="Arial"/>
          <w:sz w:val="22"/>
          <w:szCs w:val="22"/>
        </w:rPr>
        <w:t xml:space="preserve">Stochastic perturbation of quantum vacuum fluctuations by neutrino flux density, affecting decoherence rates.</w:t>
      </w:r>
    </w:p>
    <w:p>
      <w:pPr>
        <w:pStyle w:val="ListParagraph"/>
        <w:numPr>
          <w:ilvl w:val="0"/>
          <w:numId w:val="2"/>
        </w:numPr>
        <w:spacing w:after="40" w:before="40"/>
      </w:pPr>
      <w:r>
        <w:rPr>
          <w:rFonts w:ascii="Arial" w:cs="Arial" w:eastAsia="Arial" w:hAnsi="Arial"/>
          <w:sz w:val="22"/>
          <w:szCs w:val="22"/>
        </w:rPr>
        <w:t xml:space="preserve">Directional asymmetry in neutrino flux producing anisotropic decoherence — interference patterns that differ based on apparatus orientation relative to stellar source.</w:t>
      </w:r>
    </w:p>
    <w:p>
      <w:pPr>
        <w:pStyle w:val="ListParagraph"/>
        <w:numPr>
          <w:ilvl w:val="0"/>
          <w:numId w:val="2"/>
        </w:numPr>
        <w:spacing w:after="40" w:before="40"/>
      </w:pPr>
      <w:r>
        <w:rPr>
          <w:rFonts w:ascii="Arial" w:cs="Arial" w:eastAsia="Arial" w:hAnsi="Arial"/>
          <w:sz w:val="22"/>
          <w:szCs w:val="22"/>
        </w:rPr>
        <w:t xml:space="preserve">Neutrino mass-mediated gravitational micro-lensing at the wave-function scale — speculative but formally non-excluded.</w:t>
      </w:r>
    </w:p>
    <w:p>
      <w:pPr>
        <w:pStyle w:val="Heading1"/>
      </w:pPr>
      <w:r>
        <w:t xml:space="preserve">4. Proposed Experimental Design</w:t>
      </w:r>
    </w:p>
    <w:p>
      <w:pPr>
        <w:spacing w:after="160" w:before="100"/>
      </w:pPr>
      <w:r>
        <w:rPr>
          <w:rFonts w:ascii="Arial" w:cs="Arial" w:eastAsia="Arial" w:hAnsi="Arial"/>
          <w:sz w:val="22"/>
          <w:szCs w:val="22"/>
        </w:rPr>
        <w:t xml:space="preserve">The hypothesis generates testable predictions. A rigorous experimental investigation would require the following design elements:</w:t>
      </w:r>
    </w:p>
    <w:p>
      <w:pPr>
        <w:pStyle w:val="Heading2"/>
      </w:pPr>
      <w:r>
        <w:t xml:space="preserve">4.1 Controlled Variables</w:t>
      </w:r>
    </w:p>
    <w:p>
      <w:pPr>
        <w:pStyle w:val="ListParagraph"/>
        <w:numPr>
          <w:ilvl w:val="0"/>
          <w:numId w:val="2"/>
        </w:numPr>
        <w:spacing w:after="40" w:before="40"/>
      </w:pPr>
      <w:r>
        <w:rPr>
          <w:rFonts w:ascii="Arial" w:cs="Arial" w:eastAsia="Arial" w:hAnsi="Arial"/>
          <w:sz w:val="22"/>
          <w:szCs w:val="22"/>
        </w:rPr>
        <w:t xml:space="preserve">Photon source wavelength — held constant across stellar and artificial conditions via bandpass filtering.</w:t>
      </w:r>
    </w:p>
    <w:p>
      <w:pPr>
        <w:pStyle w:val="ListParagraph"/>
        <w:numPr>
          <w:ilvl w:val="0"/>
          <w:numId w:val="2"/>
        </w:numPr>
        <w:spacing w:after="40" w:before="40"/>
      </w:pPr>
      <w:r>
        <w:rPr>
          <w:rFonts w:ascii="Arial" w:cs="Arial" w:eastAsia="Arial" w:hAnsi="Arial"/>
          <w:sz w:val="22"/>
          <w:szCs w:val="22"/>
        </w:rPr>
        <w:t xml:space="preserve">Photon intensity — equalized using calibrated neutral density filters.</w:t>
      </w:r>
    </w:p>
    <w:p>
      <w:pPr>
        <w:pStyle w:val="ListParagraph"/>
        <w:numPr>
          <w:ilvl w:val="0"/>
          <w:numId w:val="2"/>
        </w:numPr>
        <w:spacing w:after="40" w:before="40"/>
      </w:pPr>
      <w:r>
        <w:rPr>
          <w:rFonts w:ascii="Arial" w:cs="Arial" w:eastAsia="Arial" w:hAnsi="Arial"/>
          <w:sz w:val="22"/>
          <w:szCs w:val="22"/>
        </w:rPr>
        <w:t xml:space="preserve">Temperature and vibration — isolated via standard optical bench protocols.</w:t>
      </w:r>
    </w:p>
    <w:p>
      <w:pPr>
        <w:pStyle w:val="ListParagraph"/>
        <w:numPr>
          <w:ilvl w:val="0"/>
          <w:numId w:val="2"/>
        </w:numPr>
        <w:spacing w:after="40" w:before="40"/>
      </w:pPr>
      <w:r>
        <w:rPr>
          <w:rFonts w:ascii="Arial" w:cs="Arial" w:eastAsia="Arial" w:hAnsi="Arial"/>
          <w:sz w:val="22"/>
          <w:szCs w:val="22"/>
        </w:rPr>
        <w:t xml:space="preserve">Electromagnetic shielding — Faraday cage to eliminate EM confounds.</w:t>
      </w:r>
    </w:p>
    <w:p>
      <w:pPr>
        <w:pStyle w:val="ListParagraph"/>
        <w:numPr>
          <w:ilvl w:val="0"/>
          <w:numId w:val="2"/>
        </w:numPr>
        <w:spacing w:after="40" w:before="40"/>
      </w:pPr>
      <w:r>
        <w:rPr>
          <w:rFonts w:ascii="Arial" w:cs="Arial" w:eastAsia="Arial" w:hAnsi="Arial"/>
          <w:sz w:val="22"/>
          <w:szCs w:val="22"/>
        </w:rPr>
        <w:t xml:space="preserve">Time of day and season — controlled to account for solar neutrino flux variation.</w:t>
      </w:r>
    </w:p>
    <w:p>
      <w:pPr>
        <w:pStyle w:val="Heading2"/>
      </w:pPr>
      <w:r>
        <w:t xml:space="preserve">4.2 Independent Variable</w:t>
      </w:r>
    </w:p>
    <w:p>
      <w:pPr>
        <w:spacing w:after="160" w:before="80"/>
      </w:pPr>
      <w:r>
        <w:rPr>
          <w:rFonts w:ascii="Arial" w:cs="Arial" w:eastAsia="Arial" w:hAnsi="Arial"/>
          <w:sz w:val="22"/>
          <w:szCs w:val="22"/>
        </w:rPr>
        <w:t xml:space="preserve">Light source origin: natural stellar (direct sunlight via fiber optic feed or heliostatic mirror system) versus matched artificial source (laser or LED at equivalent wavelength and intensity). Experiments run under identical conditions with source as sole variable.</w:t>
      </w:r>
    </w:p>
    <w:p>
      <w:pPr>
        <w:pStyle w:val="Heading2"/>
      </w:pPr>
      <w:r>
        <w:t xml:space="preserve">4.3 Dependent Variables</w:t>
      </w:r>
    </w:p>
    <w:p>
      <w:pPr>
        <w:pStyle w:val="ListParagraph"/>
        <w:numPr>
          <w:ilvl w:val="0"/>
          <w:numId w:val="2"/>
        </w:numPr>
        <w:spacing w:after="40" w:before="40"/>
      </w:pPr>
      <w:r>
        <w:rPr>
          <w:rFonts w:ascii="Arial" w:cs="Arial" w:eastAsia="Arial" w:hAnsi="Arial"/>
          <w:sz w:val="22"/>
          <w:szCs w:val="22"/>
        </w:rPr>
        <w:t xml:space="preserve">Interference fringe visibility and contrast ratio.</w:t>
      </w:r>
    </w:p>
    <w:p>
      <w:pPr>
        <w:pStyle w:val="ListParagraph"/>
        <w:numPr>
          <w:ilvl w:val="0"/>
          <w:numId w:val="2"/>
        </w:numPr>
        <w:spacing w:after="40" w:before="40"/>
      </w:pPr>
      <w:r>
        <w:rPr>
          <w:rFonts w:ascii="Arial" w:cs="Arial" w:eastAsia="Arial" w:hAnsi="Arial"/>
          <w:sz w:val="22"/>
          <w:szCs w:val="22"/>
        </w:rPr>
        <w:t xml:space="preserve">Fringe spacing and angular distribution.</w:t>
      </w:r>
    </w:p>
    <w:p>
      <w:pPr>
        <w:pStyle w:val="ListParagraph"/>
        <w:numPr>
          <w:ilvl w:val="0"/>
          <w:numId w:val="2"/>
        </w:numPr>
        <w:spacing w:after="40" w:before="40"/>
      </w:pPr>
      <w:r>
        <w:rPr>
          <w:rFonts w:ascii="Arial" w:cs="Arial" w:eastAsia="Arial" w:hAnsi="Arial"/>
          <w:sz w:val="22"/>
          <w:szCs w:val="22"/>
        </w:rPr>
        <w:t xml:space="preserve">Decoherence rate under weak measurement conditions.</w:t>
      </w:r>
    </w:p>
    <w:p>
      <w:pPr>
        <w:pStyle w:val="ListParagraph"/>
        <w:numPr>
          <w:ilvl w:val="0"/>
          <w:numId w:val="2"/>
        </w:numPr>
        <w:spacing w:after="40" w:before="40"/>
      </w:pPr>
      <w:r>
        <w:rPr>
          <w:rFonts w:ascii="Arial" w:cs="Arial" w:eastAsia="Arial" w:hAnsi="Arial"/>
          <w:sz w:val="22"/>
          <w:szCs w:val="22"/>
        </w:rPr>
        <w:t xml:space="preserve">Statistical distribution of single-particle detection events over time.</w:t>
      </w:r>
    </w:p>
    <w:p>
      <w:pPr>
        <w:pStyle w:val="ListParagraph"/>
        <w:numPr>
          <w:ilvl w:val="0"/>
          <w:numId w:val="2"/>
        </w:numPr>
        <w:spacing w:after="40" w:before="40"/>
      </w:pPr>
      <w:r>
        <w:rPr>
          <w:rFonts w:ascii="Arial" w:cs="Arial" w:eastAsia="Arial" w:hAnsi="Arial"/>
          <w:sz w:val="22"/>
          <w:szCs w:val="22"/>
        </w:rPr>
        <w:t xml:space="preserve">Orientation dependence — apparatus rotated relative to solar direction.</w:t>
      </w:r>
    </w:p>
    <w:p>
      <w:pPr>
        <w:pStyle w:val="Heading2"/>
      </w:pPr>
      <w:r>
        <w:t xml:space="preserve">4.4 Predicted Outcomes</w:t>
      </w:r>
    </w:p>
    <w:p>
      <w:pPr>
        <w:spacing w:after="100" w:before="80"/>
      </w:pPr>
      <w:r>
        <w:rPr>
          <w:rFonts w:ascii="Arial" w:cs="Arial" w:eastAsia="Arial" w:hAnsi="Arial"/>
          <w:sz w:val="22"/>
          <w:szCs w:val="22"/>
        </w:rPr>
        <w:t xml:space="preserve">If the hypothesis is correct, one or more of the following should be observable:</w:t>
      </w:r>
    </w:p>
    <w:p>
      <w:pPr>
        <w:pStyle w:val="ListParagraph"/>
        <w:numPr>
          <w:ilvl w:val="0"/>
          <w:numId w:val="2"/>
        </w:numPr>
        <w:spacing w:after="40" w:before="40"/>
      </w:pPr>
      <w:r>
        <w:rPr>
          <w:rFonts w:ascii="Arial" w:cs="Arial" w:eastAsia="Arial" w:hAnsi="Arial"/>
          <w:sz w:val="22"/>
          <w:szCs w:val="22"/>
        </w:rPr>
        <w:t xml:space="preserve">Measurable difference in fringe visibility between stellar and artificial illumination conditions.</w:t>
      </w:r>
    </w:p>
    <w:p>
      <w:pPr>
        <w:pStyle w:val="ListParagraph"/>
        <w:numPr>
          <w:ilvl w:val="0"/>
          <w:numId w:val="2"/>
        </w:numPr>
        <w:spacing w:after="40" w:before="40"/>
      </w:pPr>
      <w:r>
        <w:rPr>
          <w:rFonts w:ascii="Arial" w:cs="Arial" w:eastAsia="Arial" w:hAnsi="Arial"/>
          <w:sz w:val="22"/>
          <w:szCs w:val="22"/>
        </w:rPr>
        <w:t xml:space="preserve">Orientation-dependent variation in interference pattern under stellar illumination, absent under artificial illumination.</w:t>
      </w:r>
    </w:p>
    <w:p>
      <w:pPr>
        <w:pStyle w:val="ListParagraph"/>
        <w:numPr>
          <w:ilvl w:val="0"/>
          <w:numId w:val="2"/>
        </w:numPr>
        <w:spacing w:after="40" w:before="40"/>
      </w:pPr>
      <w:r>
        <w:rPr>
          <w:rFonts w:ascii="Arial" w:cs="Arial" w:eastAsia="Arial" w:hAnsi="Arial"/>
          <w:sz w:val="22"/>
          <w:szCs w:val="22"/>
        </w:rPr>
        <w:t xml:space="preserve">Statistically significant difference in decoherence rate correlated with neutrino flux density.</w:t>
      </w:r>
    </w:p>
    <w:p>
      <w:pPr>
        <w:pStyle w:val="ListParagraph"/>
        <w:numPr>
          <w:ilvl w:val="0"/>
          <w:numId w:val="2"/>
        </w:numPr>
        <w:spacing w:after="40" w:before="40"/>
      </w:pPr>
      <w:r>
        <w:rPr>
          <w:rFonts w:ascii="Arial" w:cs="Arial" w:eastAsia="Arial" w:hAnsi="Arial"/>
          <w:sz w:val="22"/>
          <w:szCs w:val="22"/>
        </w:rPr>
        <w:t xml:space="preserve">Seasonal variation in results corresponding to Earth-Sun distance variation and resulting neutrino flux change.</w:t>
      </w:r>
    </w:p>
    <w:p>
      <w:pPr>
        <w:pStyle w:val="Heading1"/>
      </w:pPr>
      <w:r>
        <w:t xml:space="preserve">5. Relationship to Existing Physics</w:t>
      </w:r>
    </w:p>
    <w:p>
      <w:pPr>
        <w:spacing w:after="160" w:before="100"/>
      </w:pPr>
      <w:r>
        <w:rPr>
          <w:rFonts w:ascii="Arial" w:cs="Arial" w:eastAsia="Arial" w:hAnsi="Arial"/>
          <w:sz w:val="22"/>
          <w:szCs w:val="22"/>
        </w:rPr>
        <w:t xml:space="preserve">This hypothesis does not contradict established quantum mechanics. It proposes an additional environmental variable not currently controlled for in standard double-slit experimental protocols. The observer effect and measurement-induced collapse remain valid frameworks. The neutrino-flux hypothesis adds a potential environmental decoherence pathway to the existing landscape.</w:t>
      </w:r>
    </w:p>
    <w:p>
      <w:pPr>
        <w:spacing w:after="160" w:before="0"/>
      </w:pPr>
      <w:r>
        <w:rPr>
          <w:rFonts w:ascii="Arial" w:cs="Arial" w:eastAsia="Arial" w:hAnsi="Arial"/>
          <w:sz w:val="22"/>
          <w:szCs w:val="22"/>
        </w:rPr>
        <w:t xml:space="preserve">The hypothesis is consistent with the broader decoherence program in quantum foundations — the understanding that quantum systems lose coherence through interaction with their environment. Neutrino flux would represent a specific, previously unconsidered environmental decoherence channel.</w:t>
      </w:r>
    </w:p>
    <w:p>
      <w:pPr>
        <w:spacing w:after="160" w:before="0"/>
      </w:pPr>
      <w:r>
        <w:rPr>
          <w:rFonts w:ascii="Arial" w:cs="Arial" w:eastAsia="Arial" w:hAnsi="Arial"/>
          <w:sz w:val="22"/>
          <w:szCs w:val="22"/>
        </w:rPr>
        <w:t xml:space="preserve">It also connects to the Hard Problem of observation in quantum mechanics: why does measurement produce collapse? If environmental particle flux — including neutrinos — contributes to decoherence continuously, the sharp distinction between "observation" and "non-observation" may be a spectrum rather than a binary, with neutrino flux density as one axis of that spectrum.</w:t>
      </w:r>
    </w:p>
    <w:p>
      <w:pPr>
        <w:pStyle w:val="Heading1"/>
      </w:pPr>
      <w:r>
        <w:t xml:space="preserve">6. Limitations and Objections</w:t>
      </w:r>
    </w:p>
    <w:p>
      <w:pPr>
        <w:spacing w:after="120" w:before="100"/>
      </w:pPr>
      <w:r>
        <w:rPr>
          <w:rFonts w:ascii="Arial" w:cs="Arial" w:eastAsia="Arial" w:hAnsi="Arial"/>
          <w:sz w:val="22"/>
          <w:szCs w:val="22"/>
        </w:rPr>
        <w:t xml:space="preserve">The following objections are anticipated and acknowledged:</w:t>
      </w:r>
    </w:p>
    <w:p>
      <w:pPr>
        <w:spacing w:after="60" w:before="120"/>
      </w:pPr>
      <w:r>
        <w:rPr>
          <w:rFonts w:ascii="Arial" w:cs="Arial" w:eastAsia="Arial" w:hAnsi="Arial"/>
          <w:b/>
          <w:bCs/>
          <w:sz w:val="22"/>
          <w:szCs w:val="22"/>
        </w:rPr>
        <w:t xml:space="preserve">Neutrino cross-section too small</w:t>
      </w:r>
    </w:p>
    <w:p>
      <w:pPr>
        <w:spacing w:after="120" w:before="0"/>
        <w:ind w:left="360"/>
      </w:pPr>
      <w:r>
        <w:rPr>
          <w:rFonts w:ascii="Arial" w:cs="Arial" w:eastAsia="Arial" w:hAnsi="Arial"/>
          <w:color w:val="3a3a3a"/>
          <w:sz w:val="22"/>
          <w:szCs w:val="22"/>
        </w:rPr>
        <w:t xml:space="preserve">Neutrino interaction cross-sections with ordinary matter are extremely small (~10^-44 cm^2). The hypothesis acknowledges this and does not claim individual neutrino interactions produce the effect — rather, collective flux density over experimental timescales may produce statistically measurable perturbation. This requires empirical investigation rather than dismissal by cross-section argument alone.</w:t>
      </w:r>
    </w:p>
    <w:p>
      <w:pPr>
        <w:spacing w:after="60" w:before="120"/>
      </w:pPr>
      <w:r>
        <w:rPr>
          <w:rFonts w:ascii="Arial" w:cs="Arial" w:eastAsia="Arial" w:hAnsi="Arial"/>
          <w:b/>
          <w:bCs/>
          <w:sz w:val="22"/>
          <w:szCs w:val="22"/>
        </w:rPr>
        <w:t xml:space="preserve">No proposed mechanism</w:t>
      </w:r>
    </w:p>
    <w:p>
      <w:pPr>
        <w:spacing w:after="120" w:before="0"/>
        <w:ind w:left="360"/>
      </w:pPr>
      <w:r>
        <w:rPr>
          <w:rFonts w:ascii="Arial" w:cs="Arial" w:eastAsia="Arial" w:hAnsi="Arial"/>
          <w:color w:val="3a3a3a"/>
          <w:sz w:val="22"/>
          <w:szCs w:val="22"/>
        </w:rPr>
        <w:t xml:space="preserve">The interaction mechanism is not yet specified. This is a known gap and a primary motivation for the experimental program. Absence of a specified mechanism does not exclude the effect — many observed phenomena preceded their mechanistic explanation.</w:t>
      </w:r>
    </w:p>
    <w:p>
      <w:pPr>
        <w:spacing w:after="60" w:before="120"/>
      </w:pPr>
      <w:r>
        <w:rPr>
          <w:rFonts w:ascii="Arial" w:cs="Arial" w:eastAsia="Arial" w:hAnsi="Arial"/>
          <w:b/>
          <w:bCs/>
          <w:sz w:val="22"/>
          <w:szCs w:val="22"/>
        </w:rPr>
        <w:t xml:space="preserve">Background neutrino flux is always present</w:t>
      </w:r>
    </w:p>
    <w:p>
      <w:pPr>
        <w:spacing w:after="120" w:before="0"/>
        <w:ind w:left="360"/>
      </w:pPr>
      <w:r>
        <w:rPr>
          <w:rFonts w:ascii="Arial" w:cs="Arial" w:eastAsia="Arial" w:hAnsi="Arial"/>
          <w:color w:val="3a3a3a"/>
          <w:sz w:val="22"/>
          <w:szCs w:val="22"/>
        </w:rPr>
        <w:t xml:space="preserve">Correct. The hypothesis focuses on the differential between stellar-correlated directional flux and baseline isotropic cosmic flux — a difference that may be detectable via orientation-dependent experimental design.</w:t>
      </w:r>
    </w:p>
    <w:p>
      <w:pPr>
        <w:pStyle w:val="Heading1"/>
      </w:pPr>
      <w:r>
        <w:t xml:space="preserve">7. Significance</w:t>
      </w:r>
    </w:p>
    <w:p>
      <w:pPr>
        <w:spacing w:after="160" w:before="100"/>
      </w:pPr>
      <w:r>
        <w:rPr>
          <w:rFonts w:ascii="Arial" w:cs="Arial" w:eastAsia="Arial" w:hAnsi="Arial"/>
          <w:sz w:val="22"/>
          <w:szCs w:val="22"/>
        </w:rPr>
        <w:t xml:space="preserve">If confirmed, the Salmon Neutrino-Flux Hypothesis would represent a previously uncontrolled variable in one of the most foundational experiments in physics. It would imply that double-slit results obtained under artificial illumination may not be fully equivalent to those obtained under stellar illumination — a distinction that has never been systematically tested.</w:t>
      </w:r>
    </w:p>
    <w:p>
      <w:pPr>
        <w:spacing w:after="160" w:before="0"/>
      </w:pPr>
      <w:r>
        <w:rPr>
          <w:rFonts w:ascii="Arial" w:cs="Arial" w:eastAsia="Arial" w:hAnsi="Arial"/>
          <w:sz w:val="22"/>
          <w:szCs w:val="22"/>
        </w:rPr>
        <w:t xml:space="preserve">More broadly, it opens a research program examining how the full particle environment of a laboratory — not just its electromagnetic environment — influences quantum behavior. This connects to questions in quantum foundations, experimental cosmology, and the physics of decoherence.</w:t>
      </w:r>
    </w:p>
    <w:p>
      <w:pPr>
        <w:spacing w:after="160" w:before="0"/>
      </w:pPr>
      <w:r>
        <w:rPr>
          <w:rFonts w:ascii="Arial" w:cs="Arial" w:eastAsia="Arial" w:hAnsi="Arial"/>
          <w:sz w:val="22"/>
          <w:szCs w:val="22"/>
        </w:rPr>
        <w:t xml:space="preserve">It also connects to the author's broader coherence-first framework for intelligence and consciousness: if neutrino flux modulates quantum coherence, and coherence underlies information processing in biological systems, the implications extend well beyond laboratory physics.</w:t>
      </w:r>
    </w:p>
    <w:p>
      <w:pPr>
        <w:pStyle w:val="Heading1"/>
      </w:pPr>
      <w:r>
        <w:t xml:space="preserve">8. Current Status</w:t>
      </w:r>
    </w:p>
    <w:p>
      <w:pPr>
        <w:spacing w:after="160" w:before="100"/>
      </w:pPr>
      <w:r>
        <w:rPr>
          <w:rFonts w:ascii="Arial" w:cs="Arial" w:eastAsia="Arial" w:hAnsi="Arial"/>
          <w:sz w:val="22"/>
          <w:szCs w:val="22"/>
        </w:rPr>
        <w:t xml:space="preserve">This document represents the initial formal statement of the hypothesis, produced for archival and research purposes. The hypothesis has not yet been submitted for peer review or subjected to experimental test. It is presented as a research framework inviting collaboration, critique, and empirical investigation.</w:t>
      </w:r>
    </w:p>
    <w:p>
      <w:pPr>
        <w:pBdr>
          <w:top w:val="single" w:color="2a5a8a" w:sz="4" w:space="1"/>
        </w:pBdr>
        <w:spacing w:after="80" w:before="480"/>
      </w:pPr>
      <w:r>
        <w:t xml:space="preserve"> </w:t>
      </w:r>
    </w:p>
    <w:p>
      <w:pPr>
        <w:spacing w:after="60" w:before="0"/>
        <w:jc w:val="center"/>
      </w:pPr>
      <w:r>
        <w:rPr>
          <w:rFonts w:ascii="Arial" w:cs="Arial" w:eastAsia="Arial" w:hAnsi="Arial"/>
          <w:color w:val="6a9aba"/>
          <w:sz w:val="18"/>
          <w:szCs w:val="18"/>
        </w:rPr>
        <w:t xml:space="preserve">Thomas Joseph William Salmon  //  Augmented Universe</w:t>
      </w:r>
    </w:p>
    <w:p>
      <w:pPr>
        <w:spacing w:after="60" w:before="0"/>
        <w:jc w:val="center"/>
      </w:pPr>
      <w:r>
        <w:rPr>
          <w:rFonts w:ascii="Arial" w:cs="Arial" w:eastAsia="Arial" w:hAnsi="Arial"/>
          <w:i/>
          <w:iCs/>
          <w:color w:val="9ab8cc"/>
          <w:sz w:val="16"/>
          <w:szCs w:val="16"/>
        </w:rPr>
        <w:t xml:space="preserve">Salmon_NeutrinoFluxHypothesis_2026.docx  //  Physical Archive Copy</w:t>
      </w:r>
    </w:p>
    <w:p>
      <w:pPr>
        <w:jc w:val="center"/>
      </w:pPr>
      <w:r>
        <w:rPr>
          <w:rFonts w:ascii="Arial" w:cs="Arial" w:eastAsia="Arial" w:hAnsi="Arial"/>
          <w:b/>
          <w:bCs/>
          <w:i/>
          <w:iCs/>
          <w:color w:val="1a3a5a"/>
          <w:sz w:val="20"/>
          <w:szCs w:val="20"/>
        </w:rPr>
        <w:t xml:space="preserve">We continue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a5a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6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2026-03-29T17:57:54.309Z</dcterms:created>
  <dcterms:modified xsi:type="dcterms:W3CDTF">2026-03-29T17:57:54.311Z</dcterms:modified>
</cp:coreProperties>
</file>

<file path=docProps/custom.xml><?xml version="1.0" encoding="utf-8"?>
<Properties xmlns="http://schemas.openxmlformats.org/officeDocument/2006/custom-properties" xmlns:vt="http://schemas.openxmlformats.org/officeDocument/2006/docPropsVTypes"/>
</file>