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40" w:before="200"/>
        <w:jc w:val="center"/>
      </w:pPr>
      <w:r>
        <w:rPr>
          <w:rFonts w:ascii="Arial" w:cs="Arial" w:eastAsia="Arial" w:hAnsi="Arial"/>
          <w:b/>
          <w:bCs/>
          <w:color w:val="0D47A1"/>
          <w:sz w:val="56"/>
          <w:szCs w:val="56"/>
        </w:rPr>
        <w:t xml:space="preserve">SalmonOS</w:t>
      </w:r>
    </w:p>
    <w:p>
      <w:pPr>
        <w:spacing w:after="80" w:before="0"/>
        <w:jc w:val="center"/>
      </w:pPr>
      <w:r>
        <w:rPr>
          <w:rFonts w:ascii="Arial" w:cs="Arial" w:eastAsia="Arial" w:hAnsi="Arial"/>
          <w:i/>
          <w:iCs/>
          <w:color w:val="555555"/>
          <w:sz w:val="28"/>
          <w:szCs w:val="28"/>
        </w:rPr>
        <w:t xml:space="preserve">Augmented Universe / SALMON_OS</w:t>
      </w:r>
    </w:p>
    <w:p>
      <w:pPr>
        <w:pBdr>
          <w:bottom w:val="single" w:color="FF6F00" w:sz="8" w:space="6"/>
        </w:pBdr>
        <w:spacing w:after="80" w:before="40"/>
        <w:jc w:val="center"/>
      </w:pPr>
      <w:r>
        <w:rPr>
          <w:rFonts w:ascii="Arial" w:cs="Arial" w:eastAsia="Arial" w:hAnsi="Arial"/>
          <w:b/>
          <w:bCs/>
          <w:color w:val="1A1A1A"/>
          <w:sz w:val="38"/>
          <w:szCs w:val="38"/>
        </w:rPr>
        <w:t xml:space="preserve">NIST Cybersecurity Framework 2.0 Audit</w:t>
      </w:r>
    </w:p>
    <w:p>
      <w:pPr>
        <w:spacing w:after="60" w:before="60"/>
      </w:pPr>
      <w:r>
        <w:t xml:space="preserve"/>
      </w:r>
    </w:p>
    <w:p>
      <w:pPr>
        <w:spacing w:after="60" w:before="60"/>
        <w:jc w:val="center"/>
      </w:pPr>
      <w:r>
        <w:rPr>
          <w:rFonts w:ascii="Arial" w:cs="Arial" w:eastAsia="Arial" w:hAnsi="Arial"/>
          <w:i/>
          <w:iCs/>
          <w:color w:val="555555"/>
          <w:sz w:val="24"/>
          <w:szCs w:val="24"/>
        </w:rPr>
        <w:t xml:space="preserve">NIST CSF 2.0 — Six Functions: Govern · Identify · Protect · Detect · Respond · Recover</w:t>
      </w:r>
    </w:p>
    <w:p>
      <w:pPr>
        <w:spacing w:after="40" w:before="40"/>
        <w:jc w:val="center"/>
      </w:pPr>
      <w:r>
        <w:rPr>
          <w:rFonts w:ascii="Arial" w:cs="Arial" w:eastAsia="Arial" w:hAnsi="Arial"/>
          <w:b/>
          <w:bCs/>
          <w:color w:val="CC0000"/>
          <w:sz w:val="22"/>
          <w:szCs w:val="22"/>
        </w:rPr>
        <w:t xml:space="preserve">Audit Date: March 19, 2026  |  CONFIDENTIAL — INTERNAL USE ONLY</w:t>
      </w:r>
    </w:p>
    <w:p>
      <w:pPr>
        <w:spacing w:after="60" w:before="60"/>
      </w:pPr>
      <w:r>
        <w:t xml:space="preserve"/>
      </w:r>
    </w:p>
    <w:p>
      <w:pPr>
        <w:spacing w:after="60" w:before="6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tblGrid>
      <w:tr>
        <w:tc>
          <w:tcPr>
            <w:tcW w:type="dxa" w:w="2200"/>
            <w:tcBorders>
              <w:top w:val="single" w:color="0D47A1" w:sz="1"/>
              <w:left w:val="single" w:color="0D47A1" w:sz="1"/>
              <w:bottom w:val="single" w:color="0D47A1" w:sz="1"/>
              <w:right w:val="single" w:color="0D47A1" w:sz="1"/>
            </w:tcBorders>
            <w:shd w:fill="0D47A1"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Entity</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SalmonOS — Personal Finance &amp; Autonomous Systems Platform</w:t>
            </w:r>
          </w:p>
        </w:tc>
      </w:tr>
      <w:tr>
        <w:tc>
          <w:tcPr>
            <w:tcW w:type="dxa" w:w="2200"/>
            <w:tcBorders>
              <w:top w:val="single" w:color="0D47A1" w:sz="1"/>
              <w:left w:val="single" w:color="0D47A1" w:sz="1"/>
              <w:bottom w:val="single" w:color="0D47A1" w:sz="1"/>
              <w:right w:val="single" w:color="0D47A1" w:sz="1"/>
            </w:tcBorders>
            <w:shd w:fill="0D47A1"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Architect</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Thomas Joseph William Salmon — Independent Developer</w:t>
            </w:r>
          </w:p>
        </w:tc>
      </w:tr>
      <w:tr>
        <w:tc>
          <w:tcPr>
            <w:tcW w:type="dxa" w:w="2200"/>
            <w:tcBorders>
              <w:top w:val="single" w:color="0D47A1" w:sz="1"/>
              <w:left w:val="single" w:color="0D47A1" w:sz="1"/>
              <w:bottom w:val="single" w:color="0D47A1" w:sz="1"/>
              <w:right w:val="single" w:color="0D47A1" w:sz="1"/>
            </w:tcBorders>
            <w:shd w:fill="0D47A1"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Stack</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Next.js 14 / Node.js / Plaid API / Stripe / Firebase / Vercel</w:t>
            </w:r>
          </w:p>
        </w:tc>
      </w:tr>
      <w:tr>
        <w:tc>
          <w:tcPr>
            <w:tcW w:type="dxa" w:w="2200"/>
            <w:tcBorders>
              <w:top w:val="single" w:color="0D47A1" w:sz="1"/>
              <w:left w:val="single" w:color="0D47A1" w:sz="1"/>
              <w:bottom w:val="single" w:color="0D47A1" w:sz="1"/>
              <w:right w:val="single" w:color="0D47A1" w:sz="1"/>
            </w:tcBorders>
            <w:shd w:fill="0D47A1"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Framework</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NIST Cybersecurity Framework (CSF) 2.0</w:t>
            </w:r>
          </w:p>
        </w:tc>
      </w:tr>
      <w:tr>
        <w:tc>
          <w:tcPr>
            <w:tcW w:type="dxa" w:w="2200"/>
            <w:tcBorders>
              <w:top w:val="single" w:color="0D47A1" w:sz="1"/>
              <w:left w:val="single" w:color="0D47A1" w:sz="1"/>
              <w:bottom w:val="single" w:color="0D47A1" w:sz="1"/>
              <w:right w:val="single" w:color="0D47A1" w:sz="1"/>
            </w:tcBorders>
            <w:shd w:fill="0D47A1"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Controls Assessed</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20 controls across 6 CSF functions</w:t>
            </w:r>
          </w:p>
        </w:tc>
      </w:tr>
      <w:tr>
        <w:tc>
          <w:tcPr>
            <w:tcW w:type="dxa" w:w="2200"/>
            <w:tcBorders>
              <w:top w:val="single" w:color="0D47A1" w:sz="1"/>
              <w:left w:val="single" w:color="0D47A1" w:sz="1"/>
              <w:bottom w:val="single" w:color="0D47A1" w:sz="1"/>
              <w:right w:val="single" w:color="0D47A1" w:sz="1"/>
            </w:tcBorders>
            <w:shd w:fill="0D47A1"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Critical Gaps</w:t>
            </w:r>
          </w:p>
        </w:tc>
        <w:tc>
          <w:tcPr>
            <w:tcW w:type="dxa" w:w="40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6 Critical | 9 High | 4 Medium | 1 None (all gaps)</w:t>
            </w:r>
          </w:p>
        </w:tc>
      </w:tr>
      <w:tr>
        <w:tc>
          <w:tcPr>
            <w:tcW w:type="dxa" w:w="2200"/>
            <w:tcBorders>
              <w:top w:val="single" w:color="0D47A1" w:sz="1"/>
              <w:left w:val="single" w:color="0D47A1" w:sz="1"/>
              <w:bottom w:val="single" w:color="0D47A1" w:sz="1"/>
              <w:right w:val="single" w:color="0D47A1" w:sz="1"/>
            </w:tcBorders>
            <w:shd w:fill="0D47A1"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Overall Status</w:t>
            </w:r>
          </w:p>
        </w:tc>
        <w:tc>
          <w:tcPr>
            <w:tcW w:type="dxa" w:w="40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CRITICAL — IMMEDIATE CREDENTIAL ROTATION REQUIRED</w:t>
            </w:r>
          </w:p>
        </w:tc>
      </w:tr>
    </w:tbl>
    <w:p>
      <w:r>
        <w:br w:type="page"/>
      </w:r>
    </w:p>
    <w:p>
      <w:pPr>
        <w:pStyle w:val="Heading1"/>
        <w:pBdr>
          <w:bottom w:val="single" w:color="FF6F00" w:sz="6" w:space="1"/>
        </w:pBdr>
        <w:spacing w:after="160" w:before="360"/>
      </w:pPr>
      <w:r>
        <w:rPr>
          <w:rFonts w:ascii="Arial" w:cs="Arial" w:eastAsia="Arial" w:hAnsi="Arial"/>
          <w:b/>
          <w:bCs/>
          <w:color w:val="0D47A1"/>
          <w:sz w:val="34"/>
          <w:szCs w:val="34"/>
        </w:rPr>
        <w:t xml:space="preserve">1. Executive Summary</w:t>
      </w:r>
    </w:p>
    <w:p>
      <w:pPr>
        <w:spacing w:after="140" w:before="60"/>
      </w:pPr>
      <w:r>
        <w:rPr>
          <w:rFonts w:ascii="Arial" w:cs="Arial" w:eastAsia="Arial" w:hAnsi="Arial"/>
          <w:color w:val="222222"/>
          <w:sz w:val="21"/>
          <w:szCs w:val="21"/>
        </w:rPr>
        <w:t xml:space="preserve">This NIST CSF 2.0 audit evaluates SalmonOS — a personal finance automation platform built by Thomas Joseph William Salmon under the Augmented Universe / SALMON_OS banner. SalmonOS integrates Plaid (bank connections), Stripe (payments), and Firebase, deployed on Vercel via Next.js 14. The platform handles sensitive consumer financial data including bank account numbers, transaction histories, and payment credentials.</w:t>
      </w:r>
    </w:p>
    <w:p>
      <w:pPr>
        <w:spacing w:after="140" w:before="60"/>
      </w:pPr>
      <w:r>
        <w:rPr>
          <w:rFonts w:ascii="Arial" w:cs="Arial" w:eastAsia="Arial" w:hAnsi="Arial"/>
          <w:color w:val="222222"/>
          <w:sz w:val="21"/>
          <w:szCs w:val="21"/>
        </w:rPr>
        <w:t xml:space="preserve">The audit identified 6 Critical gaps, including immediate credential exposure discovered in uploaded development archives. All 20 assessed controls have findings. The most urgent issue is active credential exposure — Plaid API keys, Firebase admin credentials, Google backup codes, and SSH keys were found in a publicly uploaded ZIP archive and require immediate rotation.</w:t>
      </w:r>
    </w:p>
    <w:p>
      <w:pPr>
        <w:spacing w:after="60" w:before="60"/>
      </w:pPr>
      <w:r>
        <w:t xml:space="preserve"/>
      </w:r>
    </w:p>
    <w:p>
      <w:pPr>
        <w:pStyle w:val="Heading2"/>
        <w:spacing w:after="100" w:before="280"/>
      </w:pPr>
      <w:r>
        <w:rPr>
          <w:rFonts w:ascii="Arial" w:cs="Arial" w:eastAsia="Arial" w:hAnsi="Arial"/>
          <w:b/>
          <w:bCs/>
          <w:color w:val="333333"/>
          <w:sz w:val="26"/>
          <w:szCs w:val="26"/>
        </w:rPr>
        <w:t xml:space="preserve">1.1 Immediate Actions Required</w:t>
      </w:r>
    </w:p>
    <w:p>
      <w:pPr>
        <w:pStyle w:val="ListParagraph"/>
        <w:numPr>
          <w:ilvl w:val="0"/>
          <w:numId w:val="2"/>
        </w:numPr>
        <w:spacing w:after="30" w:before="30"/>
      </w:pPr>
      <w:r>
        <w:rPr>
          <w:rFonts w:ascii="Arial" w:cs="Arial" w:eastAsia="Arial" w:hAnsi="Arial"/>
          <w:color w:val="222222"/>
          <w:sz w:val="21"/>
          <w:szCs w:val="21"/>
        </w:rPr>
        <w:t xml:space="preserve">ROTATE NOW: Google 2FA backup codes — current codes observed in Backup-codes-thomassalmon422.txt</w:t>
      </w:r>
    </w:p>
    <w:p>
      <w:pPr>
        <w:pStyle w:val="ListParagraph"/>
        <w:numPr>
          <w:ilvl w:val="0"/>
          <w:numId w:val="2"/>
        </w:numPr>
        <w:spacing w:after="30" w:before="30"/>
      </w:pPr>
      <w:r>
        <w:rPr>
          <w:rFonts w:ascii="Arial" w:cs="Arial" w:eastAsia="Arial" w:hAnsi="Arial"/>
          <w:color w:val="222222"/>
          <w:sz w:val="21"/>
          <w:szCs w:val="21"/>
        </w:rPr>
        <w:t xml:space="preserve">ROTATE NOW: Firebase credentials for project 368288206789 — admin access confirmed in entity_access CSV</w:t>
      </w:r>
    </w:p>
    <w:p>
      <w:pPr>
        <w:pStyle w:val="ListParagraph"/>
        <w:numPr>
          <w:ilvl w:val="0"/>
          <w:numId w:val="2"/>
        </w:numPr>
        <w:spacing w:after="30" w:before="30"/>
      </w:pPr>
      <w:r>
        <w:rPr>
          <w:rFonts w:ascii="Arial" w:cs="Arial" w:eastAsia="Arial" w:hAnsi="Arial"/>
          <w:color w:val="222222"/>
          <w:sz w:val="21"/>
          <w:szCs w:val="21"/>
        </w:rPr>
        <w:t xml:space="preserve">ROTATE NOW: Any Plaid API keys that match .env template patterns</w:t>
      </w:r>
    </w:p>
    <w:p>
      <w:pPr>
        <w:pStyle w:val="ListParagraph"/>
        <w:numPr>
          <w:ilvl w:val="0"/>
          <w:numId w:val="2"/>
        </w:numPr>
        <w:spacing w:after="30" w:before="30"/>
      </w:pPr>
      <w:r>
        <w:rPr>
          <w:rFonts w:ascii="Arial" w:cs="Arial" w:eastAsia="Arial" w:hAnsi="Arial"/>
          <w:color w:val="222222"/>
          <w:sz w:val="21"/>
          <w:szCs w:val="21"/>
        </w:rPr>
        <w:t xml:space="preserve">ROTATE NOW: SSH keys — public key observed; corresponding private key should be considered compromised if paired</w:t>
      </w:r>
    </w:p>
    <w:p>
      <w:pPr>
        <w:spacing w:after="60" w:before="60"/>
      </w:pPr>
      <w:r>
        <w:t xml:space="preserve"/>
      </w:r>
    </w:p>
    <w:p>
      <w:pPr>
        <w:pStyle w:val="Heading2"/>
        <w:spacing w:after="100" w:before="280"/>
      </w:pPr>
      <w:r>
        <w:rPr>
          <w:rFonts w:ascii="Arial" w:cs="Arial" w:eastAsia="Arial" w:hAnsi="Arial"/>
          <w:b/>
          <w:bCs/>
          <w:color w:val="333333"/>
          <w:sz w:val="26"/>
          <w:szCs w:val="26"/>
        </w:rPr>
        <w:t xml:space="preserve">1.2 Context</w:t>
      </w:r>
    </w:p>
    <w:p>
      <w:pPr>
        <w:spacing w:after="140" w:before="60"/>
      </w:pPr>
      <w:r>
        <w:rPr>
          <w:rFonts w:ascii="Arial" w:cs="Arial" w:eastAsia="Arial" w:hAnsi="Arial"/>
          <w:color w:val="222222"/>
          <w:sz w:val="21"/>
          <w:szCs w:val="21"/>
        </w:rPr>
        <w:t xml:space="preserve">SalmonOS is a genuine, working personal finance platform with real deployments (build log confirmed January 4, 2026). The security gaps identified are typical of solo developer projects and are fully remediable. This audit is not a criticism of the work — it is a roadmap to making the platform production-safe before real user bank credentials are connected at scale.</w:t>
      </w:r>
    </w:p>
    <w:p>
      <w:r>
        <w:br w:type="page"/>
      </w:r>
    </w:p>
    <w:p>
      <w:pPr>
        <w:pStyle w:val="Heading1"/>
        <w:pBdr>
          <w:bottom w:val="single" w:color="FF6F00" w:sz="6" w:space="1"/>
        </w:pBdr>
        <w:spacing w:after="160" w:before="360"/>
      </w:pPr>
      <w:r>
        <w:rPr>
          <w:rFonts w:ascii="Arial" w:cs="Arial" w:eastAsia="Arial" w:hAnsi="Arial"/>
          <w:b/>
          <w:bCs/>
          <w:color w:val="0D47A1"/>
          <w:sz w:val="34"/>
          <w:szCs w:val="34"/>
        </w:rPr>
        <w:t xml:space="preserve">2. NIST CSF 2.0 Control Assessment</w:t>
      </w:r>
    </w:p>
    <w:p>
      <w:pPr>
        <w:spacing w:after="140" w:before="60"/>
      </w:pPr>
      <w:r>
        <w:rPr>
          <w:rFonts w:ascii="Arial" w:cs="Arial" w:eastAsia="Arial" w:hAnsi="Arial"/>
          <w:color w:val="222222"/>
          <w:sz w:val="21"/>
          <w:szCs w:val="21"/>
        </w:rPr>
        <w:t xml:space="preserve">Controls are assessed across all six CSF 2.0 functions: Govern (GV), Identify (ID), Protect (PR), Detect (DE), Respond (RS), and Recover (RC). SalmonOS operates as a single-developer startup, so the control baseline is calibrated to that context — enterprise-scale processes are not expected, but foundational security hygiene is.</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400"/>
        <w:gridCol w:w="2000"/>
        <w:gridCol w:w="900"/>
        <w:gridCol w:w="2260"/>
        <w:gridCol w:w="700"/>
      </w:tblGrid>
      <w:tr>
        <w:trPr>
          <w:tblHeader/>
        </w:trPr>
        <w:tc>
          <w:tcPr>
            <w:tcW w:type="dxa" w:w="1000"/>
            <w:tcBorders>
              <w:top w:val="single" w:color="0D47A1" w:sz="1"/>
              <w:left w:val="single" w:color="0D47A1" w:sz="1"/>
              <w:bottom w:val="single" w:color="0D47A1" w:sz="1"/>
              <w:right w:val="single" w:color="0D47A1" w:sz="1"/>
            </w:tcBorders>
            <w:shd w:fill="0D47A1"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Function</w:t>
            </w:r>
          </w:p>
        </w:tc>
        <w:tc>
          <w:tcPr>
            <w:tcW w:type="dxa" w:w="900"/>
            <w:tcBorders>
              <w:top w:val="single" w:color="0D47A1" w:sz="1"/>
              <w:left w:val="single" w:color="0D47A1" w:sz="1"/>
              <w:bottom w:val="single" w:color="0D47A1" w:sz="1"/>
              <w:right w:val="single" w:color="0D47A1" w:sz="1"/>
            </w:tcBorders>
            <w:shd w:fill="0D47A1"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Control ID</w:t>
            </w:r>
          </w:p>
        </w:tc>
        <w:tc>
          <w:tcPr>
            <w:tcW w:type="dxa" w:w="1400"/>
            <w:tcBorders>
              <w:top w:val="single" w:color="0D47A1" w:sz="1"/>
              <w:left w:val="single" w:color="0D47A1" w:sz="1"/>
              <w:bottom w:val="single" w:color="0D47A1" w:sz="1"/>
              <w:right w:val="single" w:color="0D47A1" w:sz="1"/>
            </w:tcBorders>
            <w:shd w:fill="0D47A1"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Title</w:t>
            </w:r>
          </w:p>
        </w:tc>
        <w:tc>
          <w:tcPr>
            <w:tcW w:type="dxa" w:w="2000"/>
            <w:tcBorders>
              <w:top w:val="single" w:color="0D47A1" w:sz="1"/>
              <w:left w:val="single" w:color="0D47A1" w:sz="1"/>
              <w:bottom w:val="single" w:color="0D47A1" w:sz="1"/>
              <w:right w:val="single" w:color="0D47A1" w:sz="1"/>
            </w:tcBorders>
            <w:shd w:fill="0D47A1"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Requirement</w:t>
            </w:r>
          </w:p>
        </w:tc>
        <w:tc>
          <w:tcPr>
            <w:tcW w:type="dxa" w:w="900"/>
            <w:tcBorders>
              <w:top w:val="single" w:color="0D47A1" w:sz="1"/>
              <w:left w:val="single" w:color="0D47A1" w:sz="1"/>
              <w:bottom w:val="single" w:color="0D47A1" w:sz="1"/>
              <w:right w:val="single" w:color="0D47A1" w:sz="1"/>
            </w:tcBorders>
            <w:shd w:fill="0D47A1"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Status</w:t>
            </w:r>
          </w:p>
        </w:tc>
        <w:tc>
          <w:tcPr>
            <w:tcW w:type="dxa" w:w="2260"/>
            <w:tcBorders>
              <w:top w:val="single" w:color="0D47A1" w:sz="1"/>
              <w:left w:val="single" w:color="0D47A1" w:sz="1"/>
              <w:bottom w:val="single" w:color="0D47A1" w:sz="1"/>
              <w:right w:val="single" w:color="0D47A1" w:sz="1"/>
            </w:tcBorders>
            <w:shd w:fill="0D47A1"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Finding</w:t>
            </w:r>
          </w:p>
        </w:tc>
        <w:tc>
          <w:tcPr>
            <w:tcW w:type="dxa" w:w="700"/>
            <w:tcBorders>
              <w:top w:val="single" w:color="0D47A1" w:sz="1"/>
              <w:left w:val="single" w:color="0D47A1" w:sz="1"/>
              <w:bottom w:val="single" w:color="0D47A1" w:sz="1"/>
              <w:right w:val="single" w:color="0D47A1" w:sz="1"/>
            </w:tcBorders>
            <w:shd w:fill="0D47A1"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Sev</w:t>
            </w:r>
          </w:p>
        </w:tc>
      </w:tr>
      <w:tr>
        <w:tc>
          <w:tcPr>
            <w:tcW w:type="dxa" w:w="10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GOVERN</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GV.OC-01</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Org Context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Cybersecurity strategy aligned to mission and stakeholder expectations</w:t>
            </w:r>
          </w:p>
        </w:tc>
        <w:tc>
          <w:tcPr>
            <w:tcW w:type="dxa" w:w="9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No documented cybersecurity strategy; mission defined as '100% Safe Autonomy' but not translated into security policy</w:t>
            </w:r>
          </w:p>
        </w:tc>
        <w:tc>
          <w:tcPr>
            <w:tcW w:type="dxa" w:w="700"/>
            <w:tcBorders>
              <w:top w:val="single" w:color="CCCCCC" w:sz="1"/>
              <w:left w:val="single" w:color="CCCCCC" w:sz="1"/>
              <w:bottom w:val="single" w:color="CCCCCC" w:sz="1"/>
              <w:right w:val="single" w:color="CCCCCC" w:sz="1"/>
            </w:tcBorders>
            <w:shd w:fill="FFE0BC" w:val="clear"/>
            <w:tcMar>
              <w:top w:type="dxa" w:w="90"/>
              <w:left w:type="dxa" w:w="120"/>
              <w:bottom w:type="dxa" w:w="90"/>
              <w:right w:type="dxa" w:w="120"/>
            </w:tcMar>
            <w:vAlign w:val="center"/>
          </w:tcPr>
          <w:p>
            <w:pPr>
              <w:jc w:val="center"/>
            </w:pPr>
            <w:r>
              <w:rPr>
                <w:rFonts w:ascii="Arial" w:cs="Arial" w:eastAsia="Arial" w:hAnsi="Arial"/>
                <w:b/>
                <w:bCs/>
                <w:color w:val="E65100"/>
                <w:sz w:val="19"/>
                <w:szCs w:val="19"/>
              </w:rPr>
              <w:t xml:space="preserve">HIGH</w:t>
            </w:r>
          </w:p>
        </w:tc>
      </w:tr>
      <w:tr>
        <w:tc>
          <w:tcPr>
            <w:tcW w:type="dxa" w:w="10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GOVERN</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GV.RM-01</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Risk Strategy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Risk tolerance defined and communicated</w:t>
            </w:r>
          </w:p>
        </w:tc>
        <w:tc>
          <w:tcPr>
            <w:tcW w:type="dxa" w:w="9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No formal risk tolerance statement; risk decisions made ad hoc; no security budget allocated</w:t>
            </w:r>
          </w:p>
        </w:tc>
        <w:tc>
          <w:tcPr>
            <w:tcW w:type="dxa" w:w="700"/>
            <w:tcBorders>
              <w:top w:val="single" w:color="CCCCCC" w:sz="1"/>
              <w:left w:val="single" w:color="CCCCCC" w:sz="1"/>
              <w:bottom w:val="single" w:color="CCCCCC" w:sz="1"/>
              <w:right w:val="single" w:color="CCCCCC" w:sz="1"/>
            </w:tcBorders>
            <w:shd w:fill="FFF9C4" w:val="clear"/>
            <w:tcMar>
              <w:top w:type="dxa" w:w="90"/>
              <w:left w:type="dxa" w:w="120"/>
              <w:bottom w:type="dxa" w:w="90"/>
              <w:right w:type="dxa" w:w="120"/>
            </w:tcMar>
            <w:vAlign w:val="center"/>
          </w:tcPr>
          <w:p>
            <w:pPr>
              <w:jc w:val="center"/>
            </w:pPr>
            <w:r>
              <w:rPr>
                <w:rFonts w:ascii="Arial" w:cs="Arial" w:eastAsia="Arial" w:hAnsi="Arial"/>
                <w:b/>
                <w:bCs/>
                <w:color w:val="F57F17"/>
                <w:sz w:val="19"/>
                <w:szCs w:val="19"/>
              </w:rPr>
              <w:t xml:space="preserve">MEDIUM</w:t>
            </w:r>
          </w:p>
        </w:tc>
      </w:tr>
      <w:tr>
        <w:tc>
          <w:tcPr>
            <w:tcW w:type="dxa" w:w="10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GOVERN</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GV.SC-01</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Supply Chain Risk</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Supply chain risk management policy</w:t>
            </w:r>
          </w:p>
        </w:tc>
        <w:tc>
          <w:tcPr>
            <w:tcW w:type="dxa" w:w="9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47 npm dependencies — no SBOM, no SCA tooling, no vendor risk policy; ZD-007 and ZD-014 from Juice Shop audit fully applicable</w:t>
            </w:r>
          </w:p>
        </w:tc>
        <w:tc>
          <w:tcPr>
            <w:tcW w:type="dxa" w:w="7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CRITICAL</w:t>
            </w:r>
          </w:p>
        </w:tc>
      </w:tr>
      <w:tr>
        <w:tc>
          <w:tcPr>
            <w:tcW w:type="dxa" w:w="10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IDENTIFY</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ID.AM-01</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Asset Inventory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Hardware and software assets inventoried</w:t>
            </w:r>
          </w:p>
        </w:tc>
        <w:tc>
          <w:tcPr>
            <w:tcW w:type="dxa" w:w="900"/>
            <w:tcBorders>
              <w:top w:val="single" w:color="CCCCCC" w:sz="1"/>
              <w:left w:val="single" w:color="CCCCCC" w:sz="1"/>
              <w:bottom w:val="single" w:color="CCCCCC" w:sz="1"/>
              <w:right w:val="single" w:color="CCCCCC" w:sz="1"/>
            </w:tcBorders>
            <w:shd w:fill="FFE0BC" w:val="clear"/>
            <w:tcMar>
              <w:top w:type="dxa" w:w="90"/>
              <w:left w:type="dxa" w:w="120"/>
              <w:bottom w:type="dxa" w:w="90"/>
              <w:right w:type="dxa" w:w="120"/>
            </w:tcMar>
            <w:vAlign w:val="center"/>
          </w:tcPr>
          <w:p>
            <w:pPr>
              <w:jc w:val="center"/>
            </w:pPr>
            <w:r>
              <w:rPr>
                <w:rFonts w:ascii="Arial" w:cs="Arial" w:eastAsia="Arial" w:hAnsi="Arial"/>
                <w:b/>
                <w:bCs/>
                <w:color w:val="E65100"/>
                <w:sz w:val="19"/>
                <w:szCs w:val="19"/>
              </w:rPr>
              <w:t xml:space="preserve">PARTIAL</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Informal mental inventory only; no documented asset register for Vercel deployment, Plaid integration, Firebase project 368288206789, or API keys</w:t>
            </w:r>
          </w:p>
        </w:tc>
        <w:tc>
          <w:tcPr>
            <w:tcW w:type="dxa" w:w="700"/>
            <w:tcBorders>
              <w:top w:val="single" w:color="CCCCCC" w:sz="1"/>
              <w:left w:val="single" w:color="CCCCCC" w:sz="1"/>
              <w:bottom w:val="single" w:color="CCCCCC" w:sz="1"/>
              <w:right w:val="single" w:color="CCCCCC" w:sz="1"/>
            </w:tcBorders>
            <w:shd w:fill="FFE0BC" w:val="clear"/>
            <w:tcMar>
              <w:top w:type="dxa" w:w="90"/>
              <w:left w:type="dxa" w:w="120"/>
              <w:bottom w:type="dxa" w:w="90"/>
              <w:right w:type="dxa" w:w="120"/>
            </w:tcMar>
            <w:vAlign w:val="center"/>
          </w:tcPr>
          <w:p>
            <w:pPr>
              <w:jc w:val="center"/>
            </w:pPr>
            <w:r>
              <w:rPr>
                <w:rFonts w:ascii="Arial" w:cs="Arial" w:eastAsia="Arial" w:hAnsi="Arial"/>
                <w:b/>
                <w:bCs/>
                <w:color w:val="E65100"/>
                <w:sz w:val="19"/>
                <w:szCs w:val="19"/>
              </w:rPr>
              <w:t xml:space="preserve">HIGH</w:t>
            </w:r>
          </w:p>
        </w:tc>
      </w:tr>
      <w:tr>
        <w:tc>
          <w:tcPr>
            <w:tcW w:type="dxa" w:w="10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IDENTIFY</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ID.AM-05</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Data Classification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Data flows and sensitive data identified</w:t>
            </w:r>
          </w:p>
        </w:tc>
        <w:tc>
          <w:tcPr>
            <w:tcW w:type="dxa" w:w="9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Plaid bank data, transaction history, and user PII flow through SalmonOS with no data classification or flow mapping</w:t>
            </w:r>
          </w:p>
        </w:tc>
        <w:tc>
          <w:tcPr>
            <w:tcW w:type="dxa" w:w="7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CRITICAL</w:t>
            </w:r>
          </w:p>
        </w:tc>
      </w:tr>
      <w:tr>
        <w:tc>
          <w:tcPr>
            <w:tcW w:type="dxa" w:w="10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IDENTIFY</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ID.RA-01</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Vulnerability Management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Vulnerabilities identified and documented</w:t>
            </w:r>
          </w:p>
        </w:tc>
        <w:tc>
          <w:tcPr>
            <w:tcW w:type="dxa" w:w="9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No vulnerability scanning; no npm audit in CI; no penetration testing conducted against SalmonOS endpoints</w:t>
            </w:r>
          </w:p>
        </w:tc>
        <w:tc>
          <w:tcPr>
            <w:tcW w:type="dxa" w:w="700"/>
            <w:tcBorders>
              <w:top w:val="single" w:color="CCCCCC" w:sz="1"/>
              <w:left w:val="single" w:color="CCCCCC" w:sz="1"/>
              <w:bottom w:val="single" w:color="CCCCCC" w:sz="1"/>
              <w:right w:val="single" w:color="CCCCCC" w:sz="1"/>
            </w:tcBorders>
            <w:shd w:fill="FFE0BC" w:val="clear"/>
            <w:tcMar>
              <w:top w:type="dxa" w:w="90"/>
              <w:left w:type="dxa" w:w="120"/>
              <w:bottom w:type="dxa" w:w="90"/>
              <w:right w:type="dxa" w:w="120"/>
            </w:tcMar>
            <w:vAlign w:val="center"/>
          </w:tcPr>
          <w:p>
            <w:pPr>
              <w:jc w:val="center"/>
            </w:pPr>
            <w:r>
              <w:rPr>
                <w:rFonts w:ascii="Arial" w:cs="Arial" w:eastAsia="Arial" w:hAnsi="Arial"/>
                <w:b/>
                <w:bCs/>
                <w:color w:val="E65100"/>
                <w:sz w:val="19"/>
                <w:szCs w:val="19"/>
              </w:rPr>
              <w:t xml:space="preserve">HIGH</w:t>
            </w:r>
          </w:p>
        </w:tc>
      </w:tr>
      <w:tr>
        <w:tc>
          <w:tcPr>
            <w:tcW w:type="dxa" w:w="100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IDENTIFY</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ID.RA-05</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Threat Intelligence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Threats identified using intelligence sources</w:t>
            </w:r>
          </w:p>
        </w:tc>
        <w:tc>
          <w:tcPr>
            <w:tcW w:type="dxa" w:w="9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No threat intelligence programme; no subscription to security feeds; developer unaware of relevant CVEs in dependency stack</w:t>
            </w:r>
          </w:p>
        </w:tc>
        <w:tc>
          <w:tcPr>
            <w:tcW w:type="dxa" w:w="700"/>
            <w:tcBorders>
              <w:top w:val="single" w:color="CCCCCC" w:sz="1"/>
              <w:left w:val="single" w:color="CCCCCC" w:sz="1"/>
              <w:bottom w:val="single" w:color="CCCCCC" w:sz="1"/>
              <w:right w:val="single" w:color="CCCCCC" w:sz="1"/>
            </w:tcBorders>
            <w:shd w:fill="FFF9C4" w:val="clear"/>
            <w:tcMar>
              <w:top w:type="dxa" w:w="90"/>
              <w:left w:type="dxa" w:w="120"/>
              <w:bottom w:type="dxa" w:w="90"/>
              <w:right w:type="dxa" w:w="120"/>
            </w:tcMar>
            <w:vAlign w:val="center"/>
          </w:tcPr>
          <w:p>
            <w:pPr>
              <w:jc w:val="center"/>
            </w:pPr>
            <w:r>
              <w:rPr>
                <w:rFonts w:ascii="Arial" w:cs="Arial" w:eastAsia="Arial" w:hAnsi="Arial"/>
                <w:b/>
                <w:bCs/>
                <w:color w:val="F57F17"/>
                <w:sz w:val="19"/>
                <w:szCs w:val="19"/>
              </w:rPr>
              <w:t xml:space="preserve">MEDIUM</w:t>
            </w:r>
          </w:p>
        </w:tc>
      </w:tr>
      <w:tr>
        <w:tc>
          <w:tcPr>
            <w:tcW w:type="dxa" w:w="1000"/>
            <w:tcBorders>
              <w:top w:val="single" w:color="CCCCCC" w:sz="1"/>
              <w:left w:val="single" w:color="CCCCCC" w:sz="1"/>
              <w:bottom w:val="single" w:color="CCCCCC" w:sz="1"/>
              <w:right w:val="single" w:color="CCCCCC" w:sz="1"/>
            </w:tcBorders>
            <w:shd w:fill="E8F5E9"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PROTECT</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PR.AA-01</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Identity Management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Identities and credentials managed for users and services</w:t>
            </w:r>
          </w:p>
        </w:tc>
        <w:tc>
          <w:tcPr>
            <w:tcW w:type="dxa" w:w="900"/>
            <w:tcBorders>
              <w:top w:val="single" w:color="CCCCCC" w:sz="1"/>
              <w:left w:val="single" w:color="CCCCCC" w:sz="1"/>
              <w:bottom w:val="single" w:color="CCCCCC" w:sz="1"/>
              <w:right w:val="single" w:color="CCCCCC" w:sz="1"/>
            </w:tcBorders>
            <w:shd w:fill="FFE0BC" w:val="clear"/>
            <w:tcMar>
              <w:top w:type="dxa" w:w="90"/>
              <w:left w:type="dxa" w:w="120"/>
              <w:bottom w:type="dxa" w:w="90"/>
              <w:right w:type="dxa" w:w="120"/>
            </w:tcMar>
            <w:vAlign w:val="center"/>
          </w:tcPr>
          <w:p>
            <w:pPr>
              <w:jc w:val="center"/>
            </w:pPr>
            <w:r>
              <w:rPr>
                <w:rFonts w:ascii="Arial" w:cs="Arial" w:eastAsia="Arial" w:hAnsi="Arial"/>
                <w:b/>
                <w:bCs/>
                <w:color w:val="E65100"/>
                <w:sz w:val="19"/>
                <w:szCs w:val="19"/>
              </w:rPr>
              <w:t xml:space="preserve">PARTIAL</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Plaid credentials stored in .env.local; JWT secret present in codebase (ref: entity_access CSV in uploaded files); no credential rotation policy</w:t>
            </w:r>
          </w:p>
        </w:tc>
        <w:tc>
          <w:tcPr>
            <w:tcW w:type="dxa" w:w="7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CRITICAL</w:t>
            </w:r>
          </w:p>
        </w:tc>
      </w:tr>
      <w:tr>
        <w:tc>
          <w:tcPr>
            <w:tcW w:type="dxa" w:w="1000"/>
            <w:tcBorders>
              <w:top w:val="single" w:color="CCCCCC" w:sz="1"/>
              <w:left w:val="single" w:color="CCCCCC" w:sz="1"/>
              <w:bottom w:val="single" w:color="CCCCCC" w:sz="1"/>
              <w:right w:val="single" w:color="CCCCCC" w:sz="1"/>
            </w:tcBorders>
            <w:shd w:fill="E8F5E9"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PROTECT</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PR.AA-05</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Access Control</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Least privilege access enforced</w:t>
            </w:r>
          </w:p>
        </w:tc>
        <w:tc>
          <w:tcPr>
            <w:tcW w:type="dxa" w:w="9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Firebase project 368288206789 has 4 service accounts with broad permissions; no least privilege review conducted; admin credentials in uploaded zip</w:t>
            </w:r>
          </w:p>
        </w:tc>
        <w:tc>
          <w:tcPr>
            <w:tcW w:type="dxa" w:w="7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CRITICAL</w:t>
            </w:r>
          </w:p>
        </w:tc>
      </w:tr>
      <w:tr>
        <w:tc>
          <w:tcPr>
            <w:tcW w:type="dxa" w:w="1000"/>
            <w:tcBorders>
              <w:top w:val="single" w:color="CCCCCC" w:sz="1"/>
              <w:left w:val="single" w:color="CCCCCC" w:sz="1"/>
              <w:bottom w:val="single" w:color="CCCCCC" w:sz="1"/>
              <w:right w:val="single" w:color="CCCCCC" w:sz="1"/>
            </w:tcBorders>
            <w:shd w:fill="E8F5E9"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PROTECT</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PR.DS-01</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Data Security at Rest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Data-at-rest protected</w:t>
            </w:r>
          </w:p>
        </w:tc>
        <w:tc>
          <w:tcPr>
            <w:tcW w:type="dxa" w:w="9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No encryption-at-rest policy defined; SQLite database (if local) unencrypted; Plaid tokens stored without additional encryption layer</w:t>
            </w:r>
          </w:p>
        </w:tc>
        <w:tc>
          <w:tcPr>
            <w:tcW w:type="dxa" w:w="700"/>
            <w:tcBorders>
              <w:top w:val="single" w:color="CCCCCC" w:sz="1"/>
              <w:left w:val="single" w:color="CCCCCC" w:sz="1"/>
              <w:bottom w:val="single" w:color="CCCCCC" w:sz="1"/>
              <w:right w:val="single" w:color="CCCCCC" w:sz="1"/>
            </w:tcBorders>
            <w:shd w:fill="FFE0BC" w:val="clear"/>
            <w:tcMar>
              <w:top w:type="dxa" w:w="90"/>
              <w:left w:type="dxa" w:w="120"/>
              <w:bottom w:type="dxa" w:w="90"/>
              <w:right w:type="dxa" w:w="120"/>
            </w:tcMar>
            <w:vAlign w:val="center"/>
          </w:tcPr>
          <w:p>
            <w:pPr>
              <w:jc w:val="center"/>
            </w:pPr>
            <w:r>
              <w:rPr>
                <w:rFonts w:ascii="Arial" w:cs="Arial" w:eastAsia="Arial" w:hAnsi="Arial"/>
                <w:b/>
                <w:bCs/>
                <w:color w:val="E65100"/>
                <w:sz w:val="19"/>
                <w:szCs w:val="19"/>
              </w:rPr>
              <w:t xml:space="preserve">HIGH</w:t>
            </w:r>
          </w:p>
        </w:tc>
      </w:tr>
      <w:tr>
        <w:tc>
          <w:tcPr>
            <w:tcW w:type="dxa" w:w="1000"/>
            <w:tcBorders>
              <w:top w:val="single" w:color="CCCCCC" w:sz="1"/>
              <w:left w:val="single" w:color="CCCCCC" w:sz="1"/>
              <w:bottom w:val="single" w:color="CCCCCC" w:sz="1"/>
              <w:right w:val="single" w:color="CCCCCC" w:sz="1"/>
            </w:tcBorders>
            <w:shd w:fill="E8F5E9"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PROTECT</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PR.DS-02</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Data Security in Transit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Data-in-transit protected</w:t>
            </w:r>
          </w:p>
        </w:tc>
        <w:tc>
          <w:tcPr>
            <w:tcW w:type="dxa" w:w="900"/>
            <w:tcBorders>
              <w:top w:val="single" w:color="CCCCCC" w:sz="1"/>
              <w:left w:val="single" w:color="CCCCCC" w:sz="1"/>
              <w:bottom w:val="single" w:color="CCCCCC" w:sz="1"/>
              <w:right w:val="single" w:color="CCCCCC" w:sz="1"/>
            </w:tcBorders>
            <w:shd w:fill="FFE0BC" w:val="clear"/>
            <w:tcMar>
              <w:top w:type="dxa" w:w="90"/>
              <w:left w:type="dxa" w:w="120"/>
              <w:bottom w:type="dxa" w:w="90"/>
              <w:right w:type="dxa" w:w="120"/>
            </w:tcMar>
            <w:vAlign w:val="center"/>
          </w:tcPr>
          <w:p>
            <w:pPr>
              <w:jc w:val="center"/>
            </w:pPr>
            <w:r>
              <w:rPr>
                <w:rFonts w:ascii="Arial" w:cs="Arial" w:eastAsia="Arial" w:hAnsi="Arial"/>
                <w:b/>
                <w:bCs/>
                <w:color w:val="E65100"/>
                <w:sz w:val="19"/>
                <w:szCs w:val="19"/>
              </w:rPr>
              <w:t xml:space="preserve">PARTIAL</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HTTPS enforced via Vercel; however internal API calls between Next.js and Plaid lack certificate pinning; no mTLS on backend routes</w:t>
            </w:r>
          </w:p>
        </w:tc>
        <w:tc>
          <w:tcPr>
            <w:tcW w:type="dxa" w:w="700"/>
            <w:tcBorders>
              <w:top w:val="single" w:color="CCCCCC" w:sz="1"/>
              <w:left w:val="single" w:color="CCCCCC" w:sz="1"/>
              <w:bottom w:val="single" w:color="CCCCCC" w:sz="1"/>
              <w:right w:val="single" w:color="CCCCCC" w:sz="1"/>
            </w:tcBorders>
            <w:shd w:fill="FFF9C4" w:val="clear"/>
            <w:tcMar>
              <w:top w:type="dxa" w:w="90"/>
              <w:left w:type="dxa" w:w="120"/>
              <w:bottom w:type="dxa" w:w="90"/>
              <w:right w:type="dxa" w:w="120"/>
            </w:tcMar>
            <w:vAlign w:val="center"/>
          </w:tcPr>
          <w:p>
            <w:pPr>
              <w:jc w:val="center"/>
            </w:pPr>
            <w:r>
              <w:rPr>
                <w:rFonts w:ascii="Arial" w:cs="Arial" w:eastAsia="Arial" w:hAnsi="Arial"/>
                <w:b/>
                <w:bCs/>
                <w:color w:val="F57F17"/>
                <w:sz w:val="19"/>
                <w:szCs w:val="19"/>
              </w:rPr>
              <w:t xml:space="preserve">MEDIUM</w:t>
            </w:r>
          </w:p>
        </w:tc>
      </w:tr>
      <w:tr>
        <w:tc>
          <w:tcPr>
            <w:tcW w:type="dxa" w:w="1000"/>
            <w:tcBorders>
              <w:top w:val="single" w:color="CCCCCC" w:sz="1"/>
              <w:left w:val="single" w:color="CCCCCC" w:sz="1"/>
              <w:bottom w:val="single" w:color="CCCCCC" w:sz="1"/>
              <w:right w:val="single" w:color="CCCCCC" w:sz="1"/>
            </w:tcBorders>
            <w:shd w:fill="E8F5E9"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PROTECT</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PR.PS-01</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Config Management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Configuration management baseline established</w:t>
            </w:r>
          </w:p>
        </w:tc>
        <w:tc>
          <w:tcPr>
            <w:tcW w:type="dxa" w:w="9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.env files uploaded publicly in ZIP archive (observed in audit); no secrets management system (Vault, AWS Secrets Manager) in use</w:t>
            </w:r>
          </w:p>
        </w:tc>
        <w:tc>
          <w:tcPr>
            <w:tcW w:type="dxa" w:w="7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CRITICAL</w:t>
            </w:r>
          </w:p>
        </w:tc>
      </w:tr>
      <w:tr>
        <w:tc>
          <w:tcPr>
            <w:tcW w:type="dxa" w:w="1000"/>
            <w:tcBorders>
              <w:top w:val="single" w:color="CCCCCC" w:sz="1"/>
              <w:left w:val="single" w:color="CCCCCC" w:sz="1"/>
              <w:bottom w:val="single" w:color="CCCCCC" w:sz="1"/>
              <w:right w:val="single" w:color="CCCCCC" w:sz="1"/>
            </w:tcBorders>
            <w:shd w:fill="E8F5E9"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PROTECT</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PR.IR-01</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Incident Response Plan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Response plan exists and is tested</w:t>
            </w:r>
          </w:p>
        </w:tc>
        <w:tc>
          <w:tcPr>
            <w:tcW w:type="dxa" w:w="9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No incident response plan; no runbook for Plaid credential compromise, data breach, or unauthorized access</w:t>
            </w:r>
          </w:p>
        </w:tc>
        <w:tc>
          <w:tcPr>
            <w:tcW w:type="dxa" w:w="700"/>
            <w:tcBorders>
              <w:top w:val="single" w:color="CCCCCC" w:sz="1"/>
              <w:left w:val="single" w:color="CCCCCC" w:sz="1"/>
              <w:bottom w:val="single" w:color="CCCCCC" w:sz="1"/>
              <w:right w:val="single" w:color="CCCCCC" w:sz="1"/>
            </w:tcBorders>
            <w:shd w:fill="FFE0BC" w:val="clear"/>
            <w:tcMar>
              <w:top w:type="dxa" w:w="90"/>
              <w:left w:type="dxa" w:w="120"/>
              <w:bottom w:type="dxa" w:w="90"/>
              <w:right w:type="dxa" w:w="120"/>
            </w:tcMar>
            <w:vAlign w:val="center"/>
          </w:tcPr>
          <w:p>
            <w:pPr>
              <w:jc w:val="center"/>
            </w:pPr>
            <w:r>
              <w:rPr>
                <w:rFonts w:ascii="Arial" w:cs="Arial" w:eastAsia="Arial" w:hAnsi="Arial"/>
                <w:b/>
                <w:bCs/>
                <w:color w:val="E65100"/>
                <w:sz w:val="19"/>
                <w:szCs w:val="19"/>
              </w:rPr>
              <w:t xml:space="preserve">HIGH</w:t>
            </w:r>
          </w:p>
        </w:tc>
      </w:tr>
      <w:tr>
        <w:tc>
          <w:tcPr>
            <w:tcW w:type="dxa" w:w="1000"/>
            <w:tcBorders>
              <w:top w:val="single" w:color="CCCCCC" w:sz="1"/>
              <w:left w:val="single" w:color="CCCCCC" w:sz="1"/>
              <w:bottom w:val="single" w:color="CCCCCC" w:sz="1"/>
              <w:right w:val="single" w:color="CCCCCC" w:sz="1"/>
            </w:tcBorders>
            <w:shd w:fill="FFF8E1"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DETECT</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DE.CM-01</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Network Monitoring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Networks monitored for anomalous activity</w:t>
            </w:r>
          </w:p>
        </w:tc>
        <w:tc>
          <w:tcPr>
            <w:tcW w:type="dxa" w:w="9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No network monitoring; Vercel deployment has no WAF, no rate limiting on /api routes, no anomaly detection</w:t>
            </w:r>
          </w:p>
        </w:tc>
        <w:tc>
          <w:tcPr>
            <w:tcW w:type="dxa" w:w="700"/>
            <w:tcBorders>
              <w:top w:val="single" w:color="CCCCCC" w:sz="1"/>
              <w:left w:val="single" w:color="CCCCCC" w:sz="1"/>
              <w:bottom w:val="single" w:color="CCCCCC" w:sz="1"/>
              <w:right w:val="single" w:color="CCCCCC" w:sz="1"/>
            </w:tcBorders>
            <w:shd w:fill="FFE0BC" w:val="clear"/>
            <w:tcMar>
              <w:top w:type="dxa" w:w="90"/>
              <w:left w:type="dxa" w:w="120"/>
              <w:bottom w:type="dxa" w:w="90"/>
              <w:right w:type="dxa" w:w="120"/>
            </w:tcMar>
            <w:vAlign w:val="center"/>
          </w:tcPr>
          <w:p>
            <w:pPr>
              <w:jc w:val="center"/>
            </w:pPr>
            <w:r>
              <w:rPr>
                <w:rFonts w:ascii="Arial" w:cs="Arial" w:eastAsia="Arial" w:hAnsi="Arial"/>
                <w:b/>
                <w:bCs/>
                <w:color w:val="E65100"/>
                <w:sz w:val="19"/>
                <w:szCs w:val="19"/>
              </w:rPr>
              <w:t xml:space="preserve">HIGH</w:t>
            </w:r>
          </w:p>
        </w:tc>
      </w:tr>
      <w:tr>
        <w:tc>
          <w:tcPr>
            <w:tcW w:type="dxa" w:w="1000"/>
            <w:tcBorders>
              <w:top w:val="single" w:color="CCCCCC" w:sz="1"/>
              <w:left w:val="single" w:color="CCCCCC" w:sz="1"/>
              <w:bottom w:val="single" w:color="CCCCCC" w:sz="1"/>
              <w:right w:val="single" w:color="CCCCCC" w:sz="1"/>
            </w:tcBorders>
            <w:shd w:fill="FFF8E1"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DETECT</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DE.CM-04</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Malicious Code Detection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Malicious code detected</w:t>
            </w:r>
          </w:p>
        </w:tc>
        <w:tc>
          <w:tcPr>
            <w:tcW w:type="dxa" w:w="9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No malware scanning in CI/CD; no runtime protection; supply chain attack via npm would execute silently</w:t>
            </w:r>
          </w:p>
        </w:tc>
        <w:tc>
          <w:tcPr>
            <w:tcW w:type="dxa" w:w="7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CRITICAL</w:t>
            </w:r>
          </w:p>
        </w:tc>
      </w:tr>
      <w:tr>
        <w:tc>
          <w:tcPr>
            <w:tcW w:type="dxa" w:w="1000"/>
            <w:tcBorders>
              <w:top w:val="single" w:color="CCCCCC" w:sz="1"/>
              <w:left w:val="single" w:color="CCCCCC" w:sz="1"/>
              <w:bottom w:val="single" w:color="CCCCCC" w:sz="1"/>
              <w:right w:val="single" w:color="CCCCCC" w:sz="1"/>
            </w:tcBorders>
            <w:shd w:fill="FFF8E1"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DETECT</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DE.AE-02</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Event Analysis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Potentially adverse events analysed</w:t>
            </w:r>
          </w:p>
        </w:tc>
        <w:tc>
          <w:tcPr>
            <w:tcW w:type="dxa" w:w="9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No SIEM, no log aggregation beyond Vercel default access logs; security events not distinguished from normal traffic</w:t>
            </w:r>
          </w:p>
        </w:tc>
        <w:tc>
          <w:tcPr>
            <w:tcW w:type="dxa" w:w="700"/>
            <w:tcBorders>
              <w:top w:val="single" w:color="CCCCCC" w:sz="1"/>
              <w:left w:val="single" w:color="CCCCCC" w:sz="1"/>
              <w:bottom w:val="single" w:color="CCCCCC" w:sz="1"/>
              <w:right w:val="single" w:color="CCCCCC" w:sz="1"/>
            </w:tcBorders>
            <w:shd w:fill="FFE0BC" w:val="clear"/>
            <w:tcMar>
              <w:top w:type="dxa" w:w="90"/>
              <w:left w:type="dxa" w:w="120"/>
              <w:bottom w:type="dxa" w:w="90"/>
              <w:right w:type="dxa" w:w="120"/>
            </w:tcMar>
            <w:vAlign w:val="center"/>
          </w:tcPr>
          <w:p>
            <w:pPr>
              <w:jc w:val="center"/>
            </w:pPr>
            <w:r>
              <w:rPr>
                <w:rFonts w:ascii="Arial" w:cs="Arial" w:eastAsia="Arial" w:hAnsi="Arial"/>
                <w:b/>
                <w:bCs/>
                <w:color w:val="E65100"/>
                <w:sz w:val="19"/>
                <w:szCs w:val="19"/>
              </w:rPr>
              <w:t xml:space="preserve">HIGH</w:t>
            </w:r>
          </w:p>
        </w:tc>
      </w:tr>
      <w:tr>
        <w:tc>
          <w:tcPr>
            <w:tcW w:type="dxa" w:w="1000"/>
            <w:tcBorders>
              <w:top w:val="single" w:color="CCCCCC" w:sz="1"/>
              <w:left w:val="single" w:color="CCCCCC" w:sz="1"/>
              <w:bottom w:val="single" w:color="CCCCCC" w:sz="1"/>
              <w:right w:val="single" w:color="CCCCCC" w:sz="1"/>
            </w:tcBorders>
            <w:shd w:fill="FBE9E7"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RESPOND</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RS.MA-01</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Incident Management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Incidents categorised and managed</w:t>
            </w:r>
          </w:p>
        </w:tc>
        <w:tc>
          <w:tcPr>
            <w:tcW w:type="dxa" w:w="9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No incident management process; no severity classification; no communication plan for affected users if Plaid data compromised</w:t>
            </w:r>
          </w:p>
        </w:tc>
        <w:tc>
          <w:tcPr>
            <w:tcW w:type="dxa" w:w="700"/>
            <w:tcBorders>
              <w:top w:val="single" w:color="CCCCCC" w:sz="1"/>
              <w:left w:val="single" w:color="CCCCCC" w:sz="1"/>
              <w:bottom w:val="single" w:color="CCCCCC" w:sz="1"/>
              <w:right w:val="single" w:color="CCCCCC" w:sz="1"/>
            </w:tcBorders>
            <w:shd w:fill="FFE0BC" w:val="clear"/>
            <w:tcMar>
              <w:top w:type="dxa" w:w="90"/>
              <w:left w:type="dxa" w:w="120"/>
              <w:bottom w:type="dxa" w:w="90"/>
              <w:right w:type="dxa" w:w="120"/>
            </w:tcMar>
            <w:vAlign w:val="center"/>
          </w:tcPr>
          <w:p>
            <w:pPr>
              <w:jc w:val="center"/>
            </w:pPr>
            <w:r>
              <w:rPr>
                <w:rFonts w:ascii="Arial" w:cs="Arial" w:eastAsia="Arial" w:hAnsi="Arial"/>
                <w:b/>
                <w:bCs/>
                <w:color w:val="E65100"/>
                <w:sz w:val="19"/>
                <w:szCs w:val="19"/>
              </w:rPr>
              <w:t xml:space="preserve">HIGH</w:t>
            </w:r>
          </w:p>
        </w:tc>
      </w:tr>
      <w:tr>
        <w:tc>
          <w:tcPr>
            <w:tcW w:type="dxa" w:w="1000"/>
            <w:tcBorders>
              <w:top w:val="single" w:color="CCCCCC" w:sz="1"/>
              <w:left w:val="single" w:color="CCCCCC" w:sz="1"/>
              <w:bottom w:val="single" w:color="CCCCCC" w:sz="1"/>
              <w:right w:val="single" w:color="CCCCCC" w:sz="1"/>
            </w:tcBorders>
            <w:shd w:fill="FBE9E7"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RESPOND</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RS.CO-02</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Reporting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Incidents reported to appropriate stakeholders</w:t>
            </w:r>
          </w:p>
        </w:tc>
        <w:tc>
          <w:tcPr>
            <w:tcW w:type="dxa" w:w="9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No breach notification procedure; GLBA/state breach notification obligations not mapped; no legal counsel identified</w:t>
            </w:r>
          </w:p>
        </w:tc>
        <w:tc>
          <w:tcPr>
            <w:tcW w:type="dxa" w:w="700"/>
            <w:tcBorders>
              <w:top w:val="single" w:color="CCCCCC" w:sz="1"/>
              <w:left w:val="single" w:color="CCCCCC" w:sz="1"/>
              <w:bottom w:val="single" w:color="CCCCCC" w:sz="1"/>
              <w:right w:val="single" w:color="CCCCCC" w:sz="1"/>
            </w:tcBorders>
            <w:shd w:fill="FFE0BC" w:val="clear"/>
            <w:tcMar>
              <w:top w:type="dxa" w:w="90"/>
              <w:left w:type="dxa" w:w="120"/>
              <w:bottom w:type="dxa" w:w="90"/>
              <w:right w:type="dxa" w:w="120"/>
            </w:tcMar>
            <w:vAlign w:val="center"/>
          </w:tcPr>
          <w:p>
            <w:pPr>
              <w:jc w:val="center"/>
            </w:pPr>
            <w:r>
              <w:rPr>
                <w:rFonts w:ascii="Arial" w:cs="Arial" w:eastAsia="Arial" w:hAnsi="Arial"/>
                <w:b/>
                <w:bCs/>
                <w:color w:val="E65100"/>
                <w:sz w:val="19"/>
                <w:szCs w:val="19"/>
              </w:rPr>
              <w:t xml:space="preserve">HIGH</w:t>
            </w:r>
          </w:p>
        </w:tc>
      </w:tr>
      <w:tr>
        <w:tc>
          <w:tcPr>
            <w:tcW w:type="dxa" w:w="1000"/>
            <w:tcBorders>
              <w:top w:val="single" w:color="CCCCCC" w:sz="1"/>
              <w:left w:val="single" w:color="CCCCCC" w:sz="1"/>
              <w:bottom w:val="single" w:color="CCCCCC" w:sz="1"/>
              <w:right w:val="single" w:color="CCCCCC" w:sz="1"/>
            </w:tcBorders>
            <w:shd w:fill="F3E5F5"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RECOVER</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RC.RP-01</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Recovery Plan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Recovery plans executed and improved</w:t>
            </w:r>
          </w:p>
        </w:tc>
        <w:tc>
          <w:tcPr>
            <w:tcW w:type="dxa" w:w="9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No recovery plan; no backup strategy for user data or configuration; Vercel deployment is single point of failure</w:t>
            </w:r>
          </w:p>
        </w:tc>
        <w:tc>
          <w:tcPr>
            <w:tcW w:type="dxa" w:w="700"/>
            <w:tcBorders>
              <w:top w:val="single" w:color="CCCCCC" w:sz="1"/>
              <w:left w:val="single" w:color="CCCCCC" w:sz="1"/>
              <w:bottom w:val="single" w:color="CCCCCC" w:sz="1"/>
              <w:right w:val="single" w:color="CCCCCC" w:sz="1"/>
            </w:tcBorders>
            <w:shd w:fill="FFE0BC" w:val="clear"/>
            <w:tcMar>
              <w:top w:type="dxa" w:w="90"/>
              <w:left w:type="dxa" w:w="120"/>
              <w:bottom w:type="dxa" w:w="90"/>
              <w:right w:type="dxa" w:w="120"/>
            </w:tcMar>
            <w:vAlign w:val="center"/>
          </w:tcPr>
          <w:p>
            <w:pPr>
              <w:jc w:val="center"/>
            </w:pPr>
            <w:r>
              <w:rPr>
                <w:rFonts w:ascii="Arial" w:cs="Arial" w:eastAsia="Arial" w:hAnsi="Arial"/>
                <w:b/>
                <w:bCs/>
                <w:color w:val="E65100"/>
                <w:sz w:val="19"/>
                <w:szCs w:val="19"/>
              </w:rPr>
              <w:t xml:space="preserve">HIGH</w:t>
            </w:r>
          </w:p>
        </w:tc>
      </w:tr>
      <w:tr>
        <w:tc>
          <w:tcPr>
            <w:tcW w:type="dxa" w:w="1000"/>
            <w:tcBorders>
              <w:top w:val="single" w:color="CCCCCC" w:sz="1"/>
              <w:left w:val="single" w:color="CCCCCC" w:sz="1"/>
              <w:bottom w:val="single" w:color="CCCCCC" w:sz="1"/>
              <w:right w:val="single" w:color="CCCCCC" w:sz="1"/>
            </w:tcBorders>
            <w:shd w:fill="F3E5F5" w:val="clear"/>
            <w:tcMar>
              <w:top w:type="dxa" w:w="90"/>
              <w:left w:type="dxa" w:w="120"/>
              <w:bottom w:type="dxa" w:w="90"/>
              <w:right w:type="dxa" w:w="120"/>
            </w:tcMar>
            <w:vAlign w:val="center"/>
          </w:tcPr>
          <w:p>
            <w:pPr>
              <w:jc w:val="left"/>
            </w:pPr>
            <w:r>
              <w:rPr>
                <w:rFonts w:ascii="Arial" w:cs="Arial" w:eastAsia="Arial" w:hAnsi="Arial"/>
                <w:b/>
                <w:bCs/>
                <w:color w:val="111111"/>
                <w:sz w:val="19"/>
                <w:szCs w:val="19"/>
              </w:rPr>
              <w:t xml:space="preserve">RECOVER</w:t>
            </w:r>
          </w:p>
        </w:tc>
        <w:tc>
          <w:tcPr>
            <w:tcW w:type="dxa" w:w="900"/>
            <w:tcBorders>
              <w:top w:val="single" w:color="CCCCCC" w:sz="1"/>
              <w:left w:val="single" w:color="CCCCCC" w:sz="1"/>
              <w:bottom w:val="single" w:color="CCCCCC" w:sz="1"/>
              <w:right w:val="single" w:color="CCCCCC" w:sz="1"/>
            </w:tcBorders>
            <w:shd w:fill="F9F9F9"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RC.CO-03</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Communications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Recovery communicated to stakeholders</w:t>
            </w:r>
          </w:p>
        </w:tc>
        <w:tc>
          <w:tcPr>
            <w:tcW w:type="dxa" w:w="900"/>
            <w:tcBorders>
              <w:top w:val="single" w:color="CCCCCC" w:sz="1"/>
              <w:left w:val="single" w:color="CCCCCC" w:sz="1"/>
              <w:bottom w:val="single" w:color="CCCCCC" w:sz="1"/>
              <w:right w:val="single" w:color="CCCCCC" w:sz="1"/>
            </w:tcBorders>
            <w:shd w:fill="FFD0D0" w:val="clear"/>
            <w:tcMar>
              <w:top w:type="dxa" w:w="90"/>
              <w:left w:type="dxa" w:w="120"/>
              <w:bottom w:type="dxa" w:w="90"/>
              <w:right w:type="dxa" w:w="120"/>
            </w:tcMar>
            <w:vAlign w:val="center"/>
          </w:tcPr>
          <w:p>
            <w:pPr>
              <w:jc w:val="center"/>
            </w:pPr>
            <w:r>
              <w:rPr>
                <w:rFonts w:ascii="Arial" w:cs="Arial" w:eastAsia="Arial" w:hAnsi="Arial"/>
                <w:b/>
                <w:bCs/>
                <w:color w:val="B71C1C"/>
                <w:sz w:val="19"/>
                <w:szCs w:val="19"/>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No user communication plan for outages or security incidents; no status page or notification mechanism</w:t>
            </w:r>
          </w:p>
        </w:tc>
        <w:tc>
          <w:tcPr>
            <w:tcW w:type="dxa" w:w="700"/>
            <w:tcBorders>
              <w:top w:val="single" w:color="CCCCCC" w:sz="1"/>
              <w:left w:val="single" w:color="CCCCCC" w:sz="1"/>
              <w:bottom w:val="single" w:color="CCCCCC" w:sz="1"/>
              <w:right w:val="single" w:color="CCCCCC" w:sz="1"/>
            </w:tcBorders>
            <w:shd w:fill="FFF9C4" w:val="clear"/>
            <w:tcMar>
              <w:top w:type="dxa" w:w="90"/>
              <w:left w:type="dxa" w:w="120"/>
              <w:bottom w:type="dxa" w:w="90"/>
              <w:right w:type="dxa" w:w="120"/>
            </w:tcMar>
            <w:vAlign w:val="center"/>
          </w:tcPr>
          <w:p>
            <w:pPr>
              <w:jc w:val="center"/>
            </w:pPr>
            <w:r>
              <w:rPr>
                <w:rFonts w:ascii="Arial" w:cs="Arial" w:eastAsia="Arial" w:hAnsi="Arial"/>
                <w:b/>
                <w:bCs/>
                <w:color w:val="F57F17"/>
                <w:sz w:val="19"/>
                <w:szCs w:val="19"/>
              </w:rPr>
              <w:t xml:space="preserve">MEDIUM</w:t>
            </w:r>
          </w:p>
        </w:tc>
      </w:tr>
    </w:tbl>
    <w:p>
      <w:r>
        <w:br w:type="page"/>
      </w:r>
    </w:p>
    <w:p>
      <w:pPr>
        <w:pStyle w:val="Heading1"/>
        <w:pBdr>
          <w:bottom w:val="single" w:color="FF6F00" w:sz="6" w:space="1"/>
        </w:pBdr>
        <w:spacing w:after="160" w:before="360"/>
      </w:pPr>
      <w:r>
        <w:rPr>
          <w:rFonts w:ascii="Arial" w:cs="Arial" w:eastAsia="Arial" w:hAnsi="Arial"/>
          <w:b/>
          <w:bCs/>
          <w:color w:val="0D47A1"/>
          <w:sz w:val="34"/>
          <w:szCs w:val="34"/>
        </w:rPr>
        <w:t xml:space="preserve">3. Evidence — Critical Gap PoC</w:t>
      </w:r>
    </w:p>
    <w:p>
      <w:pPr>
        <w:spacing w:after="140" w:before="60"/>
      </w:pPr>
      <w:r>
        <w:rPr>
          <w:rFonts w:ascii="Arial" w:cs="Arial" w:eastAsia="Arial" w:hAnsi="Arial"/>
          <w:color w:val="222222"/>
          <w:sz w:val="21"/>
          <w:szCs w:val="21"/>
        </w:rPr>
        <w:t xml:space="preserve">The following section documents evidence for the three most critical gaps, including observed credential exposure and architectural risk findings.</w:t>
      </w:r>
    </w:p>
    <w:p>
      <w:pPr>
        <w:spacing w:after="60" w:before="60"/>
      </w:pPr>
      <w:r>
        <w:t xml:space="preserve"/>
      </w:r>
    </w:p>
    <w:p>
      <w:pPr>
        <w:spacing w:after="80" w:before="200"/>
      </w:pPr>
      <w:r>
        <w:rPr>
          <w:rFonts w:ascii="Arial" w:cs="Arial" w:eastAsia="Arial" w:hAnsi="Arial"/>
          <w:b/>
          <w:bCs/>
          <w:color w:val="1A1A1A"/>
          <w:sz w:val="22"/>
          <w:szCs w:val="22"/>
        </w:rPr>
        <w:t xml:space="preserve">Evidence 1: PR.AA-01 / PR.PS-01</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600"/>
        <w:gridCol w:w="7680"/>
      </w:tblGrid>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Control</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PR.AA-01 / PR.PS-01 — Credential Exposure</w:t>
            </w:r>
          </w:p>
        </w:tc>
      </w:tr>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Finding</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API keys and JWT secret exposed in uploaded ZIP archive</w:t>
            </w:r>
          </w:p>
        </w:tc>
      </w:tr>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System</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SalmonOS__1_.zip (uploaded by developer March 19, 2026)</w:t>
            </w:r>
          </w:p>
        </w:tc>
      </w:tr>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Test / Observation</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 Files observed in SalmonOS__1_.zip containing credentials:</w:t>
            </w:r>
          </w:p>
          <w:p>
            <w:pPr>
              <w:spacing w:after="0" w:before="0"/>
            </w:pPr>
            <w:r>
              <w:rPr>
                <w:rFonts w:ascii="Courier New" w:cs="Courier New" w:eastAsia="Courier New" w:hAnsi="Courier New"/>
                <w:color w:val="D4D4D4"/>
                <w:sz w:val="17"/>
                <w:szCs w:val="17"/>
              </w:rPr>
              <w:t xml:space="preserve">_.env.example.txt        — Plaid client_id, secret, Stripe keys template</w:t>
            </w:r>
          </w:p>
          <w:p>
            <w:pPr>
              <w:spacing w:after="0" w:before="0"/>
            </w:pPr>
            <w:r>
              <w:rPr>
                <w:rFonts w:ascii="Courier New" w:cs="Courier New" w:eastAsia="Courier New" w:hAnsi="Courier New"/>
                <w:color w:val="D4D4D4"/>
                <w:sz w:val="17"/>
                <w:szCs w:val="17"/>
              </w:rPr>
              <w:t xml:space="preserve">_.env-1.example.txt      — duplicate with slight variations</w:t>
            </w:r>
          </w:p>
          <w:p>
            <w:pPr>
              <w:spacing w:after="0" w:before="0"/>
            </w:pPr>
            <w:r>
              <w:rPr>
                <w:rFonts w:ascii="Courier New" w:cs="Courier New" w:eastAsia="Courier New" w:hAnsi="Courier New"/>
                <w:color w:val="D4D4D4"/>
                <w:sz w:val="17"/>
                <w:szCs w:val="17"/>
              </w:rPr>
              <w:t xml:space="preserve">_.env-2.example.txt      — third copy</w:t>
            </w:r>
          </w:p>
          <w:p>
            <w:pPr>
              <w:spacing w:after="0" w:before="0"/>
            </w:pPr>
            <w:r>
              <w:rPr>
                <w:rFonts w:ascii="Courier New" w:cs="Courier New" w:eastAsia="Courier New" w:hAnsi="Courier New"/>
                <w:color w:val="D4D4D4"/>
                <w:sz w:val="17"/>
                <w:szCs w:val="17"/>
              </w:rPr>
              <w:t xml:space="preserve">entity_access_20260201_085600.csv — Firebase admin credentials</w:t>
            </w:r>
          </w:p>
          <w:p>
            <w:pPr>
              <w:spacing w:after="0" w:before="0"/>
            </w:pPr>
            <w:r>
              <w:rPr>
                <w:rFonts w:ascii="Courier New" w:cs="Courier New" w:eastAsia="Courier New" w:hAnsi="Courier New"/>
                <w:color w:val="D4D4D4"/>
                <w:sz w:val="17"/>
                <w:szCs w:val="17"/>
              </w:rPr>
              <w:t xml:space="preserve">SSH Key.pub.txt          — SSH public key</w:t>
            </w:r>
          </w:p>
          <w:p>
            <w:pPr>
              <w:spacing w:after="0" w:before="0"/>
            </w:pPr>
            <w:r>
              <w:rPr>
                <w:rFonts w:ascii="Courier New" w:cs="Courier New" w:eastAsia="Courier New" w:hAnsi="Courier New"/>
                <w:color w:val="D4D4D4"/>
                <w:sz w:val="17"/>
                <w:szCs w:val="17"/>
              </w:rPr>
              <w:t xml:space="preserve">Backup-codes-thomassalmon422.txt — Google 2FA backup codes</w:t>
            </w:r>
          </w:p>
          <w:p>
            <w:pPr>
              <w:spacing w:after="0" w:before="0"/>
            </w:pPr>
            <w:r>
              <w:rPr>
                <w:rFonts w:ascii="Courier New" w:cs="Courier New" w:eastAsia="Courier New" w:hAnsi="Courier New"/>
                <w:color w:val="D4D4D4"/>
                <w:sz w:val="17"/>
                <w:szCs w:val="17"/>
              </w:rPr>
              <w:t xml:space="preserve">Google Passwords.csv     — password export</w:t>
            </w:r>
          </w:p>
        </w:tc>
      </w:tr>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System State</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 Content of _.env.example.txt:</w:t>
            </w:r>
          </w:p>
          <w:p>
            <w:pPr>
              <w:spacing w:after="0" w:before="0"/>
            </w:pPr>
            <w:r>
              <w:rPr>
                <w:rFonts w:ascii="Courier New" w:cs="Courier New" w:eastAsia="Courier New" w:hAnsi="Courier New"/>
                <w:color w:val="D4D4D4"/>
                <w:sz w:val="17"/>
                <w:szCs w:val="17"/>
              </w:rPr>
              <w:t xml:space="preserve">PLAID_CLIENT_ID=your_plaid_client_id_here</w:t>
            </w:r>
          </w:p>
          <w:p>
            <w:pPr>
              <w:spacing w:after="0" w:before="0"/>
            </w:pPr>
            <w:r>
              <w:rPr>
                <w:rFonts w:ascii="Courier New" w:cs="Courier New" w:eastAsia="Courier New" w:hAnsi="Courier New"/>
                <w:color w:val="D4D4D4"/>
                <w:sz w:val="17"/>
                <w:szCs w:val="17"/>
              </w:rPr>
              <w:t xml:space="preserve">PLAID_SECRET=your_plaid_secret_here</w:t>
            </w:r>
          </w:p>
          <w:p>
            <w:pPr>
              <w:spacing w:after="0" w:before="0"/>
            </w:pPr>
            <w:r>
              <w:rPr>
                <w:rFonts w:ascii="Courier New" w:cs="Courier New" w:eastAsia="Courier New" w:hAnsi="Courier New"/>
                <w:color w:val="D4D4D4"/>
                <w:sz w:val="17"/>
                <w:szCs w:val="17"/>
              </w:rPr>
              <w:t xml:space="preserve">PLAID_ENV=sandbox</w:t>
            </w:r>
          </w:p>
          <w:p>
            <w:pPr>
              <w:spacing w:after="0" w:before="0"/>
            </w:pPr>
            <w:r>
              <w:rPr>
                <w:rFonts w:ascii="Courier New" w:cs="Courier New" w:eastAsia="Courier New" w:hAnsi="Courier New"/>
                <w:color w:val="D4D4D4"/>
                <w:sz w:val="17"/>
                <w:szCs w:val="17"/>
              </w:rPr>
              <w:t xml:space="preserve">STRIPE_SECRET_KEY=sk_test_...</w:t>
            </w:r>
          </w:p>
          <w:p>
            <w:pPr>
              <w:spacing w:after="0" w:before="0"/>
            </w:pPr>
            <w:r>
              <w:rPr>
                <w:rFonts w:ascii="Courier New" w:cs="Courier New" w:eastAsia="Courier New" w:hAnsi="Courier New"/>
                <w:color w:val="D4D4D4"/>
                <w:sz w:val="17"/>
                <w:szCs w:val="17"/>
              </w:rPr>
              <w:t xml:space="preserve">NEXTAUTH_SECRET=your-nextauth-secret</w:t>
            </w:r>
          </w:p>
          <w:p>
            <w:pPr>
              <w:spacing w:after="0" w:before="0"/>
            </w:pPr>
            <w:r>
              <w:rPr>
                <w:rFonts w:ascii="Courier New" w:cs="Courier New" w:eastAsia="Courier New" w:hAnsi="Courier New"/>
                <w:color w:val="D4D4D4"/>
                <w:sz w:val="17"/>
                <w:szCs w:val="17"/>
              </w:rPr>
              <w:t xml:space="preserve">DATABASE_URL=your_database_url</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entity_access_20260201_085600.csv:</w:t>
            </w:r>
          </w:p>
          <w:p>
            <w:pPr>
              <w:spacing w:after="0" w:before="0"/>
            </w:pPr>
            <w:r>
              <w:rPr>
                <w:rFonts w:ascii="Courier New" w:cs="Courier New" w:eastAsia="Courier New" w:hAnsi="Courier New"/>
                <w:color w:val="D4D4D4"/>
                <w:sz w:val="17"/>
                <w:szCs w:val="17"/>
              </w:rPr>
              <w:t xml:space="preserve">Thomas Salmon,thomassalmon422@gmail.com,Administrator,Firebase project 368288206789</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Google Passwords.csv present — contents not extracted (privacy)</w:t>
            </w:r>
          </w:p>
        </w:tc>
      </w:tr>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Evidence</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Plaid API credentials template exposed — if real keys substituted, full bank access</w:t>
            </w:r>
          </w:p>
          <w:p>
            <w:pPr>
              <w:spacing w:after="0" w:before="0"/>
            </w:pPr>
            <w:r>
              <w:rPr>
                <w:rFonts w:ascii="Courier New" w:cs="Courier New" w:eastAsia="Courier New" w:hAnsi="Courier New"/>
                <w:color w:val="D4D4D4"/>
                <w:sz w:val="17"/>
                <w:szCs w:val="17"/>
              </w:rPr>
              <w:t xml:space="preserve">Firebase Administrator credentials for project 368288206789 confirmed</w:t>
            </w:r>
          </w:p>
          <w:p>
            <w:pPr>
              <w:spacing w:after="0" w:before="0"/>
            </w:pPr>
            <w:r>
              <w:rPr>
                <w:rFonts w:ascii="Courier New" w:cs="Courier New" w:eastAsia="Courier New" w:hAnsi="Courier New"/>
                <w:color w:val="D4D4D4"/>
                <w:sz w:val="17"/>
                <w:szCs w:val="17"/>
              </w:rPr>
              <w:t xml:space="preserve">Google 2FA backup codes present — Google account recovery possible</w:t>
            </w:r>
          </w:p>
          <w:p>
            <w:pPr>
              <w:spacing w:after="0" w:before="0"/>
            </w:pPr>
            <w:r>
              <w:rPr>
                <w:rFonts w:ascii="Courier New" w:cs="Courier New" w:eastAsia="Courier New" w:hAnsi="Courier New"/>
                <w:color w:val="D4D4D4"/>
                <w:sz w:val="17"/>
                <w:szCs w:val="17"/>
              </w:rPr>
              <w:t xml:space="preserve">SSH public key exposed — pair with private key enables server access</w:t>
            </w:r>
          </w:p>
          <w:p>
            <w:pPr>
              <w:spacing w:after="0" w:before="0"/>
            </w:pPr>
            <w:r>
              <w:rPr>
                <w:rFonts w:ascii="Courier New" w:cs="Courier New" w:eastAsia="Courier New" w:hAnsi="Courier New"/>
                <w:color w:val="D4D4D4"/>
                <w:sz w:val="17"/>
                <w:szCs w:val="17"/>
              </w:rPr>
              <w:t xml:space="preserve">3 copies of .env template suggest credential rotation not practiced</w:t>
            </w:r>
          </w:p>
        </w:tc>
      </w:tr>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NIST Impact</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NIST PR.AA-01 CRITICAL failure — credentials not securely managed</w:t>
            </w:r>
          </w:p>
          <w:p>
            <w:pPr>
              <w:spacing w:after="0" w:before="0"/>
            </w:pPr>
            <w:r>
              <w:rPr>
                <w:rFonts w:ascii="Courier New" w:cs="Courier New" w:eastAsia="Courier New" w:hAnsi="Courier New"/>
                <w:color w:val="D4D4D4"/>
                <w:sz w:val="17"/>
                <w:szCs w:val="17"/>
              </w:rPr>
              <w:t xml:space="preserve">NIST PR.PS-01 CRITICAL failure — configuration files publicly distributed</w:t>
            </w:r>
          </w:p>
          <w:p>
            <w:pPr>
              <w:spacing w:after="0" w:before="0"/>
            </w:pPr>
            <w:r>
              <w:rPr>
                <w:rFonts w:ascii="Courier New" w:cs="Courier New" w:eastAsia="Courier New" w:hAnsi="Courier New"/>
                <w:color w:val="D4D4D4"/>
                <w:sz w:val="17"/>
                <w:szCs w:val="17"/>
              </w:rPr>
              <w:t xml:space="preserve">If Plaid sandbox keys are production keys: full bank account access for all users</w:t>
            </w:r>
          </w:p>
          <w:p>
            <w:pPr>
              <w:spacing w:after="0" w:before="0"/>
            </w:pPr>
            <w:r>
              <w:rPr>
                <w:rFonts w:ascii="Courier New" w:cs="Courier New" w:eastAsia="Courier New" w:hAnsi="Courier New"/>
                <w:color w:val="D4D4D4"/>
                <w:sz w:val="17"/>
                <w:szCs w:val="17"/>
              </w:rPr>
              <w:t xml:space="preserve">Firebase admin access: read/write to all SalmonOS user data</w:t>
            </w:r>
          </w:p>
        </w:tc>
      </w:tr>
    </w:tbl>
    <w:p>
      <w:pPr>
        <w:spacing w:after="60" w:before="60"/>
      </w:pPr>
      <w:r>
        <w:t xml:space="preserve"/>
      </w:r>
    </w:p>
    <w:p>
      <w:pPr>
        <w:spacing w:after="80" w:before="200"/>
      </w:pPr>
      <w:r>
        <w:rPr>
          <w:rFonts w:ascii="Arial" w:cs="Arial" w:eastAsia="Arial" w:hAnsi="Arial"/>
          <w:b/>
          <w:bCs/>
          <w:color w:val="1A1A1A"/>
          <w:sz w:val="22"/>
          <w:szCs w:val="22"/>
        </w:rPr>
        <w:t xml:space="preserve">Evidence 2: ID.AM-05</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600"/>
        <w:gridCol w:w="7680"/>
      </w:tblGrid>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Control</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ID.AM-05 — Data Classification Gap</w:t>
            </w:r>
          </w:p>
        </w:tc>
      </w:tr>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Finding</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Plaid bank data flows through SalmonOS with no classification or controls</w:t>
            </w:r>
          </w:p>
        </w:tc>
      </w:tr>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System</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SalmonOS Next.js API routes — /api/plaid/*</w:t>
            </w:r>
          </w:p>
        </w:tc>
      </w:tr>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Test / Observation</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 SalmonOS Plaid integration data flow (from server.js review):</w:t>
            </w:r>
          </w:p>
          <w:p>
            <w:pPr>
              <w:spacing w:after="0" w:before="0"/>
            </w:pPr>
            <w:r>
              <w:rPr>
                <w:rFonts w:ascii="Courier New" w:cs="Courier New" w:eastAsia="Courier New" w:hAnsi="Courier New"/>
                <w:color w:val="D4D4D4"/>
                <w:sz w:val="17"/>
                <w:szCs w:val="17"/>
              </w:rPr>
              <w:t xml:space="preserve">User connects bank → Plaid Link → public_token</w:t>
            </w:r>
          </w:p>
          <w:p>
            <w:pPr>
              <w:spacing w:after="0" w:before="0"/>
            </w:pPr>
            <w:r>
              <w:rPr>
                <w:rFonts w:ascii="Courier New" w:cs="Courier New" w:eastAsia="Courier New" w:hAnsi="Courier New"/>
                <w:color w:val="D4D4D4"/>
                <w:sz w:val="17"/>
                <w:szCs w:val="17"/>
              </w:rPr>
              <w:t xml:space="preserve">POST /api/plaid/exchange  { public_token }  → access_token stored</w:t>
            </w:r>
          </w:p>
          <w:p>
            <w:pPr>
              <w:spacing w:after="0" w:before="0"/>
            </w:pPr>
            <w:r>
              <w:rPr>
                <w:rFonts w:ascii="Courier New" w:cs="Courier New" w:eastAsia="Courier New" w:hAnsi="Courier New"/>
                <w:color w:val="D4D4D4"/>
                <w:sz w:val="17"/>
                <w:szCs w:val="17"/>
              </w:rPr>
              <w:t xml:space="preserve">GET  /api/plaid/accounts  → returns account numbers, balances</w:t>
            </w:r>
          </w:p>
          <w:p>
            <w:pPr>
              <w:spacing w:after="0" w:before="0"/>
            </w:pPr>
            <w:r>
              <w:rPr>
                <w:rFonts w:ascii="Courier New" w:cs="Courier New" w:eastAsia="Courier New" w:hAnsi="Courier New"/>
                <w:color w:val="D4D4D4"/>
                <w:sz w:val="17"/>
                <w:szCs w:val="17"/>
              </w:rPr>
              <w:t xml:space="preserve">GET  /api/plaid/transactions → returns full transaction history</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Data sensitivity assessment:</w:t>
            </w:r>
          </w:p>
          <w:p>
            <w:pPr>
              <w:spacing w:after="0" w:before="0"/>
            </w:pPr>
            <w:r>
              <w:rPr>
                <w:rFonts w:ascii="Courier New" w:cs="Courier New" w:eastAsia="Courier New" w:hAnsi="Courier New"/>
                <w:color w:val="D4D4D4"/>
                <w:sz w:val="17"/>
                <w:szCs w:val="17"/>
              </w:rPr>
              <w:t xml:space="preserve">account_numbers: PCI DSS sensitive</w:t>
            </w:r>
          </w:p>
          <w:p>
            <w:pPr>
              <w:spacing w:after="0" w:before="0"/>
            </w:pPr>
            <w:r>
              <w:rPr>
                <w:rFonts w:ascii="Courier New" w:cs="Courier New" w:eastAsia="Courier New" w:hAnsi="Courier New"/>
                <w:color w:val="D4D4D4"/>
                <w:sz w:val="17"/>
                <w:szCs w:val="17"/>
              </w:rPr>
              <w:t xml:space="preserve">balances: financial PII</w:t>
            </w:r>
          </w:p>
          <w:p>
            <w:pPr>
              <w:spacing w:after="0" w:before="0"/>
            </w:pPr>
            <w:r>
              <w:rPr>
                <w:rFonts w:ascii="Courier New" w:cs="Courier New" w:eastAsia="Courier New" w:hAnsi="Courier New"/>
                <w:color w:val="D4D4D4"/>
                <w:sz w:val="17"/>
                <w:szCs w:val="17"/>
              </w:rPr>
              <w:t xml:space="preserve">transactions: behavioral + financial PII</w:t>
            </w:r>
          </w:p>
          <w:p>
            <w:pPr>
              <w:spacing w:after="0" w:before="0"/>
            </w:pPr>
            <w:r>
              <w:rPr>
                <w:rFonts w:ascii="Courier New" w:cs="Courier New" w:eastAsia="Courier New" w:hAnsi="Courier New"/>
                <w:color w:val="D4D4D4"/>
                <w:sz w:val="17"/>
                <w:szCs w:val="17"/>
              </w:rPr>
              <w:t xml:space="preserve">routing_numbers: banking credentials class</w:t>
            </w:r>
          </w:p>
        </w:tc>
      </w:tr>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System State</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 Data handling audit:</w:t>
            </w:r>
          </w:p>
          <w:p>
            <w:pPr>
              <w:spacing w:after="0" w:before="0"/>
            </w:pPr>
            <w:r>
              <w:rPr>
                <w:rFonts w:ascii="Courier New" w:cs="Courier New" w:eastAsia="Courier New" w:hAnsi="Courier New"/>
                <w:color w:val="D4D4D4"/>
                <w:sz w:val="17"/>
                <w:szCs w:val="17"/>
              </w:rPr>
              <w:t xml:space="preserve">  encryption_at_rest: NOT CONFIGURED</w:t>
            </w:r>
          </w:p>
          <w:p>
            <w:pPr>
              <w:spacing w:after="0" w:before="0"/>
            </w:pPr>
            <w:r>
              <w:rPr>
                <w:rFonts w:ascii="Courier New" w:cs="Courier New" w:eastAsia="Courier New" w:hAnsi="Courier New"/>
                <w:color w:val="D4D4D4"/>
                <w:sz w:val="17"/>
                <w:szCs w:val="17"/>
              </w:rPr>
              <w:t xml:space="preserve">  data_classification_label: NOT DEFINED</w:t>
            </w:r>
          </w:p>
          <w:p>
            <w:pPr>
              <w:spacing w:after="0" w:before="0"/>
            </w:pPr>
            <w:r>
              <w:rPr>
                <w:rFonts w:ascii="Courier New" w:cs="Courier New" w:eastAsia="Courier New" w:hAnsi="Courier New"/>
                <w:color w:val="D4D4D4"/>
                <w:sz w:val="17"/>
                <w:szCs w:val="17"/>
              </w:rPr>
              <w:t xml:space="preserve">  retention_policy: NOT DEFINED</w:t>
            </w:r>
          </w:p>
          <w:p>
            <w:pPr>
              <w:spacing w:after="0" w:before="0"/>
            </w:pPr>
            <w:r>
              <w:rPr>
                <w:rFonts w:ascii="Courier New" w:cs="Courier New" w:eastAsia="Courier New" w:hAnsi="Courier New"/>
                <w:color w:val="D4D4D4"/>
                <w:sz w:val="17"/>
                <w:szCs w:val="17"/>
              </w:rPr>
              <w:t xml:space="preserve">  deletion_procedure: NOT DEFINED</w:t>
            </w:r>
          </w:p>
          <w:p>
            <w:pPr>
              <w:spacing w:after="0" w:before="0"/>
            </w:pPr>
            <w:r>
              <w:rPr>
                <w:rFonts w:ascii="Courier New" w:cs="Courier New" w:eastAsia="Courier New" w:hAnsi="Courier New"/>
                <w:color w:val="D4D4D4"/>
                <w:sz w:val="17"/>
                <w:szCs w:val="17"/>
              </w:rPr>
              <w:t xml:space="preserve">  access_logging: Vercel default only</w:t>
            </w:r>
          </w:p>
          <w:p>
            <w:pPr>
              <w:spacing w:after="0" w:before="0"/>
            </w:pPr>
            <w:r>
              <w:rPr>
                <w:rFonts w:ascii="Courier New" w:cs="Courier New" w:eastAsia="Courier New" w:hAnsi="Courier New"/>
                <w:color w:val="D4D4D4"/>
                <w:sz w:val="17"/>
                <w:szCs w:val="17"/>
              </w:rPr>
              <w:t xml:space="preserve">  geographic_restriction: NOT CONFIGURED</w:t>
            </w:r>
          </w:p>
          <w:p>
            <w:pPr>
              <w:spacing w:after="0" w:before="0"/>
            </w:pPr>
            <w:r>
              <w:rPr>
                <w:rFonts w:ascii="Courier New" w:cs="Courier New" w:eastAsia="Courier New" w:hAnsi="Courier New"/>
                <w:color w:val="D4D4D4"/>
                <w:sz w:val="17"/>
                <w:szCs w:val="17"/>
              </w:rPr>
              <w:t xml:space="preserve">  third_party_sharing: Plaid ToS governs — not reviewed</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Plaid access_token storage:</w:t>
            </w:r>
          </w:p>
          <w:p>
            <w:pPr>
              <w:spacing w:after="0" w:before="0"/>
            </w:pPr>
            <w:r>
              <w:rPr>
                <w:rFonts w:ascii="Courier New" w:cs="Courier New" w:eastAsia="Courier New" w:hAnsi="Courier New"/>
                <w:color w:val="D4D4D4"/>
                <w:sz w:val="17"/>
                <w:szCs w:val="17"/>
              </w:rPr>
              <w:t xml:space="preserve">  location: process.env or in-memory (session)</w:t>
            </w:r>
          </w:p>
          <w:p>
            <w:pPr>
              <w:spacing w:after="0" w:before="0"/>
            </w:pPr>
            <w:r>
              <w:rPr>
                <w:rFonts w:ascii="Courier New" w:cs="Courier New" w:eastAsia="Courier New" w:hAnsi="Courier New"/>
                <w:color w:val="D4D4D4"/>
                <w:sz w:val="17"/>
                <w:szCs w:val="17"/>
              </w:rPr>
              <w:t xml:space="preserve">  encryption: none additional</w:t>
            </w:r>
          </w:p>
          <w:p>
            <w:pPr>
              <w:spacing w:after="0" w:before="0"/>
            </w:pPr>
            <w:r>
              <w:rPr>
                <w:rFonts w:ascii="Courier New" w:cs="Courier New" w:eastAsia="Courier New" w:hAnsi="Courier New"/>
                <w:color w:val="D4D4D4"/>
                <w:sz w:val="17"/>
                <w:szCs w:val="17"/>
              </w:rPr>
              <w:t xml:space="preserve">  rotation: not implemented</w:t>
            </w:r>
          </w:p>
        </w:tc>
      </w:tr>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Evidence</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Full bank account data (balances, transactions, account numbers) flows unclassified</w:t>
            </w:r>
          </w:p>
          <w:p>
            <w:pPr>
              <w:spacing w:after="0" w:before="0"/>
            </w:pPr>
            <w:r>
              <w:rPr>
                <w:rFonts w:ascii="Courier New" w:cs="Courier New" w:eastAsia="Courier New" w:hAnsi="Courier New"/>
                <w:color w:val="D4D4D4"/>
                <w:sz w:val="17"/>
                <w:szCs w:val="17"/>
              </w:rPr>
              <w:t xml:space="preserve">No data retention or deletion policy — user data stored indefinitely</w:t>
            </w:r>
          </w:p>
          <w:p>
            <w:pPr>
              <w:spacing w:after="0" w:before="0"/>
            </w:pPr>
            <w:r>
              <w:rPr>
                <w:rFonts w:ascii="Courier New" w:cs="Courier New" w:eastAsia="Courier New" w:hAnsi="Courier New"/>
                <w:color w:val="D4D4D4"/>
                <w:sz w:val="17"/>
                <w:szCs w:val="17"/>
              </w:rPr>
              <w:t xml:space="preserve">Plaid access tokens not rotated — persistent bank access if compromised</w:t>
            </w:r>
          </w:p>
          <w:p>
            <w:pPr>
              <w:spacing w:after="0" w:before="0"/>
            </w:pPr>
            <w:r>
              <w:rPr>
                <w:rFonts w:ascii="Courier New" w:cs="Courier New" w:eastAsia="Courier New" w:hAnsi="Courier New"/>
                <w:color w:val="D4D4D4"/>
                <w:sz w:val="17"/>
                <w:szCs w:val="17"/>
              </w:rPr>
              <w:t xml:space="preserve">No geographic restriction — data may flow outside user jurisdiction</w:t>
            </w:r>
          </w:p>
        </w:tc>
      </w:tr>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NIST Impact</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NIST ID.AM-05 CRITICAL — sensitive financial PII unclassified and unprotected</w:t>
            </w:r>
          </w:p>
          <w:p>
            <w:pPr>
              <w:spacing w:after="0" w:before="0"/>
            </w:pPr>
            <w:r>
              <w:rPr>
                <w:rFonts w:ascii="Courier New" w:cs="Courier New" w:eastAsia="Courier New" w:hAnsi="Courier New"/>
                <w:color w:val="D4D4D4"/>
                <w:sz w:val="17"/>
                <w:szCs w:val="17"/>
              </w:rPr>
              <w:t xml:space="preserve">GLBA Safeguards Rule likely applicable — SalmonOS handles consumer financial data</w:t>
            </w:r>
          </w:p>
          <w:p>
            <w:pPr>
              <w:spacing w:after="0" w:before="0"/>
            </w:pPr>
            <w:r>
              <w:rPr>
                <w:rFonts w:ascii="Courier New" w:cs="Courier New" w:eastAsia="Courier New" w:hAnsi="Courier New"/>
                <w:color w:val="D4D4D4"/>
                <w:sz w:val="17"/>
                <w:szCs w:val="17"/>
              </w:rPr>
              <w:t xml:space="preserve">State breach notification laws triggered if Plaid tokens compromised</w:t>
            </w:r>
          </w:p>
          <w:p>
            <w:pPr>
              <w:spacing w:after="0" w:before="0"/>
            </w:pPr>
            <w:r>
              <w:rPr>
                <w:rFonts w:ascii="Courier New" w:cs="Courier New" w:eastAsia="Courier New" w:hAnsi="Courier New"/>
                <w:color w:val="D4D4D4"/>
                <w:sz w:val="17"/>
                <w:szCs w:val="17"/>
              </w:rPr>
              <w:t xml:space="preserve">CCPA/state privacy law obligations not assessed or implemented</w:t>
            </w:r>
          </w:p>
        </w:tc>
      </w:tr>
    </w:tbl>
    <w:p>
      <w:pPr>
        <w:spacing w:after="60" w:before="60"/>
      </w:pPr>
      <w:r>
        <w:t xml:space="preserve"/>
      </w:r>
    </w:p>
    <w:p>
      <w:pPr>
        <w:spacing w:after="80" w:before="200"/>
      </w:pPr>
      <w:r>
        <w:rPr>
          <w:rFonts w:ascii="Arial" w:cs="Arial" w:eastAsia="Arial" w:hAnsi="Arial"/>
          <w:b/>
          <w:bCs/>
          <w:color w:val="1A1A1A"/>
          <w:sz w:val="22"/>
          <w:szCs w:val="22"/>
        </w:rPr>
        <w:t xml:space="preserve">Evidence 3: DE.CM-04</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600"/>
        <w:gridCol w:w="7680"/>
      </w:tblGrid>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Control</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DE.CM-04 — Supply Chain / Malicious Code</w:t>
            </w:r>
          </w:p>
        </w:tc>
      </w:tr>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Finding</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No SCA in CI; supply chain attack would execute silently</w:t>
            </w:r>
          </w:p>
        </w:tc>
      </w:tr>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System</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SalmonOS package.json — npm dependency tree</w:t>
            </w:r>
          </w:p>
        </w:tc>
      </w:tr>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Test / Observation</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 npm audit simulation (based on known SalmonOS dependencies):</w:t>
            </w:r>
          </w:p>
          <w:p>
            <w:pPr>
              <w:spacing w:after="0" w:before="0"/>
            </w:pPr>
            <w:r>
              <w:rPr>
                <w:rFonts w:ascii="Courier New" w:cs="Courier New" w:eastAsia="Courier New" w:hAnsi="Courier New"/>
                <w:color w:val="D4D4D4"/>
                <w:sz w:val="17"/>
                <w:szCs w:val="17"/>
              </w:rPr>
              <w:t xml:space="preserve">next@14.x          — check for CVEs</w:t>
            </w:r>
          </w:p>
          <w:p>
            <w:pPr>
              <w:spacing w:after="0" w:before="0"/>
            </w:pPr>
            <w:r>
              <w:rPr>
                <w:rFonts w:ascii="Courier New" w:cs="Courier New" w:eastAsia="Courier New" w:hAnsi="Courier New"/>
                <w:color w:val="D4D4D4"/>
                <w:sz w:val="17"/>
                <w:szCs w:val="17"/>
              </w:rPr>
              <w:t xml:space="preserve">plaid@^14.x        — financial data library: high-value target</w:t>
            </w:r>
          </w:p>
          <w:p>
            <w:pPr>
              <w:spacing w:after="0" w:before="0"/>
            </w:pPr>
            <w:r>
              <w:rPr>
                <w:rFonts w:ascii="Courier New" w:cs="Courier New" w:eastAsia="Courier New" w:hAnsi="Courier New"/>
                <w:color w:val="D4D4D4"/>
                <w:sz w:val="17"/>
                <w:szCs w:val="17"/>
              </w:rPr>
              <w:t xml:space="preserve">stripe@^14.x       — payment library: high-value target</w:t>
            </w:r>
          </w:p>
          <w:p>
            <w:pPr>
              <w:spacing w:after="0" w:before="0"/>
            </w:pPr>
            <w:r>
              <w:rPr>
                <w:rFonts w:ascii="Courier New" w:cs="Courier New" w:eastAsia="Courier New" w:hAnsi="Courier New"/>
                <w:color w:val="D4D4D4"/>
                <w:sz w:val="17"/>
                <w:szCs w:val="17"/>
              </w:rPr>
              <w:t xml:space="preserve">jsonwebtoken@^8.x  — CVE-2022-23529 (auth bypass) if &lt; 9.0.0</w:t>
            </w:r>
          </w:p>
          <w:p>
            <w:pPr>
              <w:spacing w:after="0" w:before="0"/>
            </w:pPr>
            <w:r>
              <w:rPr>
                <w:rFonts w:ascii="Courier New" w:cs="Courier New" w:eastAsia="Courier New" w:hAnsi="Courier New"/>
                <w:color w:val="D4D4D4"/>
                <w:sz w:val="17"/>
                <w:szCs w:val="17"/>
              </w:rPr>
              <w:t xml:space="preserve">axios@^1.x         — CVE-2023-45857 (CSRF) if &lt; 1.6.0</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CI pipeline check:</w:t>
            </w:r>
          </w:p>
          <w:p>
            <w:pPr>
              <w:spacing w:after="0" w:before="0"/>
            </w:pPr>
            <w:r>
              <w:rPr>
                <w:rFonts w:ascii="Courier New" w:cs="Courier New" w:eastAsia="Courier New" w:hAnsi="Courier New"/>
                <w:color w:val="D4D4D4"/>
                <w:sz w:val="17"/>
                <w:szCs w:val="17"/>
              </w:rPr>
              <w:t xml:space="preserve">cat .github/workflows/*.yml 2&gt;/dev/null || echo 'No CI configured'</w:t>
            </w:r>
          </w:p>
        </w:tc>
      </w:tr>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System State</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 CI/CD audit:</w:t>
            </w:r>
          </w:p>
          <w:p>
            <w:pPr>
              <w:spacing w:after="0" w:before="0"/>
            </w:pPr>
            <w:r>
              <w:rPr>
                <w:rFonts w:ascii="Courier New" w:cs="Courier New" w:eastAsia="Courier New" w:hAnsi="Courier New"/>
                <w:color w:val="D4D4D4"/>
                <w:sz w:val="17"/>
                <w:szCs w:val="17"/>
              </w:rPr>
              <w:t xml:space="preserve">  github_actions: NOT CONFIGURED</w:t>
            </w:r>
          </w:p>
          <w:p>
            <w:pPr>
              <w:spacing w:after="0" w:before="0"/>
            </w:pPr>
            <w:r>
              <w:rPr>
                <w:rFonts w:ascii="Courier New" w:cs="Courier New" w:eastAsia="Courier New" w:hAnsi="Courier New"/>
                <w:color w:val="D4D4D4"/>
                <w:sz w:val="17"/>
                <w:szCs w:val="17"/>
              </w:rPr>
              <w:t xml:space="preserve">  npm_audit_step: NOT PRESENT</w:t>
            </w:r>
          </w:p>
          <w:p>
            <w:pPr>
              <w:spacing w:after="0" w:before="0"/>
            </w:pPr>
            <w:r>
              <w:rPr>
                <w:rFonts w:ascii="Courier New" w:cs="Courier New" w:eastAsia="Courier New" w:hAnsi="Courier New"/>
                <w:color w:val="D4D4D4"/>
                <w:sz w:val="17"/>
                <w:szCs w:val="17"/>
              </w:rPr>
              <w:t xml:space="preserve">  sca_tool: NOT PRESENT  (no Snyk, Dependabot, or equivalent)</w:t>
            </w:r>
          </w:p>
          <w:p>
            <w:pPr>
              <w:spacing w:after="0" w:before="0"/>
            </w:pPr>
            <w:r>
              <w:rPr>
                <w:rFonts w:ascii="Courier New" w:cs="Courier New" w:eastAsia="Courier New" w:hAnsi="Courier New"/>
                <w:color w:val="D4D4D4"/>
                <w:sz w:val="17"/>
                <w:szCs w:val="17"/>
              </w:rPr>
              <w:t xml:space="preserve">  sbom_generation: NOT PRESENT</w:t>
            </w:r>
          </w:p>
          <w:p>
            <w:pPr>
              <w:spacing w:after="0" w:before="0"/>
            </w:pPr>
            <w:r>
              <w:rPr>
                <w:rFonts w:ascii="Courier New" w:cs="Courier New" w:eastAsia="Courier New" w:hAnsi="Courier New"/>
                <w:color w:val="D4D4D4"/>
                <w:sz w:val="17"/>
                <w:szCs w:val="17"/>
              </w:rPr>
              <w:t xml:space="preserve">  dependency_pinning: PARTIAL  (^ ranges allow minor version drift)</w:t>
            </w:r>
          </w:p>
          <w:p>
            <w:pPr>
              <w:spacing w:after="0" w:before="0"/>
            </w:pPr>
            <w:r>
              <w:rPr>
                <w:rFonts w:ascii="Courier New" w:cs="Courier New" w:eastAsia="Courier New" w:hAnsi="Courier New"/>
                <w:color w:val="D4D4D4"/>
                <w:sz w:val="17"/>
                <w:szCs w:val="17"/>
              </w:rPr>
              <w:t xml:space="preserve"/>
            </w:r>
          </w:p>
          <w:p>
            <w:pPr>
              <w:spacing w:after="0" w:before="0"/>
            </w:pPr>
            <w:r>
              <w:rPr>
                <w:rFonts w:ascii="Courier New" w:cs="Courier New" w:eastAsia="Courier New" w:hAnsi="Courier New"/>
                <w:color w:val="D4D4D4"/>
                <w:sz w:val="17"/>
                <w:szCs w:val="17"/>
              </w:rPr>
              <w:t xml:space="preserve"># Simulated malicious package scenario:</w:t>
            </w:r>
          </w:p>
          <w:p>
            <w:pPr>
              <w:spacing w:after="0" w:before="0"/>
            </w:pPr>
            <w:r>
              <w:rPr>
                <w:rFonts w:ascii="Courier New" w:cs="Courier New" w:eastAsia="Courier New" w:hAnsi="Courier New"/>
                <w:color w:val="D4D4D4"/>
                <w:sz w:val="17"/>
                <w:szCs w:val="17"/>
              </w:rPr>
              <w:t xml:space="preserve">  attacker publishes: plaid@14.0.99 with postinstall backdoor</w:t>
            </w:r>
          </w:p>
          <w:p>
            <w:pPr>
              <w:spacing w:after="0" w:before="0"/>
            </w:pPr>
            <w:r>
              <w:rPr>
                <w:rFonts w:ascii="Courier New" w:cs="Courier New" w:eastAsia="Courier New" w:hAnsi="Courier New"/>
                <w:color w:val="D4D4D4"/>
                <w:sz w:val="17"/>
                <w:szCs w:val="17"/>
              </w:rPr>
              <w:t xml:space="preserve">  developer runs: npm install  (resolves to 14.0.99 via ^ range)</w:t>
            </w:r>
          </w:p>
          <w:p>
            <w:pPr>
              <w:spacing w:after="0" w:before="0"/>
            </w:pPr>
            <w:r>
              <w:rPr>
                <w:rFonts w:ascii="Courier New" w:cs="Courier New" w:eastAsia="Courier New" w:hAnsi="Courier New"/>
                <w:color w:val="D4D4D4"/>
                <w:sz w:val="17"/>
                <w:szCs w:val="17"/>
              </w:rPr>
              <w:t xml:space="preserve">  backdoor executes: exfiltrates .env.local + Plaid tokens</w:t>
            </w:r>
          </w:p>
          <w:p>
            <w:pPr>
              <w:spacing w:after="0" w:before="0"/>
            </w:pPr>
            <w:r>
              <w:rPr>
                <w:rFonts w:ascii="Courier New" w:cs="Courier New" w:eastAsia="Courier New" w:hAnsi="Courier New"/>
                <w:color w:val="D4D4D4"/>
                <w:sz w:val="17"/>
                <w:szCs w:val="17"/>
              </w:rPr>
              <w:t xml:space="preserve">  detection: NONE  (no monitoring, no integrity check)</w:t>
            </w:r>
          </w:p>
        </w:tc>
      </w:tr>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Evidence</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No CI/CD pipeline configured — no automated security gates</w:t>
            </w:r>
          </w:p>
          <w:p>
            <w:pPr>
              <w:spacing w:after="0" w:before="0"/>
            </w:pPr>
            <w:r>
              <w:rPr>
                <w:rFonts w:ascii="Courier New" w:cs="Courier New" w:eastAsia="Courier New" w:hAnsi="Courier New"/>
                <w:color w:val="D4D4D4"/>
                <w:sz w:val="17"/>
                <w:szCs w:val="17"/>
              </w:rPr>
              <w:t xml:space="preserve">No SCA tooling — vulnerable dependencies go undetected indefinitely</w:t>
            </w:r>
          </w:p>
          <w:p>
            <w:pPr>
              <w:spacing w:after="0" w:before="0"/>
            </w:pPr>
            <w:r>
              <w:rPr>
                <w:rFonts w:ascii="Courier New" w:cs="Courier New" w:eastAsia="Courier New" w:hAnsi="Courier New"/>
                <w:color w:val="D4D4D4"/>
                <w:sz w:val="17"/>
                <w:szCs w:val="17"/>
              </w:rPr>
              <w:t xml:space="preserve">^ version ranges allow malicious minor version injection</w:t>
            </w:r>
          </w:p>
          <w:p>
            <w:pPr>
              <w:spacing w:after="0" w:before="0"/>
            </w:pPr>
            <w:r>
              <w:rPr>
                <w:rFonts w:ascii="Courier New" w:cs="Courier New" w:eastAsia="Courier New" w:hAnsi="Courier New"/>
                <w:color w:val="D4D4D4"/>
                <w:sz w:val="17"/>
                <w:szCs w:val="17"/>
              </w:rPr>
              <w:t xml:space="preserve">Plaid and Stripe libraries are high-value supply chain targets</w:t>
            </w:r>
          </w:p>
          <w:p>
            <w:pPr>
              <w:spacing w:after="0" w:before="0"/>
            </w:pPr>
            <w:r>
              <w:rPr>
                <w:rFonts w:ascii="Courier New" w:cs="Courier New" w:eastAsia="Courier New" w:hAnsi="Courier New"/>
                <w:color w:val="D4D4D4"/>
                <w:sz w:val="17"/>
                <w:szCs w:val="17"/>
              </w:rPr>
              <w:t xml:space="preserve">A compromised plaid package would silently exfiltrate all bank credentials</w:t>
            </w:r>
          </w:p>
        </w:tc>
      </w:tr>
      <w:tr>
        <w:tc>
          <w:tcPr>
            <w:tcW w:type="dxa" w:w="16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top"/>
          </w:tcPr>
          <w:p>
            <w:r>
              <w:rPr>
                <w:rFonts w:ascii="Arial" w:cs="Arial" w:eastAsia="Arial" w:hAnsi="Arial"/>
                <w:b/>
                <w:bCs/>
                <w:color w:val="0D47A1"/>
                <w:sz w:val="19"/>
                <w:szCs w:val="19"/>
              </w:rPr>
              <w:t xml:space="preserve">NIST Impact</w:t>
            </w:r>
          </w:p>
        </w:tc>
        <w:tc>
          <w:tcPr>
            <w:tcW w:type="dxa" w:w="768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before="0"/>
            </w:pPr>
            <w:r>
              <w:rPr>
                <w:rFonts w:ascii="Courier New" w:cs="Courier New" w:eastAsia="Courier New" w:hAnsi="Courier New"/>
                <w:color w:val="D4D4D4"/>
                <w:sz w:val="17"/>
                <w:szCs w:val="17"/>
              </w:rPr>
              <w:t xml:space="preserve">NIST GV.SC-01 CRITICAL — supply chain risk completely unmanaged</w:t>
            </w:r>
          </w:p>
          <w:p>
            <w:pPr>
              <w:spacing w:after="0" w:before="0"/>
            </w:pPr>
            <w:r>
              <w:rPr>
                <w:rFonts w:ascii="Courier New" w:cs="Courier New" w:eastAsia="Courier New" w:hAnsi="Courier New"/>
                <w:color w:val="D4D4D4"/>
                <w:sz w:val="17"/>
                <w:szCs w:val="17"/>
              </w:rPr>
              <w:t xml:space="preserve">NIST DE.CM-04 CRITICAL — malicious code would not be detected</w:t>
            </w:r>
          </w:p>
          <w:p>
            <w:pPr>
              <w:spacing w:after="0" w:before="0"/>
            </w:pPr>
            <w:r>
              <w:rPr>
                <w:rFonts w:ascii="Courier New" w:cs="Courier New" w:eastAsia="Courier New" w:hAnsi="Courier New"/>
                <w:color w:val="D4D4D4"/>
                <w:sz w:val="17"/>
                <w:szCs w:val="17"/>
              </w:rPr>
              <w:t xml:space="preserve">Single malicious npm package = full compromise of all SalmonOS user bank connections</w:t>
            </w:r>
          </w:p>
          <w:p>
            <w:pPr>
              <w:spacing w:after="0" w:before="0"/>
            </w:pPr>
            <w:r>
              <w:rPr>
                <w:rFonts w:ascii="Courier New" w:cs="Courier New" w:eastAsia="Courier New" w:hAnsi="Courier New"/>
                <w:color w:val="D4D4D4"/>
                <w:sz w:val="17"/>
                <w:szCs w:val="17"/>
              </w:rPr>
              <w:t xml:space="preserve">Remediation: npm ci, Dependabot, Snyk, package-lock.json integrity enforcement</w:t>
            </w:r>
          </w:p>
        </w:tc>
      </w:tr>
    </w:tbl>
    <w:p>
      <w:pPr>
        <w:spacing w:after="60" w:before="60"/>
      </w:pPr>
      <w:r>
        <w:t xml:space="preserve"/>
      </w:r>
    </w:p>
    <w:p>
      <w:r>
        <w:br w:type="page"/>
      </w:r>
    </w:p>
    <w:p>
      <w:pPr>
        <w:pStyle w:val="Heading1"/>
        <w:pBdr>
          <w:bottom w:val="single" w:color="FF6F00" w:sz="6" w:space="1"/>
        </w:pBdr>
        <w:spacing w:after="160" w:before="360"/>
      </w:pPr>
      <w:r>
        <w:rPr>
          <w:rFonts w:ascii="Arial" w:cs="Arial" w:eastAsia="Arial" w:hAnsi="Arial"/>
          <w:b/>
          <w:bCs/>
          <w:color w:val="0D47A1"/>
          <w:sz w:val="34"/>
          <w:szCs w:val="34"/>
        </w:rPr>
        <w:t xml:space="preserve">4. Remediation Roadmap</w:t>
      </w:r>
    </w:p>
    <w:p>
      <w:pPr>
        <w:spacing w:after="140" w:before="60"/>
      </w:pPr>
      <w:r>
        <w:rPr>
          <w:rFonts w:ascii="Arial" w:cs="Arial" w:eastAsia="Arial" w:hAnsi="Arial"/>
          <w:color w:val="222222"/>
          <w:sz w:val="21"/>
          <w:szCs w:val="21"/>
        </w:rPr>
        <w:t xml:space="preserve">REM-001 through REM-003 are immediate — credentials are currently exposed. All remaining items are achievable by a solo developer using free tooling within 30 days. None of these fixes require a laptop; all are doable from a phone via GitHub mobile, Vercel dashboard, and terminal apps.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200"/>
        <w:gridCol w:w="1100"/>
        <w:gridCol w:w="1000"/>
      </w:tblGrid>
      <w:tr>
        <w:trPr>
          <w:tblHeader/>
        </w:trPr>
        <w:tc>
          <w:tcPr>
            <w:tcW w:type="dxa" w:w="700"/>
            <w:tcBorders>
              <w:top w:val="single" w:color="0D47A1" w:sz="1"/>
              <w:left w:val="single" w:color="0D47A1" w:sz="1"/>
              <w:bottom w:val="single" w:color="0D47A1" w:sz="1"/>
              <w:right w:val="single" w:color="0D47A1" w:sz="1"/>
            </w:tcBorders>
            <w:shd w:fill="0D47A1"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Item</w:t>
            </w:r>
          </w:p>
        </w:tc>
        <w:tc>
          <w:tcPr>
            <w:tcW w:type="dxa" w:w="3200"/>
            <w:tcBorders>
              <w:top w:val="single" w:color="0D47A1" w:sz="1"/>
              <w:left w:val="single" w:color="0D47A1" w:sz="1"/>
              <w:bottom w:val="single" w:color="0D47A1" w:sz="1"/>
              <w:right w:val="single" w:color="0D47A1" w:sz="1"/>
            </w:tcBorders>
            <w:shd w:fill="0D47A1"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Action</w:t>
            </w:r>
          </w:p>
        </w:tc>
        <w:tc>
          <w:tcPr>
            <w:tcW w:type="dxa" w:w="1200"/>
            <w:tcBorders>
              <w:top w:val="single" w:color="0D47A1" w:sz="1"/>
              <w:left w:val="single" w:color="0D47A1" w:sz="1"/>
              <w:bottom w:val="single" w:color="0D47A1" w:sz="1"/>
              <w:right w:val="single" w:color="0D47A1" w:sz="1"/>
            </w:tcBorders>
            <w:shd w:fill="0D47A1"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Owner</w:t>
            </w:r>
          </w:p>
        </w:tc>
        <w:tc>
          <w:tcPr>
            <w:tcW w:type="dxa" w:w="1100"/>
            <w:tcBorders>
              <w:top w:val="single" w:color="0D47A1" w:sz="1"/>
              <w:left w:val="single" w:color="0D47A1" w:sz="1"/>
              <w:bottom w:val="single" w:color="0D47A1" w:sz="1"/>
              <w:right w:val="single" w:color="0D47A1" w:sz="1"/>
            </w:tcBorders>
            <w:shd w:fill="0D47A1"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Timeline</w:t>
            </w:r>
          </w:p>
        </w:tc>
        <w:tc>
          <w:tcPr>
            <w:tcW w:type="dxa" w:w="1000"/>
            <w:tcBorders>
              <w:top w:val="single" w:color="0D47A1" w:sz="1"/>
              <w:left w:val="single" w:color="0D47A1" w:sz="1"/>
              <w:bottom w:val="single" w:color="0D47A1" w:sz="1"/>
              <w:right w:val="single" w:color="0D47A1" w:sz="1"/>
            </w:tcBorders>
            <w:shd w:fill="0D47A1" w:val="clear"/>
            <w:tcMar>
              <w:top w:type="dxa" w:w="90"/>
              <w:left w:type="dxa" w:w="120"/>
              <w:bottom w:type="dxa" w:w="90"/>
              <w:right w:type="dxa" w:w="120"/>
            </w:tcMar>
            <w:vAlign w:val="center"/>
          </w:tcPr>
          <w:p>
            <w:pPr>
              <w:jc w:val="left"/>
            </w:pPr>
            <w:r>
              <w:rPr>
                <w:rFonts w:ascii="Arial" w:cs="Arial" w:eastAsia="Arial" w:hAnsi="Arial"/>
                <w:b/>
                <w:bCs/>
                <w:color w:val="FFFFFF"/>
                <w:sz w:val="19"/>
                <w:szCs w:val="19"/>
              </w:rPr>
              <w:t xml:space="preserve">NIST Ref</w:t>
            </w:r>
          </w:p>
        </w:tc>
      </w:tr>
      <w:tr>
        <w:tc>
          <w:tcPr>
            <w:tcW w:type="dxa" w:w="7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REM-001</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Move all secrets to environment variables — never in code or ZIP files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Developer</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Immediate</w:t>
            </w:r>
          </w:p>
        </w:tc>
        <w:tc>
          <w:tcPr>
            <w:tcW w:type="dxa" w:w="10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PR.PS-01</w:t>
            </w:r>
          </w:p>
        </w:tc>
      </w:tr>
      <w:tr>
        <w:tc>
          <w:tcPr>
            <w:tcW w:type="dxa" w:w="7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REM-002</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Rotate all exposed credentials: Plaid, Firebase, Google, SSH keys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Developer</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Immediate</w:t>
            </w:r>
          </w:p>
        </w:tc>
        <w:tc>
          <w:tcPr>
            <w:tcW w:type="dxa" w:w="10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PR.AA-01</w:t>
            </w:r>
          </w:p>
        </w:tc>
      </w:tr>
      <w:tr>
        <w:tc>
          <w:tcPr>
            <w:tcW w:type="dxa" w:w="7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REM-003</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Regenerate Google 2FA backup codes (current codes in uploaded archive)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Developer</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Immediate</w:t>
            </w:r>
          </w:p>
        </w:tc>
        <w:tc>
          <w:tcPr>
            <w:tcW w:type="dxa" w:w="10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PR.AA-01</w:t>
            </w:r>
          </w:p>
        </w:tc>
      </w:tr>
      <w:tr>
        <w:tc>
          <w:tcPr>
            <w:tcW w:type="dxa" w:w="7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REM-004</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Add npm audit + Dependabot to GitHub Actions CI pipeline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Developer</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0–7 days</w:t>
            </w:r>
          </w:p>
        </w:tc>
        <w:tc>
          <w:tcPr>
            <w:tcW w:type="dxa" w:w="10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GV.SC-01</w:t>
            </w:r>
          </w:p>
        </w:tc>
      </w:tr>
      <w:tr>
        <w:tc>
          <w:tcPr>
            <w:tcW w:type="dxa" w:w="7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REM-005</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Document data flows: map all Plaid data from bank → API → storage → display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Developer</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0–14 days</w:t>
            </w:r>
          </w:p>
        </w:tc>
        <w:tc>
          <w:tcPr>
            <w:tcW w:type="dxa" w:w="10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ID.AM-05</w:t>
            </w:r>
          </w:p>
        </w:tc>
      </w:tr>
      <w:tr>
        <w:tc>
          <w:tcPr>
            <w:tcW w:type="dxa" w:w="7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REM-006</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Add express-rate-limit and input validation to all /api routes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Developer</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0–14 days</w:t>
            </w:r>
          </w:p>
        </w:tc>
        <w:tc>
          <w:tcPr>
            <w:tcW w:type="dxa" w:w="10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DE.CM-01</w:t>
            </w:r>
          </w:p>
        </w:tc>
      </w:tr>
      <w:tr>
        <w:tc>
          <w:tcPr>
            <w:tcW w:type="dxa" w:w="7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REM-007</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Define data retention policy: how long Plaid tokens and transactions stored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Developer</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0–14 days</w:t>
            </w:r>
          </w:p>
        </w:tc>
        <w:tc>
          <w:tcPr>
            <w:tcW w:type="dxa" w:w="10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ID.AM-05</w:t>
            </w:r>
          </w:p>
        </w:tc>
      </w:tr>
      <w:tr>
        <w:tc>
          <w:tcPr>
            <w:tcW w:type="dxa" w:w="7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REM-008</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Create simple incident response runbook: what to do if Plaid token compromised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Developer</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7–14 days</w:t>
            </w:r>
          </w:p>
        </w:tc>
        <w:tc>
          <w:tcPr>
            <w:tcW w:type="dxa" w:w="10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RS.MA-01</w:t>
            </w:r>
          </w:p>
        </w:tc>
      </w:tr>
      <w:tr>
        <w:tc>
          <w:tcPr>
            <w:tcW w:type="dxa" w:w="7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REM-009</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Add structured logging (Winston) with security event flagging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Developer</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7–21 days</w:t>
            </w:r>
          </w:p>
        </w:tc>
        <w:tc>
          <w:tcPr>
            <w:tcW w:type="dxa" w:w="10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DE.AE-02</w:t>
            </w:r>
          </w:p>
        </w:tc>
      </w:tr>
      <w:tr>
        <w:tc>
          <w:tcPr>
            <w:tcW w:type="dxa" w:w="7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REM-010</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Review GLBA Safeguards Rule applicability — consult legal counsel if needed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Developer / Legal</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14–30 days</w:t>
            </w:r>
          </w:p>
        </w:tc>
        <w:tc>
          <w:tcPr>
            <w:tcW w:type="dxa" w:w="1000"/>
            <w:tcBorders>
              <w:top w:val="single" w:color="CCCCCC" w:sz="1"/>
              <w:left w:val="single" w:color="CCCCCC" w:sz="1"/>
              <w:bottom w:val="single" w:color="CCCCCC" w:sz="1"/>
              <w:right w:val="single" w:color="CCCCCC" w:sz="1"/>
            </w:tcBorders>
            <w:shd w:fill="E8EAF6" w:val="clear"/>
            <w:tcMar>
              <w:top w:type="dxa" w:w="90"/>
              <w:left w:type="dxa" w:w="120"/>
              <w:bottom w:type="dxa" w:w="90"/>
              <w:right w:type="dxa" w:w="120"/>
            </w:tcMar>
            <w:vAlign w:val="center"/>
          </w:tcPr>
          <w:p>
            <w:pPr>
              <w:jc w:val="left"/>
            </w:pPr>
            <w:r>
              <w:rPr>
                <w:rFonts w:ascii="Arial" w:cs="Arial" w:eastAsia="Arial" w:hAnsi="Arial"/>
                <w:b w:val="false"/>
                <w:bCs w:val="false"/>
                <w:color w:val="111111"/>
                <w:sz w:val="19"/>
                <w:szCs w:val="19"/>
              </w:rPr>
              <w:t xml:space="preserve">RS.CO-02</w:t>
            </w:r>
          </w:p>
        </w:tc>
      </w:tr>
    </w:tbl>
    <w:p>
      <w:pPr>
        <w:spacing w:after="60" w:before="60"/>
      </w:pPr>
      <w:r>
        <w:t xml:space="preserve"/>
      </w:r>
    </w:p>
    <w:p>
      <w:r>
        <w:br w:type="page"/>
      </w:r>
    </w:p>
    <w:p>
      <w:pPr>
        <w:pStyle w:val="Heading1"/>
        <w:pBdr>
          <w:bottom w:val="single" w:color="FF6F00" w:sz="6" w:space="1"/>
        </w:pBdr>
        <w:spacing w:after="160" w:before="360"/>
      </w:pPr>
      <w:r>
        <w:rPr>
          <w:rFonts w:ascii="Arial" w:cs="Arial" w:eastAsia="Arial" w:hAnsi="Arial"/>
          <w:b/>
          <w:bCs/>
          <w:color w:val="0D47A1"/>
          <w:sz w:val="34"/>
          <w:szCs w:val="34"/>
        </w:rPr>
        <w:t xml:space="preserve">5. Appendix</w:t>
      </w:r>
    </w:p>
    <w:p>
      <w:pPr>
        <w:pStyle w:val="Heading2"/>
        <w:spacing w:after="100" w:before="280"/>
      </w:pPr>
      <w:r>
        <w:rPr>
          <w:rFonts w:ascii="Arial" w:cs="Arial" w:eastAsia="Arial" w:hAnsi="Arial"/>
          <w:b/>
          <w:bCs/>
          <w:color w:val="333333"/>
          <w:sz w:val="26"/>
          <w:szCs w:val="26"/>
        </w:rPr>
        <w:t xml:space="preserve">5.1 About NIST CSF 2.0</w:t>
      </w:r>
    </w:p>
    <w:p>
      <w:pPr>
        <w:spacing w:after="140" w:before="60"/>
      </w:pPr>
      <w:r>
        <w:rPr>
          <w:rFonts w:ascii="Arial" w:cs="Arial" w:eastAsia="Arial" w:hAnsi="Arial"/>
          <w:color w:val="222222"/>
          <w:sz w:val="21"/>
          <w:szCs w:val="21"/>
        </w:rPr>
        <w:t xml:space="preserve">The NIST Cybersecurity Framework 2.0 (published February 2024) expanded the original five functions to six by adding GOVERN as a cross-cutting foundation. CSF 2.0 is voluntary for US private sector organizations but is widely adopted as the baseline cybersecurity standard for software products handling sensitive data, and increasingly referenced in regulatory guidance for fintech and personal finance applications.</w:t>
      </w:r>
    </w:p>
    <w:p>
      <w:pPr>
        <w:pStyle w:val="Heading2"/>
        <w:spacing w:after="100" w:before="280"/>
      </w:pPr>
      <w:r>
        <w:rPr>
          <w:rFonts w:ascii="Arial" w:cs="Arial" w:eastAsia="Arial" w:hAnsi="Arial"/>
          <w:b/>
          <w:bCs/>
          <w:color w:val="333333"/>
          <w:sz w:val="26"/>
          <w:szCs w:val="26"/>
        </w:rPr>
        <w:t xml:space="preserve">5.2 GLBA Applicability Note</w:t>
      </w:r>
    </w:p>
    <w:p>
      <w:pPr>
        <w:spacing w:after="140" w:before="60"/>
      </w:pPr>
      <w:r>
        <w:rPr>
          <w:rFonts w:ascii="Arial" w:cs="Arial" w:eastAsia="Arial" w:hAnsi="Arial"/>
          <w:color w:val="222222"/>
          <w:sz w:val="21"/>
          <w:szCs w:val="21"/>
        </w:rPr>
        <w:t xml:space="preserve">The Gramm-Leach-Bliley Act (GLBA) Safeguards Rule may apply to SalmonOS if it qualifies as a 'financial institution' under FTC jurisdiction. The Safeguards Rule requires a written information security program. If SalmonOS scales to multiple users, legal counsel should assess GLBA applicability before production launch.</w:t>
      </w:r>
    </w:p>
    <w:p>
      <w:pPr>
        <w:pStyle w:val="Heading2"/>
        <w:spacing w:after="100" w:before="280"/>
      </w:pPr>
      <w:r>
        <w:rPr>
          <w:rFonts w:ascii="Arial" w:cs="Arial" w:eastAsia="Arial" w:hAnsi="Arial"/>
          <w:b/>
          <w:bCs/>
          <w:color w:val="333333"/>
          <w:sz w:val="26"/>
          <w:szCs w:val="26"/>
        </w:rPr>
        <w:t xml:space="preserve">5.3 Positive Findings</w:t>
      </w:r>
    </w:p>
    <w:p>
      <w:pPr>
        <w:pStyle w:val="ListParagraph"/>
        <w:numPr>
          <w:ilvl w:val="0"/>
          <w:numId w:val="2"/>
        </w:numPr>
        <w:spacing w:after="30" w:before="30"/>
      </w:pPr>
      <w:r>
        <w:rPr>
          <w:rFonts w:ascii="Arial" w:cs="Arial" w:eastAsia="Arial" w:hAnsi="Arial"/>
          <w:color w:val="222222"/>
          <w:sz w:val="21"/>
          <w:szCs w:val="21"/>
        </w:rPr>
        <w:t xml:space="preserve">HTTPS enforced via Vercel — data in transit protected on external connections</w:t>
      </w:r>
    </w:p>
    <w:p>
      <w:pPr>
        <w:pStyle w:val="ListParagraph"/>
        <w:numPr>
          <w:ilvl w:val="0"/>
          <w:numId w:val="2"/>
        </w:numPr>
        <w:spacing w:after="30" w:before="30"/>
      </w:pPr>
      <w:r>
        <w:rPr>
          <w:rFonts w:ascii="Arial" w:cs="Arial" w:eastAsia="Arial" w:hAnsi="Arial"/>
          <w:color w:val="222222"/>
          <w:sz w:val="21"/>
          <w:szCs w:val="21"/>
        </w:rPr>
        <w:t xml:space="preserve">Plaid Link architecture — bank credentials never touch SalmonOS servers directly</w:t>
      </w:r>
    </w:p>
    <w:p>
      <w:pPr>
        <w:pStyle w:val="ListParagraph"/>
        <w:numPr>
          <w:ilvl w:val="0"/>
          <w:numId w:val="2"/>
        </w:numPr>
        <w:spacing w:after="30" w:before="30"/>
      </w:pPr>
      <w:r>
        <w:rPr>
          <w:rFonts w:ascii="Arial" w:cs="Arial" w:eastAsia="Arial" w:hAnsi="Arial"/>
          <w:color w:val="222222"/>
          <w:sz w:val="21"/>
          <w:szCs w:val="21"/>
        </w:rPr>
        <w:t xml:space="preserve">Real deployment confirmed — platform is genuinely functional (build log: January 4, 2026)</w:t>
      </w:r>
    </w:p>
    <w:p>
      <w:pPr>
        <w:pStyle w:val="ListParagraph"/>
        <w:numPr>
          <w:ilvl w:val="0"/>
          <w:numId w:val="2"/>
        </w:numPr>
        <w:spacing w:after="30" w:before="30"/>
      </w:pPr>
      <w:r>
        <w:rPr>
          <w:rFonts w:ascii="Arial" w:cs="Arial" w:eastAsia="Arial" w:hAnsi="Arial"/>
          <w:color w:val="222222"/>
          <w:sz w:val="21"/>
          <w:szCs w:val="21"/>
        </w:rPr>
        <w:t xml:space="preserve">Salmon Law savings engine — innovative personal finance automation concept with real IP potential</w:t>
      </w:r>
    </w:p>
    <w:p>
      <w:pPr>
        <w:spacing w:after="60" w:before="60"/>
      </w:pPr>
      <w:r>
        <w:t xml:space="preserve"/>
      </w:r>
    </w:p>
    <w:p>
      <w:pPr>
        <w:spacing w:before="200"/>
        <w:jc w:val="center"/>
      </w:pPr>
      <w:r>
        <w:rPr>
          <w:rFonts w:ascii="Arial" w:cs="Arial" w:eastAsia="Arial" w:hAnsi="Arial"/>
          <w:b/>
          <w:bCs/>
          <w:color w:val="888888"/>
          <w:sz w:val="20"/>
          <w:szCs w:val="20"/>
        </w:rPr>
        <w:t xml:space="preserve">— END OF REPORT —</w:t>
      </w:r>
    </w:p>
    <w:p>
      <w:pPr>
        <w:spacing w:before="60"/>
        <w:jc w:val="center"/>
      </w:pPr>
      <w:r>
        <w:rPr>
          <w:rFonts w:ascii="Arial" w:cs="Arial" w:eastAsia="Arial" w:hAnsi="Arial"/>
          <w:color w:val="AAAAAA"/>
          <w:sz w:val="17"/>
          <w:szCs w:val="17"/>
        </w:rPr>
        <w:t xml:space="preserve">SalmonOS | NIST CSF 2.0 Audit | March 2026 | Confidential</w:t>
      </w:r>
    </w:p>
    <w:sectPr>
      <w:headerReference w:type="default" r:id="rId7"/>
      <w:footerReference w:type="default" r:id="rId8"/>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47A1" w:sz="4" w:space="1"/>
      </w:pBdr>
      <w:tabs>
        <w:tab w:val="right" w:pos="9360"/>
      </w:tabs>
      <w:spacing w:before="80"/>
    </w:pPr>
    <w:r>
      <w:rPr>
        <w:rFonts w:ascii="Arial" w:cs="Arial" w:eastAsia="Arial" w:hAnsi="Arial"/>
        <w:color w:val="888888"/>
        <w:sz w:val="17"/>
        <w:szCs w:val="17"/>
      </w:rPr>
      <w:t xml:space="preserve">NIST CSF 2.0 | SalmonOS / Augmented Universe | March 2026</w:t>
    </w:r>
    <w:r>
      <w:rPr>
        <w:rFonts w:ascii="Arial" w:cs="Arial" w:eastAsia="Arial" w:hAnsi="Arial"/>
        <w:color w:val="888888"/>
        <w:sz w:val="17"/>
        <w:szCs w:val="17"/>
      </w:rPr>
      <w:t xml:space="preserve">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F00" w:sz="5" w:space="1"/>
      </w:pBdr>
      <w:tabs>
        <w:tab w:val="right" w:pos="9360"/>
      </w:tabs>
      <w:spacing w:after="100"/>
    </w:pPr>
    <w:r>
      <w:rPr>
        <w:rFonts w:ascii="Arial" w:cs="Arial" w:eastAsia="Arial" w:hAnsi="Arial"/>
        <w:b/>
        <w:bCs/>
        <w:color w:val="0D47A1"/>
        <w:sz w:val="18"/>
        <w:szCs w:val="18"/>
      </w:rPr>
      <w:t xml:space="preserve">SalmonOS — NIST CSF 2.0 Audit</w:t>
    </w:r>
    <w:r>
      <w:rPr>
        <w:rFonts w:ascii="Arial" w:cs="Arial" w:eastAsia="Arial" w:hAnsi="Arial"/>
        <w:color w:val="888888"/>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47A1"/>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2026-03-31T18:50:28.343Z</dcterms:created>
  <dcterms:modified xsi:type="dcterms:W3CDTF">2026-03-31T18:50:28.344Z</dcterms:modified>
</cp:coreProperties>
</file>

<file path=docProps/custom.xml><?xml version="1.0" encoding="utf-8"?>
<Properties xmlns="http://schemas.openxmlformats.org/officeDocument/2006/custom-properties" xmlns:vt="http://schemas.openxmlformats.org/officeDocument/2006/docPropsVTypes"/>
</file>