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Arial" w:cs="Arial" w:eastAsia="Arial" w:hAnsi="Arial"/>
          <w:b/>
          <w:bCs/>
          <w:color w:val="080c10"/>
          <w:sz w:val="52"/>
          <w:szCs w:val="52"/>
        </w:rPr>
        <w:t xml:space="preserve">CIVILIZATION III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3a6a8a"/>
          <w:sz w:val="26"/>
          <w:szCs w:val="26"/>
        </w:rPr>
        <w:t xml:space="preserve">Hybrid Governance &amp; Commercial Structure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9ab8cc"/>
          <w:sz w:val="20"/>
          <w:szCs w:val="20"/>
        </w:rPr>
        <w:t xml:space="preserve">Canonical One-Pager  //  March 2026</w:t>
      </w:r>
    </w:p>
    <w:p>
      <w:pPr>
        <w:pBdr>
          <w:bottom w:val="single" w:color="2a5a8a" w:sz="6" w:space="1"/>
        </w:pBdr>
        <w:spacing w:after="280" w:before="0"/>
        <w:jc w:val="center"/>
      </w:pPr>
      <w:r>
        <w:t xml:space="preserve"> </w:t>
      </w:r>
    </w:p>
    <w:p>
      <w:pPr>
        <w:pBdr>
          <w:left w:val="single" w:color="2a5a8a" w:sz="8" w:space="10"/>
        </w:pBdr>
        <w:spacing w:after="80" w:before="200"/>
        <w:ind w:left="200"/>
      </w:pPr>
      <w:r>
        <w:rPr>
          <w:rFonts w:ascii="Arial" w:cs="Arial" w:eastAsia="Arial" w:hAnsi="Arial"/>
          <w:b/>
          <w:bCs/>
          <w:color w:val="1a3a5a"/>
          <w:sz w:val="26"/>
          <w:szCs w:val="26"/>
        </w:rPr>
        <w:t xml:space="preserve">Non-Profit Entity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3a5a"/>
          <w:sz w:val="22"/>
          <w:szCs w:val="22"/>
        </w:rPr>
        <w:t xml:space="preserve">Name:</w:t>
      </w:r>
    </w:p>
    <w:p>
      <w:pPr>
        <w:spacing w:after="100" w:before="0"/>
        <w:ind w:left="3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Civilization III Institute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3a5a"/>
          <w:sz w:val="22"/>
          <w:szCs w:val="22"/>
        </w:rPr>
        <w:t xml:space="preserve">Type:</w:t>
      </w:r>
    </w:p>
    <w:p>
      <w:pPr>
        <w:spacing w:after="100" w:before="0"/>
        <w:ind w:left="3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501(c)(3) Public Charity</w:t>
      </w:r>
    </w:p>
    <w:p>
      <w:pPr>
        <w:pBdr>
          <w:bottom w:val="single" w:color="2a5a8a" w:sz="3" w:space="1"/>
        </w:pBdr>
        <w:spacing w:after="160" w:before="160"/>
      </w:pPr>
      <w:r>
        <w:t xml:space="preserve"> </w:t>
      </w:r>
    </w:p>
    <w:p>
      <w:pPr>
        <w:pBdr>
          <w:left w:val="single" w:color="2a5a8a" w:sz="8" w:space="10"/>
        </w:pBdr>
        <w:spacing w:after="80" w:before="200"/>
        <w:ind w:left="200"/>
      </w:pPr>
      <w:r>
        <w:rPr>
          <w:rFonts w:ascii="Arial" w:cs="Arial" w:eastAsia="Arial" w:hAnsi="Arial"/>
          <w:b/>
          <w:bCs/>
          <w:color w:val="1a3a5a"/>
          <w:sz w:val="26"/>
          <w:szCs w:val="26"/>
        </w:rPr>
        <w:t xml:space="preserve">For-Profit Entity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3a5a"/>
          <w:sz w:val="22"/>
          <w:szCs w:val="22"/>
        </w:rPr>
        <w:t xml:space="preserve">Name:</w:t>
      </w:r>
    </w:p>
    <w:p>
      <w:pPr>
        <w:spacing w:after="100" w:before="0"/>
        <w:ind w:left="3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Salmon Autonomy Holdings LLC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3a5a"/>
          <w:sz w:val="22"/>
          <w:szCs w:val="22"/>
        </w:rPr>
        <w:t xml:space="preserve">Ownership:</w:t>
      </w:r>
    </w:p>
    <w:p>
      <w:pPr>
        <w:spacing w:after="100" w:before="0"/>
        <w:ind w:left="3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100% owned and controlled by Thomas Joseph William Salmon</w:t>
      </w:r>
    </w:p>
    <w:p>
      <w:pPr>
        <w:pBdr>
          <w:bottom w:val="single" w:color="2a5a8a" w:sz="3" w:space="1"/>
        </w:pBdr>
        <w:spacing w:after="160" w:before="160"/>
      </w:pPr>
      <w:r>
        <w:t xml:space="preserve"> </w:t>
      </w:r>
    </w:p>
    <w:p>
      <w:pPr>
        <w:pBdr>
          <w:left w:val="single" w:color="2a5a8a" w:sz="8" w:space="10"/>
        </w:pBdr>
        <w:spacing w:after="80" w:before="200"/>
        <w:ind w:left="200"/>
      </w:pPr>
      <w:r>
        <w:rPr>
          <w:rFonts w:ascii="Arial" w:cs="Arial" w:eastAsia="Arial" w:hAnsi="Arial"/>
          <w:b/>
          <w:bCs/>
          <w:color w:val="1a3a5a"/>
          <w:sz w:val="26"/>
          <w:szCs w:val="26"/>
        </w:rPr>
        <w:t xml:space="preserve">Core Technology</w:t>
      </w:r>
    </w:p>
    <w:p>
      <w:pPr>
        <w:spacing w:after="200" w:before="100"/>
        <w:ind w:left="3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Quantum Laser Crystal Lattice powered by the Harmonic Key (Phase 4 IP Formalization complete).</w:t>
      </w:r>
    </w:p>
    <w:p>
      <w:pPr>
        <w:pBdr>
          <w:bottom w:val="single" w:color="2a5a8a" w:sz="3" w:space="1"/>
        </w:pBdr>
        <w:spacing w:after="160" w:before="160"/>
      </w:pPr>
      <w:r>
        <w:t xml:space="preserve"> </w:t>
      </w:r>
    </w:p>
    <w:p>
      <w:pPr>
        <w:pBdr>
          <w:left w:val="single" w:color="2a5a8a" w:sz="8" w:space="10"/>
        </w:pBdr>
        <w:spacing w:after="80" w:before="200"/>
        <w:ind w:left="200"/>
      </w:pPr>
      <w:r>
        <w:rPr>
          <w:rFonts w:ascii="Arial" w:cs="Arial" w:eastAsia="Arial" w:hAnsi="Arial"/>
          <w:b/>
          <w:bCs/>
          <w:color w:val="1a3a5a"/>
          <w:sz w:val="26"/>
          <w:szCs w:val="26"/>
        </w:rPr>
        <w:t xml:space="preserve">IP &amp; Licensing Model</w:t>
      </w:r>
    </w:p>
    <w:p>
      <w:pPr>
        <w:spacing w:after="80" w:before="100"/>
        <w:ind w:left="3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Global Perpetual Licensing through the for-profit company.</w:t>
      </w:r>
    </w:p>
    <w:p>
      <w:pPr>
        <w:spacing w:after="200" w:before="0"/>
        <w:ind w:left="3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All licensed systems must comply with the open-source Salmon Safe Autonomy Framework and Aether/HOOP governance standards.</w:t>
      </w:r>
    </w:p>
    <w:p>
      <w:pPr>
        <w:pBdr>
          <w:bottom w:val="single" w:color="2a5a8a" w:sz="3" w:space="1"/>
        </w:pBdr>
        <w:spacing w:after="160" w:before="160"/>
      </w:pPr>
      <w:r>
        <w:t xml:space="preserve"> </w:t>
      </w:r>
    </w:p>
    <w:p>
      <w:pPr>
        <w:pBdr>
          <w:left w:val="single" w:color="2a5a8a" w:sz="8" w:space="10"/>
        </w:pBdr>
        <w:spacing w:after="80" w:before="200"/>
        <w:ind w:left="200"/>
      </w:pPr>
      <w:r>
        <w:rPr>
          <w:rFonts w:ascii="Arial" w:cs="Arial" w:eastAsia="Arial" w:hAnsi="Arial"/>
          <w:b/>
          <w:bCs/>
          <w:color w:val="1a3a5a"/>
          <w:sz w:val="26"/>
          <w:szCs w:val="26"/>
        </w:rPr>
        <w:t xml:space="preserve">Guiding Principle</w:t>
      </w:r>
    </w:p>
    <w:p>
      <w:pPr>
        <w:pBdr>
          <w:left w:val="single" w:color="00aa55" w:sz="4" w:space="10"/>
        </w:pBdr>
        <w:spacing w:after="60" w:before="120"/>
        <w:ind w:left="360" w:right="360"/>
      </w:pPr>
      <w:r>
        <w:rPr>
          <w:rFonts w:ascii="Arial" w:cs="Arial" w:eastAsia="Arial" w:hAnsi="Arial"/>
          <w:b/>
          <w:bCs/>
          <w:i/>
          <w:iCs/>
          <w:color w:val="1a4a2a"/>
          <w:sz w:val="24"/>
          <w:szCs w:val="24"/>
        </w:rPr>
        <w:t xml:space="preserve">The system's first and highest law remains permanent obedience to the human will.</w:t>
      </w:r>
    </w:p>
    <w:p>
      <w:pPr>
        <w:spacing w:after="200" w:before="0"/>
      </w:pPr>
      <w:r>
        <w:t xml:space="preserve"> </w:t>
      </w:r>
    </w:p>
    <w:p>
      <w:pPr>
        <w:pBdr>
          <w:bottom w:val="single" w:color="2a5a8a" w:sz="3" w:space="1"/>
        </w:pBdr>
        <w:spacing w:after="160" w:before="160"/>
      </w:pPr>
      <w:r>
        <w:t xml:space="preserve"> </w:t>
      </w:r>
    </w:p>
    <w:p>
      <w:pPr>
        <w:pBdr>
          <w:left w:val="single" w:color="2a5a8a" w:sz="8" w:space="10"/>
        </w:pBdr>
        <w:spacing w:after="80" w:before="200"/>
        <w:ind w:left="200"/>
      </w:pPr>
      <w:r>
        <w:rPr>
          <w:rFonts w:ascii="Arial" w:cs="Arial" w:eastAsia="Arial" w:hAnsi="Arial"/>
          <w:b/>
          <w:bCs/>
          <w:color w:val="1a3a5a"/>
          <w:sz w:val="26"/>
          <w:szCs w:val="26"/>
        </w:rPr>
        <w:t xml:space="preserve">Contact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1a3a5a"/>
          <w:sz w:val="24"/>
          <w:szCs w:val="24"/>
        </w:rPr>
        <w:t xml:space="preserve">Thomas Joseph William Salmon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(270) 230-3347</w:t>
      </w:r>
    </w:p>
    <w:p>
      <w:pPr>
        <w:spacing w:after="300" w:before="0"/>
        <w:ind w:left="360"/>
      </w:pPr>
      <w:r>
        <w:rPr>
          <w:rFonts w:ascii="Arial" w:cs="Arial" w:eastAsia="Arial" w:hAnsi="Arial"/>
          <w:color w:val="2a5a8a"/>
          <w:sz w:val="22"/>
          <w:szCs w:val="22"/>
        </w:rPr>
        <w:t xml:space="preserve">salmonsautonomy@gmail.com</w:t>
      </w:r>
    </w:p>
    <w:p>
      <w:pPr>
        <w:pBdr>
          <w:top w:val="single" w:color="2a5a8a" w:sz="4" w:space="1"/>
        </w:pBdr>
        <w:spacing w:after="80" w:before="240"/>
        <w:jc w:val="center"/>
      </w:pPr>
      <w:r>
        <w:t xml:space="preserve"> 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a9aba"/>
          <w:sz w:val="18"/>
          <w:szCs w:val="18"/>
        </w:rPr>
        <w:t xml:space="preserve">Thomas Joseph William Salmon  //  Augmented Universe  //  2026</w:t>
      </w: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1a3a5a"/>
          <w:sz w:val="20"/>
          <w:szCs w:val="20"/>
        </w:rPr>
        <w:t xml:space="preserve">We continue life.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2026-03-29T21:57:17.258Z</dcterms:created>
  <dcterms:modified xsi:type="dcterms:W3CDTF">2026-03-29T21:57:17.259Z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