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A5F"/>
          <w:sz w:val="52"/>
        </w:rPr>
        <w:t>PROYECTO FINAL</w:t>
        <w:br/>
        <w:t>Modelos y Persistencia de Datos</w:t>
      </w:r>
    </w:p>
    <w:p>
      <w:pPr>
        <w:jc w:val="center"/>
      </w:pPr>
      <w:r>
        <w:rPr>
          <w:color w:val="5A5A5A"/>
          <w:sz w:val="30"/>
        </w:rPr>
        <w:t>Entrega 2 — Diseño e Implementación de una Solución de Inteligencia de Negocios</w:t>
      </w:r>
    </w:p>
    <w:p>
      <w:pPr>
        <w:jc w:val="center"/>
      </w:pPr>
      <w:r>
        <w:rPr>
          <w:i/>
          <w:color w:val="5A5A5A"/>
          <w:sz w:val="24"/>
        </w:rPr>
        <w:t>Informe técnico final</w:t>
      </w:r>
    </w:p>
    <w:p/>
    <w:p/>
    <w:p>
      <w:pPr>
        <w:jc w:val="center"/>
      </w:pPr>
      <w:r>
        <w:rPr>
          <w:sz w:val="24"/>
        </w:rPr>
        <w:t>Pontificia Universidad Javeriana</w:t>
        <w:br/>
        <w:t>Departamento de Ingeniería de Sistemas</w:t>
        <w:br/>
        <w:t>Especialización en Arquitectura Empresarial de Software</w:t>
        <w:br/>
        <w:t>Modelos y Persistencia de Datos — 2026-03</w:t>
      </w:r>
    </w:p>
    <w:p/>
    <w:p/>
    <w:p>
      <w:pPr>
        <w:jc w:val="center"/>
      </w:pPr>
      <w:r>
        <w:rPr>
          <w:sz w:val="24"/>
        </w:rPr>
        <w:t>Elaborado por:</w:t>
        <w:br/>
        <w:t>Luis Daniel Sierra Pineda</w:t>
        <w:br/>
        <w:t>David Cortes</w:t>
        <w:br/>
        <w:t>Salomón Saenz</w:t>
      </w:r>
    </w:p>
    <w:p>
      <w:r>
        <w:br w:type="page"/>
      </w:r>
    </w:p>
    <w:p>
      <w:pPr>
        <w:pStyle w:val="Heading1"/>
      </w:pPr>
      <w:r>
        <w:t>Resumen ejecutivo</w:t>
      </w:r>
    </w:p>
    <w:p>
      <w:r>
        <w:t>classicmodels y customerservice son dos sistemas transaccionales de la misma organización que nunca fueron diseñados para conversar entre sí: el primero soporta el proceso de ventas y el segundo el centro de atención al cliente. Cada uno resuelve bien su propio problema operativo, pero ninguno responde por sí solo una pregunta que sí le importa a la dirección comercial: ¿los productos que más se venden son también los que más reclamos generan? Antes de este proyecto, esa pregunta solo podía resolverse cruzando manualmente extractos de las dos bases en una hoja de cálculo — un proceso lento, propenso a error y que no deja rastro.</w:t>
      </w:r>
    </w:p>
    <w:p>
      <w:r>
        <w:t>Este documento presenta la Entrega 2 del proyecto, que construye la capa analítica de la solución: un almacén de datos dimensional en PostgreSQL que integra ambas fuentes, un proceso ETL de siete capas físicas que lo alimenta con trazabilidad completa, la extensión del repositorio de metadatos de la Entrega 1 para gobernar también el almacén, y un dashboard en Metabase con seis reportes que un usuario de negocio puede explorar sin escribir SQL. La Entrega 1, entregada previamente, construyó la capa de gobierno: el repositorio de metadatos que documenta de forma automatizada qué existe en cada fuente y qué significa para el negocio.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600"/>
            <w:shd w:val="clear" w:color="auto" w:fill="1F3A5F"/>
            <w:vAlign w:val="center"/>
          </w:tcPr>
          <w:p>
            <w:r/>
            <w:r>
              <w:rPr>
                <w:b/>
                <w:color w:val="FFFFFF"/>
                <w:sz w:val="18"/>
              </w:rPr>
              <w:t>Sección del enunciado</w:t>
            </w:r>
          </w:p>
        </w:tc>
        <w:tc>
          <w:tcPr>
            <w:tcW w:type="dxa" w:w="864"/>
            <w:shd w:val="clear" w:color="auto" w:fill="1F3A5F"/>
            <w:vAlign w:val="center"/>
          </w:tcPr>
          <w:p>
            <w:r/>
            <w:r>
              <w:rPr>
                <w:b/>
                <w:color w:val="FFFFFF"/>
                <w:sz w:val="18"/>
              </w:rPr>
              <w:t>Peso</w:t>
            </w:r>
          </w:p>
        </w:tc>
        <w:tc>
          <w:tcPr>
            <w:tcW w:type="dxa" w:w="4896"/>
            <w:shd w:val="clear" w:color="auto" w:fill="1F3A5F"/>
            <w:vAlign w:val="center"/>
          </w:tcPr>
          <w:p>
            <w:r/>
            <w:r>
              <w:rPr>
                <w:b/>
                <w:color w:val="FFFFFF"/>
                <w:sz w:val="18"/>
              </w:rPr>
              <w:t>Artefactos que la respaldan</w:t>
            </w:r>
          </w:p>
        </w:tc>
      </w:tr>
      <w:tr>
        <w:tc>
          <w:tcPr>
            <w:tcW w:type="dxa" w:w="3600"/>
          </w:tcPr>
          <w:p>
            <w:r/>
            <w:r>
              <w:rPr>
                <w:sz w:val="18"/>
              </w:rPr>
              <w:t>1. Diseño físico del almacén y la base dimensional</w:t>
            </w:r>
          </w:p>
        </w:tc>
        <w:tc>
          <w:tcPr>
            <w:tcW w:type="dxa" w:w="864"/>
          </w:tcPr>
          <w:p>
            <w:r/>
            <w:r>
              <w:rPr>
                <w:sz w:val="18"/>
              </w:rPr>
              <w:t>25%</w:t>
            </w:r>
          </w:p>
        </w:tc>
        <w:tc>
          <w:tcPr>
            <w:tcW w:type="dxa" w:w="4896"/>
          </w:tcPr>
          <w:p>
            <w:r/>
            <w:r>
              <w:rPr>
                <w:sz w:val="18"/>
              </w:rPr>
              <w:t>01_star_schema.sql, 03_data_marts.sql, dw_star_schema.png</w:t>
            </w:r>
          </w:p>
        </w:tc>
      </w:tr>
      <w:tr>
        <w:tc>
          <w:tcPr>
            <w:tcW w:type="dxa" w:w="3600"/>
          </w:tcPr>
          <w:p>
            <w:r/>
            <w:r>
              <w:rPr>
                <w:sz w:val="18"/>
              </w:rPr>
              <w:t>2. Desarrollo de la solución</w:t>
            </w:r>
          </w:p>
        </w:tc>
        <w:tc>
          <w:tcPr>
            <w:tcW w:type="dxa" w:w="864"/>
          </w:tcPr>
          <w:p>
            <w:r/>
            <w:r>
              <w:rPr>
                <w:sz w:val="18"/>
              </w:rPr>
              <w:t>25%</w:t>
            </w:r>
          </w:p>
        </w:tc>
        <w:tc>
          <w:tcPr>
            <w:tcW w:type="dxa" w:w="4896"/>
          </w:tcPr>
          <w:p>
            <w:r/>
            <w:r>
              <w:rPr>
                <w:sz w:val="18"/>
              </w:rPr>
              <w:t>docker-compose.yml, run_all.py, datawarehouse/tests/</w:t>
            </w:r>
          </w:p>
        </w:tc>
      </w:tr>
      <w:tr>
        <w:tc>
          <w:tcPr>
            <w:tcW w:type="dxa" w:w="3600"/>
          </w:tcPr>
          <w:p>
            <w:r/>
            <w:r>
              <w:rPr>
                <w:sz w:val="18"/>
              </w:rPr>
              <w:t>3. Diseño de metadatos</w:t>
            </w:r>
          </w:p>
        </w:tc>
        <w:tc>
          <w:tcPr>
            <w:tcW w:type="dxa" w:w="864"/>
          </w:tcPr>
          <w:p>
            <w:r/>
            <w:r>
              <w:rPr>
                <w:sz w:val="18"/>
              </w:rPr>
              <w:t>15%</w:t>
            </w:r>
          </w:p>
        </w:tc>
        <w:tc>
          <w:tcPr>
            <w:tcW w:type="dxa" w:w="4896"/>
          </w:tcPr>
          <w:p>
            <w:r/>
            <w:r>
              <w:rPr>
                <w:sz w:val="18"/>
              </w:rPr>
              <w:t>03_dw_extension.sql, 04_usage_extension.sql, metadata_repository_erd.png</w:t>
            </w:r>
          </w:p>
        </w:tc>
      </w:tr>
      <w:tr>
        <w:tc>
          <w:tcPr>
            <w:tcW w:type="dxa" w:w="3600"/>
          </w:tcPr>
          <w:p>
            <w:r/>
            <w:r>
              <w:rPr>
                <w:sz w:val="18"/>
              </w:rPr>
              <w:t>4. Diseño de ETLs</w:t>
            </w:r>
          </w:p>
        </w:tc>
        <w:tc>
          <w:tcPr>
            <w:tcW w:type="dxa" w:w="864"/>
          </w:tcPr>
          <w:p>
            <w:r/>
            <w:r>
              <w:rPr>
                <w:sz w:val="18"/>
              </w:rPr>
              <w:t>15%</w:t>
            </w:r>
          </w:p>
        </w:tc>
        <w:tc>
          <w:tcPr>
            <w:tcW w:type="dxa" w:w="4896"/>
          </w:tcPr>
          <w:p>
            <w:r/>
            <w:r>
              <w:rPr>
                <w:sz w:val="18"/>
              </w:rPr>
              <w:t>02_staging_layers.sql, etl_dw_staging.py, etl_dw_dimensions.py, etl_dw_facts.py</w:t>
            </w:r>
          </w:p>
        </w:tc>
      </w:tr>
      <w:tr>
        <w:tc>
          <w:tcPr>
            <w:tcW w:type="dxa" w:w="3600"/>
          </w:tcPr>
          <w:p>
            <w:r/>
            <w:r>
              <w:rPr>
                <w:sz w:val="18"/>
              </w:rPr>
              <w:t>5. Diseño de reportes</w:t>
            </w:r>
          </w:p>
        </w:tc>
        <w:tc>
          <w:tcPr>
            <w:tcW w:type="dxa" w:w="864"/>
          </w:tcPr>
          <w:p>
            <w:r/>
            <w:r>
              <w:rPr>
                <w:sz w:val="18"/>
              </w:rPr>
              <w:t>20%</w:t>
            </w:r>
          </w:p>
        </w:tc>
        <w:tc>
          <w:tcPr>
            <w:tcW w:type="dxa" w:w="4896"/>
          </w:tcPr>
          <w:p>
            <w:r/>
            <w:r>
              <w:rPr>
                <w:sz w:val="18"/>
              </w:rPr>
              <w:t>build_dashboard.py, dashboard en Metabase</w:t>
            </w:r>
          </w:p>
        </w:tc>
      </w:tr>
    </w:tbl>
    <w:p/>
    <w:p>
      <w:r>
        <w:rPr>
          <w:b/>
          <w:color w:val="1F6B4A"/>
          <w:sz w:val="18"/>
        </w:rPr>
        <w:t xml:space="preserve">✓ Verificado en vivo: </w:t>
      </w:r>
      <w:r>
        <w:rPr>
          <w:i/>
          <w:color w:val="1F6B4A"/>
          <w:sz w:val="18"/>
        </w:rPr>
        <w:t>todo el contenido numérico de este documento se confirmó ejecutando el pipeline completo (python run_all.py --reset, 27 pasos incluidos tres tests automatizados) sobre el stack de Docker, y consultando en vivo las bases de datos y la API de Metabase — no se transcribió de código sin ejecutar.</w:t>
      </w:r>
    </w:p>
    <w:p>
      <w:r>
        <w:br w:type="page"/>
      </w:r>
    </w:p>
    <w:p>
      <w:pPr>
        <w:pStyle w:val="Heading1"/>
      </w:pPr>
      <w:r>
        <w:t>Introducción y objetivos del proyecto</w:t>
      </w:r>
    </w:p>
    <w:p>
      <w:pPr>
        <w:pStyle w:val="Heading2"/>
      </w:pPr>
      <w:r>
        <w:t>Contexto y problema de negocio</w:t>
      </w:r>
    </w:p>
    <w:p>
      <w:r>
        <w:t>La compañía objeto de este ejercicio distribuye modelos de vehículos y estructuras a escala. Su operación comercial está soportada por classicmodels (MySQL): clientes, representantes de ventas, oficinas, catálogo de productos, órdenes de compra y pagos. En paralelo, su centro de atención al cliente opera sobre customerservice (PostgreSQL), que registra cada llamada de soporte junto con el cliente, el agente y el producto involucrados.</w:t>
      </w:r>
    </w:p>
    <w:p>
      <w:r>
        <w:t>El problema de negocio es de integración, no de captura: los datos existen, pero viven en dos silos con motores, convenciones de nombres y llaves distintas. Un analista que hoy quisiera responder "¿qué productos generan desproporcionadamente más llamadas de servicio frente a lo que venden?" tendría que exportar dos tablas, unirlas a mano por nombre de producto (con el riesgo de que un mismo producto esté escrito de forma distinta en cada sistema) y repetir el ejercicio cada vez que quiera una cifra actualizada. Esa fricción es exactamente lo que un almacén de datos dimensional está diseñado para eliminar.</w:t>
      </w:r>
    </w:p>
    <w:p>
      <w:pPr>
        <w:pStyle w:val="Heading2"/>
      </w:pPr>
      <w:r>
        <w:t>Objetivo general</w:t>
      </w:r>
    </w:p>
    <w:p>
      <w:r>
        <w:t>Diseñar, implementar y validar una solución de inteligencia de negocios que integre las fuentes classicmodels y customerservice bajo un modelo dimensional común, con su proceso ETL, la extensión correspondiente del repositorio de metadatos y una capa de reportes, siguiendo los marcos de referencia de Kimball para modelamiento dimensional, de Giordano para arquitectura de integración de datos y de DAMA-DMBOK para gobierno de metadatos.</w:t>
      </w:r>
    </w:p>
    <w:p>
      <w:pPr>
        <w:pStyle w:val="Heading2"/>
      </w:pPr>
      <w:r>
        <w:t>Objetivos específicos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576"/>
            <w:shd w:val="clear" w:color="auto" w:fill="1F3A5F"/>
            <w:vAlign w:val="center"/>
          </w:tcPr>
          <w:p>
            <w:r/>
            <w:r>
              <w:rPr>
                <w:b/>
                <w:color w:val="FFFFFF"/>
                <w:sz w:val="18"/>
              </w:rPr>
              <w:t>#</w:t>
            </w:r>
          </w:p>
        </w:tc>
        <w:tc>
          <w:tcPr>
            <w:tcW w:type="dxa" w:w="6336"/>
            <w:shd w:val="clear" w:color="auto" w:fill="1F3A5F"/>
            <w:vAlign w:val="center"/>
          </w:tcPr>
          <w:p>
            <w:r/>
            <w:r>
              <w:rPr>
                <w:b/>
                <w:color w:val="FFFFFF"/>
                <w:sz w:val="18"/>
              </w:rPr>
              <w:t>Objetivo específico</w:t>
            </w:r>
          </w:p>
        </w:tc>
        <w:tc>
          <w:tcPr>
            <w:tcW w:type="dxa" w:w="1728"/>
            <w:shd w:val="clear" w:color="auto" w:fill="1F3A5F"/>
            <w:vAlign w:val="center"/>
          </w:tcPr>
          <w:p>
            <w:r/>
            <w:r>
              <w:rPr>
                <w:b/>
                <w:color w:val="FFFFFF"/>
                <w:sz w:val="18"/>
              </w:rPr>
              <w:t>Punto del enunciado</w:t>
            </w:r>
          </w:p>
        </w:tc>
      </w:tr>
      <w:tr>
        <w:tc>
          <w:tcPr>
            <w:tcW w:type="dxa" w:w="576"/>
          </w:tcPr>
          <w:p>
            <w:r/>
            <w:r>
              <w:rPr>
                <w:sz w:val="18"/>
              </w:rPr>
              <w:t>1</w:t>
            </w:r>
          </w:p>
        </w:tc>
        <w:tc>
          <w:tcPr>
            <w:tcW w:type="dxa" w:w="6336"/>
          </w:tcPr>
          <w:p>
            <w:r/>
            <w:r>
              <w:rPr>
                <w:sz w:val="18"/>
              </w:rPr>
              <w:t>Diseñar un hecho y sus dimensiones relevante para la toma de decisiones, con su diseño físico documentado</w:t>
            </w:r>
          </w:p>
        </w:tc>
        <w:tc>
          <w:tcPr>
            <w:tcW w:type="dxa" w:w="1728"/>
          </w:tcPr>
          <w:p>
            <w:r/>
            <w:r>
              <w:rPr>
                <w:sz w:val="18"/>
              </w:rPr>
              <w:t>1</w:t>
            </w:r>
          </w:p>
        </w:tc>
      </w:tr>
      <w:tr>
        <w:tc>
          <w:tcPr>
            <w:tcW w:type="dxa" w:w="576"/>
          </w:tcPr>
          <w:p>
            <w:r/>
            <w:r>
              <w:rPr>
                <w:sz w:val="18"/>
              </w:rPr>
              <w:t>2</w:t>
            </w:r>
          </w:p>
        </w:tc>
        <w:tc>
          <w:tcPr>
            <w:tcW w:type="dxa" w:w="6336"/>
          </w:tcPr>
          <w:p>
            <w:r/>
            <w:r>
              <w:rPr>
                <w:sz w:val="18"/>
              </w:rPr>
              <w:t>Construir el almacén de datos y la base multidimensional sobre una tecnología concreta, con evidencia de su implementación</w:t>
            </w:r>
          </w:p>
        </w:tc>
        <w:tc>
          <w:tcPr>
            <w:tcW w:type="dxa" w:w="1728"/>
          </w:tcPr>
          <w:p>
            <w:r/>
            <w:r>
              <w:rPr>
                <w:sz w:val="18"/>
              </w:rPr>
              <w:t>2</w:t>
            </w:r>
          </w:p>
        </w:tc>
      </w:tr>
      <w:tr>
        <w:tc>
          <w:tcPr>
            <w:tcW w:type="dxa" w:w="576"/>
          </w:tcPr>
          <w:p>
            <w:r/>
            <w:r>
              <w:rPr>
                <w:sz w:val="18"/>
              </w:rPr>
              <w:t>3</w:t>
            </w:r>
          </w:p>
        </w:tc>
        <w:tc>
          <w:tcPr>
            <w:tcW w:type="dxa" w:w="6336"/>
          </w:tcPr>
          <w:p>
            <w:r/>
            <w:r>
              <w:rPr>
                <w:sz w:val="18"/>
              </w:rPr>
              <w:t>Extender el repositorio de metadatos de la Entrega 1 para que también describa el almacén y sus procesos</w:t>
            </w:r>
          </w:p>
        </w:tc>
        <w:tc>
          <w:tcPr>
            <w:tcW w:type="dxa" w:w="1728"/>
          </w:tcPr>
          <w:p>
            <w:r/>
            <w:r>
              <w:rPr>
                <w:sz w:val="18"/>
              </w:rPr>
              <w:t>3</w:t>
            </w:r>
          </w:p>
        </w:tc>
      </w:tr>
      <w:tr>
        <w:tc>
          <w:tcPr>
            <w:tcW w:type="dxa" w:w="576"/>
          </w:tcPr>
          <w:p>
            <w:r/>
            <w:r>
              <w:rPr>
                <w:sz w:val="18"/>
              </w:rPr>
              <w:t>4</w:t>
            </w:r>
          </w:p>
        </w:tc>
        <w:tc>
          <w:tcPr>
            <w:tcW w:type="dxa" w:w="6336"/>
          </w:tcPr>
          <w:p>
            <w:r/>
            <w:r>
              <w:rPr>
                <w:sz w:val="18"/>
              </w:rPr>
              <w:t>Construir los procesos ETL fuente → almacén, resolviendo los problemas de calidad detectados en la Entrega 1</w:t>
            </w:r>
          </w:p>
        </w:tc>
        <w:tc>
          <w:tcPr>
            <w:tcW w:type="dxa" w:w="1728"/>
          </w:tcPr>
          <w:p>
            <w:r/>
            <w:r>
              <w:rPr>
                <w:sz w:val="18"/>
              </w:rPr>
              <w:t>4</w:t>
            </w:r>
          </w:p>
        </w:tc>
      </w:tr>
      <w:tr>
        <w:tc>
          <w:tcPr>
            <w:tcW w:type="dxa" w:w="576"/>
          </w:tcPr>
          <w:p>
            <w:r/>
            <w:r>
              <w:rPr>
                <w:sz w:val="18"/>
              </w:rPr>
              <w:t>5</w:t>
            </w:r>
          </w:p>
        </w:tc>
        <w:tc>
          <w:tcPr>
            <w:tcW w:type="dxa" w:w="6336"/>
          </w:tcPr>
          <w:p>
            <w:r/>
            <w:r>
              <w:rPr>
                <w:sz w:val="18"/>
              </w:rPr>
              <w:t>Diseñar reportes que exploten el almacén sin depender de las fuentes originales</w:t>
            </w:r>
          </w:p>
        </w:tc>
        <w:tc>
          <w:tcPr>
            <w:tcW w:type="dxa" w:w="1728"/>
          </w:tcPr>
          <w:p>
            <w:r/>
            <w:r>
              <w:rPr>
                <w:sz w:val="18"/>
              </w:rPr>
              <w:t>5</w:t>
            </w:r>
          </w:p>
        </w:tc>
      </w:tr>
    </w:tbl>
    <w:p/>
    <w:p>
      <w:pPr>
        <w:pStyle w:val="Heading2"/>
      </w:pPr>
      <w:r>
        <w:t>Alcance del proyecto</w:t>
      </w:r>
    </w:p>
    <w:p>
      <w:r>
        <w:t>El proyecto implementa un modelo en constelación con dos hechos (fact_ventas y fact_llamadas_servicio), seis dimensiones y dos vistas de Data Mart, cargados por un pipeline de siete capas físicas. Quedan deliberadamente fuera de alcance, con su justificación documentada en este informe: una capa de Operational Data Store (ODS) independiente — las fuentes ya llegan como snapshots completos, sin necesidad de una capa operacional intermedia —, y dimensiones de tipo 2 (con historial de cambios) — las fuentes son extracciones puntuales sin captura de cambios, así que no existe historial real que preservar (ver sección 3.2).</w:t>
      </w:r>
    </w:p>
    <w:p>
      <w:pPr>
        <w:pStyle w:val="Heading1"/>
      </w:pPr>
      <w:r>
        <w:t>Marco teórico y metodológico</w:t>
      </w:r>
    </w:p>
    <w:p>
      <w:pPr>
        <w:pStyle w:val="Heading2"/>
      </w:pPr>
      <w:r>
        <w:t>Modelamiento dimensional (Kimball)</w:t>
      </w:r>
    </w:p>
    <w:p>
      <w:r>
        <w:t>El diseño del almacén sigue la metodología de Ralph Kimball (Kimball &amp; Ross, The Data Warehouse Toolkit, 3.ª ed., 2013), que define cuatro pasos para diseñar un hecho: elegir el proceso de negocio, declarar el grano (qué representa exactamente una fila), identificar las dimensiones que lo describen y, por último, identificar las medidas. Este proyecto aplica ese proceso dos veces —una por cada proceso de negocio, ventas y servicio— porque forzar dos procesos de grano distinto dentro de un solo hecho viola el principio de uniformidad del grano y produce medidas sin sentido al agregarlas.</w:t>
      </w:r>
    </w:p>
    <w:p>
      <w:r>
        <w:t>Cuando dos hechos de grano distinto comparten dimensiones — en este caso, dim_cliente y dim_producto —, Kimball llama a esa configuración una constelación de hechos (fact constellation), y a las dimensiones compartidas dimensiones conformadas: la condición necesaria para conformarlas es que representen exactamente la misma entidad de negocio en ambos procesos, con la misma granularidad y el mismo significado de llave. Esa condición se verificó empíricamente en la Entrega 1 (perfilamiento de solape de llaves), no se asumió.</w:t>
      </w:r>
    </w:p>
    <w:p>
      <w:pPr>
        <w:pStyle w:val="Heading2"/>
      </w:pPr>
      <w:r>
        <w:t>Arquitectura de integración de datos (Giordano)</w:t>
      </w:r>
    </w:p>
    <w:p>
      <w:r>
        <w:t>El proceso ETL sigue la arquitectura de referencia de Anthony Giordano (Data Integration Blueprint and Modeling, 2011), cuyo principio central es que cada etapa de la integración — extracción, evaluación de calidad, limpieza, transformación, publicación y carga — debe quedar persistida como una estructura física propia, no como un paso efímero en memoria. La ventaja no es estética: un pipeline que solo existe en memoria es una caja negra que hay que confiar de buena fe, mientras que uno con cada capa persistida es auditable — se puede consultar, con SQL corriente, exactamente qué entró, qué se rechazó y por qué, en cualquier corrida pasada.</w:t>
      </w:r>
    </w:p>
    <w:p>
      <w:pPr>
        <w:pStyle w:val="Heading2"/>
      </w:pPr>
      <w:r>
        <w:t>Gobierno de metadatos (DAMA-DMBOK)</w:t>
      </w:r>
    </w:p>
    <w:p>
      <w:r>
        <w:t>La extensión del repositorio de metadatos sigue el marco de gestión de datos de DAMA International (DAMA-DMBOK, 2.ª ed., 2017), que distingue cuatro categorías de metadatos: de negocio (el significado de los datos para la organización), técnicos (la estructura física de las tablas y columnas), de procesos (qué transformaciones se les aplicaron y cuándo) y de uso (quién y con qué frecuencia consulta cada objeto). Un repositorio que solo cubre las dos primeras categorías —como es habitual en proyectos que se quedan en el modelo técnico— no permite responder preguntas de gobierno tan básicas como "¿qué reportes se rompen si cambio esta columna?"; esa es la motivación detrás de extender el repositorio con las categorías de Procesos y Uso en esta entrega.</w:t>
      </w:r>
    </w:p>
    <w:p>
      <w:r>
        <w:br w:type="page"/>
      </w:r>
    </w:p>
    <w:p>
      <w:pPr>
        <w:pStyle w:val="Heading1"/>
      </w:pPr>
      <w:r>
        <w:t>Configuración del entorno de ejecución</w:t>
      </w:r>
    </w:p>
    <w:p>
      <w:r>
        <w:t>Todo el proyecto corre en local mediante Docker, sin cuentas en la nube ni credenciales que gestionar manualmente. Solo se requieren Docker y Python 3.9 o superior; la sección 2.4 de este documento justifica técnicamente esta decisión frente a la alternativa recomendada en el enunciado de la Entrega 1 (Railway).</w:t>
      </w:r>
    </w:p>
    <w:p>
      <w:pPr>
        <w:pStyle w:val="Heading2"/>
      </w:pPr>
      <w:r>
        <w:t>Arranque</w:t>
      </w:r>
    </w:p>
    <w:p>
      <w:r>
        <w:rPr>
          <w:rFonts w:ascii="Consolas" w:hAnsi="Consolas"/>
          <w:sz w:val="19"/>
        </w:rPr>
        <w:t>git clone &lt;url-del-repositorio&gt;</w:t>
        <w:br/>
        <w:t>cd proyecto-modelos-datos</w:t>
        <w:br/>
        <w:t>python run_all.py --reset</w:t>
      </w:r>
    </w:p>
    <w:p>
      <w:r>
        <w:t>run_all.py levanta docker-compose.yml, restaura las dos fuentes, instala las dependencias de Python y ejecuta un pipeline de 27 pasos: perfilamiento de las fuentes, esquema núcleo y de staging del repositorio de metadatos, ETL de metadatos técnicos y de negocio, extensiones del almacén y de uso, esquema del almacén y sus capas de staging, Data Marts, los tres procesos ETL del almacén, catálogo de metadatos del almacén, metadatos de uso, tres tests automatizados, el dashboard de Metabase, los dos backups, la verificación de que restauran, y los diagramas físicos.</w:t>
      </w:r>
    </w:p>
    <w:p>
      <w:pPr>
        <w:pStyle w:val="Heading2"/>
      </w:pPr>
      <w:r>
        <w:t>Servicios y accesos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880"/>
            <w:shd w:val="clear" w:color="auto" w:fill="1F3A5F"/>
            <w:vAlign w:val="center"/>
          </w:tcPr>
          <w:p>
            <w:r/>
            <w:r>
              <w:rPr>
                <w:b/>
                <w:color w:val="FFFFFF"/>
                <w:sz w:val="18"/>
              </w:rPr>
              <w:t>Servicio</w:t>
            </w:r>
          </w:p>
        </w:tc>
        <w:tc>
          <w:tcPr>
            <w:tcW w:type="dxa" w:w="3168"/>
            <w:shd w:val="clear" w:color="auto" w:fill="1F3A5F"/>
            <w:vAlign w:val="center"/>
          </w:tcPr>
          <w:p>
            <w:r/>
            <w:r>
              <w:rPr>
                <w:b/>
                <w:color w:val="FFFFFF"/>
                <w:sz w:val="18"/>
              </w:rPr>
              <w:t>Dirección</w:t>
            </w:r>
          </w:p>
        </w:tc>
        <w:tc>
          <w:tcPr>
            <w:tcW w:type="dxa" w:w="3168"/>
            <w:shd w:val="clear" w:color="auto" w:fill="1F3A5F"/>
            <w:vAlign w:val="center"/>
          </w:tcPr>
          <w:p>
            <w:r/>
            <w:r>
              <w:rPr>
                <w:b/>
                <w:color w:val="FFFFFF"/>
                <w:sz w:val="18"/>
              </w:rPr>
              <w:t>Acceso</w:t>
            </w:r>
          </w:p>
        </w:tc>
      </w:tr>
      <w:tr>
        <w:tc>
          <w:tcPr>
            <w:tcW w:type="dxa" w:w="2880"/>
          </w:tcPr>
          <w:p>
            <w:r/>
            <w:r>
              <w:rPr>
                <w:sz w:val="18"/>
              </w:rPr>
              <w:t>Reportes (Metabase)</w:t>
            </w:r>
          </w:p>
        </w:tc>
        <w:tc>
          <w:tcPr>
            <w:tcW w:type="dxa" w:w="3168"/>
          </w:tcPr>
          <w:p>
            <w:r/>
            <w:r>
              <w:rPr>
                <w:sz w:val="18"/>
              </w:rPr>
              <w:t>http://localhost:3000</w:t>
            </w:r>
          </w:p>
        </w:tc>
        <w:tc>
          <w:tcPr>
            <w:tcW w:type="dxa" w:w="3168"/>
          </w:tcPr>
          <w:p>
            <w:r/>
            <w:r>
              <w:rPr>
                <w:sz w:val="18"/>
              </w:rPr>
              <w:t>grupo@javeriana.edu.co / Javeriana2026!</w:t>
            </w:r>
          </w:p>
        </w:tc>
      </w:tr>
      <w:tr>
        <w:tc>
          <w:tcPr>
            <w:tcW w:type="dxa" w:w="2880"/>
          </w:tcPr>
          <w:p>
            <w:r/>
            <w:r>
              <w:rPr>
                <w:sz w:val="18"/>
              </w:rPr>
              <w:t>Almacén de datos</w:t>
            </w:r>
          </w:p>
        </w:tc>
        <w:tc>
          <w:tcPr>
            <w:tcW w:type="dxa" w:w="3168"/>
          </w:tcPr>
          <w:p>
            <w:r/>
            <w:r>
              <w:rPr>
                <w:sz w:val="18"/>
              </w:rPr>
              <w:t>localhost:5434, base dw</w:t>
            </w:r>
          </w:p>
        </w:tc>
        <w:tc>
          <w:tcPr>
            <w:tcW w:type="dxa" w:w="3168"/>
          </w:tcPr>
          <w:p>
            <w:r/>
            <w:r>
              <w:rPr>
                <w:sz w:val="18"/>
              </w:rPr>
              <w:t>postgres / javeriana</w:t>
            </w:r>
          </w:p>
        </w:tc>
      </w:tr>
      <w:tr>
        <w:tc>
          <w:tcPr>
            <w:tcW w:type="dxa" w:w="2880"/>
          </w:tcPr>
          <w:p>
            <w:r/>
            <w:r>
              <w:rPr>
                <w:sz w:val="18"/>
              </w:rPr>
              <w:t>Repositorio de metadatos</w:t>
            </w:r>
          </w:p>
        </w:tc>
        <w:tc>
          <w:tcPr>
            <w:tcW w:type="dxa" w:w="3168"/>
          </w:tcPr>
          <w:p>
            <w:r/>
            <w:r>
              <w:rPr>
                <w:sz w:val="18"/>
              </w:rPr>
              <w:t>localhost:5434, base metadata</w:t>
            </w:r>
          </w:p>
        </w:tc>
        <w:tc>
          <w:tcPr>
            <w:tcW w:type="dxa" w:w="3168"/>
          </w:tcPr>
          <w:p>
            <w:r/>
            <w:r>
              <w:rPr>
                <w:sz w:val="18"/>
              </w:rPr>
              <w:t>postgres / javeriana</w:t>
            </w:r>
          </w:p>
        </w:tc>
      </w:tr>
      <w:tr>
        <w:tc>
          <w:tcPr>
            <w:tcW w:type="dxa" w:w="2880"/>
          </w:tcPr>
          <w:p>
            <w:r/>
            <w:r>
              <w:rPr>
                <w:sz w:val="18"/>
              </w:rPr>
              <w:t>classicmodels (MySQL)</w:t>
            </w:r>
          </w:p>
        </w:tc>
        <w:tc>
          <w:tcPr>
            <w:tcW w:type="dxa" w:w="3168"/>
          </w:tcPr>
          <w:p>
            <w:r/>
            <w:r>
              <w:rPr>
                <w:sz w:val="18"/>
              </w:rPr>
              <w:t>localhost:3307</w:t>
            </w:r>
          </w:p>
        </w:tc>
        <w:tc>
          <w:tcPr>
            <w:tcW w:type="dxa" w:w="3168"/>
          </w:tcPr>
          <w:p>
            <w:r/>
            <w:r>
              <w:rPr>
                <w:sz w:val="18"/>
              </w:rPr>
              <w:t>root / javeriana</w:t>
            </w:r>
          </w:p>
        </w:tc>
      </w:tr>
      <w:tr>
        <w:tc>
          <w:tcPr>
            <w:tcW w:type="dxa" w:w="2880"/>
          </w:tcPr>
          <w:p>
            <w:r/>
            <w:r>
              <w:rPr>
                <w:sz w:val="18"/>
              </w:rPr>
              <w:t>customerservice (PostgreSQL)</w:t>
            </w:r>
          </w:p>
        </w:tc>
        <w:tc>
          <w:tcPr>
            <w:tcW w:type="dxa" w:w="3168"/>
          </w:tcPr>
          <w:p>
            <w:r/>
            <w:r>
              <w:rPr>
                <w:sz w:val="18"/>
              </w:rPr>
              <w:t>localhost:5433</w:t>
            </w:r>
          </w:p>
        </w:tc>
        <w:tc>
          <w:tcPr>
            <w:tcW w:type="dxa" w:w="3168"/>
          </w:tcPr>
          <w:p>
            <w:r/>
            <w:r>
              <w:rPr>
                <w:sz w:val="18"/>
              </w:rPr>
              <w:t>postgres / javeriana</w:t>
            </w:r>
          </w:p>
        </w:tc>
      </w:tr>
    </w:tbl>
    <w:p/>
    <w:p>
      <w:r>
        <w:rPr>
          <w:i/>
          <w:color w:val="5A5A5A"/>
          <w:sz w:val="18"/>
        </w:rPr>
        <w:t>Credenciales del stack LOCAL de Docker, públicas a propósito. No corresponden a ningún servicio expuesto en internet.</w:t>
      </w:r>
    </w:p>
    <w:p>
      <w:r>
        <w:rPr>
          <w:b/>
          <w:sz w:val="18"/>
        </w:rPr>
        <w:t>Evidencia — corrida completa real de los 27 pasos, verificada en esta sesión: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run_all.py --reset</w:t>
            </w:r>
          </w:p>
          <w:p>
            <w:r>
              <w:rPr>
                <w:rFonts w:ascii="Consolas" w:hAnsi="Consolas"/>
                <w:color w:val="D8E8D8"/>
                <w:sz w:val="16"/>
              </w:rPr>
              <w:t>[1/27] Profiling: technical metadata and column profile from the dumps</w:t>
            </w:r>
          </w:p>
          <w:p>
            <w:r>
              <w:rPr>
                <w:rFonts w:ascii="Consolas" w:hAnsi="Consolas"/>
                <w:color w:val="D8E8D8"/>
                <w:sz w:val="16"/>
              </w:rPr>
              <w:t>...</w:t>
            </w:r>
          </w:p>
          <w:p>
            <w:r>
              <w:rPr>
                <w:rFonts w:ascii="Consolas" w:hAnsi="Consolas"/>
                <w:color w:val="D8E8D8"/>
                <w:sz w:val="16"/>
              </w:rPr>
              <w:t>[15/27] Data warehouse ETL: layers 1-4 (extract, quality, clean staging)</w:t>
            </w:r>
          </w:p>
          <w:p>
            <w:r>
              <w:rPr>
                <w:rFonts w:ascii="Consolas" w:hAnsi="Consolas"/>
                <w:color w:val="D8E8D8"/>
                <w:sz w:val="16"/>
              </w:rPr>
              <w:t>[16/27] Data warehouse ETL: layers 5-7, dimensions</w:t>
            </w:r>
          </w:p>
          <w:p>
            <w:r>
              <w:rPr>
                <w:rFonts w:ascii="Consolas" w:hAnsi="Consolas"/>
                <w:color w:val="D8E8D8"/>
                <w:sz w:val="16"/>
              </w:rPr>
              <w:t>[17/27] Data warehouse ETL: layers 5-7, facts</w:t>
            </w:r>
          </w:p>
          <w:p>
            <w:r>
              <w:rPr>
                <w:rFonts w:ascii="Consolas" w:hAnsi="Consolas"/>
                <w:color w:val="D8E8D8"/>
                <w:sz w:val="16"/>
              </w:rPr>
              <w:t>...</w:t>
            </w:r>
          </w:p>
          <w:p>
            <w:r>
              <w:rPr>
                <w:rFonts w:ascii="Consolas" w:hAnsi="Consolas"/>
                <w:color w:val="D8E8D8"/>
                <w:sz w:val="16"/>
              </w:rPr>
              <w:t>[20/27] Test: warehouse totals against the sources</w:t>
            </w:r>
          </w:p>
          <w:p>
            <w:r>
              <w:rPr>
                <w:rFonts w:ascii="Consolas" w:hAnsi="Consolas"/>
                <w:color w:val="D8E8D8"/>
                <w:sz w:val="16"/>
              </w:rPr>
              <w:t>[21/27] Test: data quality rejection path (synthetic data)</w:t>
            </w:r>
          </w:p>
          <w:p>
            <w:r>
              <w:rPr>
                <w:rFonts w:ascii="Consolas" w:hAnsi="Consolas"/>
                <w:color w:val="D8E8D8"/>
                <w:sz w:val="16"/>
              </w:rPr>
              <w:t>[22/27] Test: warehouse load freshness (MONITOREO)</w:t>
            </w:r>
          </w:p>
          <w:p>
            <w:r>
              <w:rPr>
                <w:rFonts w:ascii="Consolas" w:hAnsi="Consolas"/>
                <w:color w:val="D8E8D8"/>
                <w:sz w:val="16"/>
              </w:rPr>
              <w:t>...</w:t>
            </w:r>
          </w:p>
          <w:p>
            <w:r>
              <w:rPr>
                <w:rFonts w:ascii="Consolas" w:hAnsi="Consolas"/>
                <w:color w:val="D8E8D8"/>
                <w:sz w:val="16"/>
              </w:rPr>
              <w:t>[27/27] Diagrams: physical models and ETL pipeline</w:t>
            </w:r>
          </w:p>
          <w:p>
            <w:r>
              <w:rPr>
                <w:rFonts w:ascii="Consolas" w:hAnsi="Consolas"/>
                <w:color w:val="D8E8D8"/>
                <w:sz w:val="16"/>
              </w:rPr>
            </w:r>
          </w:p>
          <w:p>
            <w:r>
              <w:rPr>
                <w:rFonts w:ascii="Consolas" w:hAnsi="Consolas"/>
                <w:color w:val="D8E8D8"/>
                <w:sz w:val="16"/>
              </w:rPr>
              <w:t>Done</w:t>
            </w:r>
          </w:p>
        </w:tc>
      </w:tr>
    </w:tbl>
    <w:p/>
    <w:p>
      <w:r>
        <w:br w:type="page"/>
      </w:r>
    </w:p>
    <w:p>
      <w:pPr>
        <w:pStyle w:val="Heading1"/>
      </w:pPr>
      <w:r>
        <w:t>1. Diseño físico del almacén y la base dimensional (25%)</w:t>
      </w:r>
    </w:p>
    <w:p>
      <w:pPr>
        <w:pStyle w:val="Heading2"/>
      </w:pPr>
      <w:r>
        <w:t>1.1 El proceso de negocio y el hecho diseñado</w:t>
      </w:r>
    </w:p>
    <w:p>
      <w:r>
        <w:t>Desde la perspectiva de un gerente comercial, la pregunta que este almacén debe responder es concreta: de todo lo que la compañía vende, ¿qué tanto le cuesta en llamadas de soporte cada producto? Un producto que vende poco pero genera muchas llamadas es un candidato a revisión de calidad o de documentación; uno que vende mucho y genera pocas llamadas es una historia de éxito que vale la pena entender y replicar. Ninguna de las dos fuentes por separado puede contestar esa pregunta: hay que cruzarlas.</w:t>
      </w:r>
    </w:p>
    <w:p>
      <w:r>
        <w:t>Aplicando el proceso de diseño de Kimball, se identificaron dos procesos de negocio distintos, cada uno con su propio hecho:</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304"/>
            <w:shd w:val="clear" w:color="auto" w:fill="1F3A5F"/>
            <w:vAlign w:val="center"/>
          </w:tcPr>
          <w:p>
            <w:r/>
            <w:r>
              <w:rPr>
                <w:b/>
                <w:color w:val="FFFFFF"/>
                <w:sz w:val="18"/>
              </w:rPr>
              <w:t>Proceso de negocio</w:t>
            </w:r>
          </w:p>
        </w:tc>
        <w:tc>
          <w:tcPr>
            <w:tcW w:type="dxa" w:w="2448"/>
            <w:shd w:val="clear" w:color="auto" w:fill="1F3A5F"/>
            <w:vAlign w:val="center"/>
          </w:tcPr>
          <w:p>
            <w:r/>
            <w:r>
              <w:rPr>
                <w:b/>
                <w:color w:val="FFFFFF"/>
                <w:sz w:val="18"/>
              </w:rPr>
              <w:t>Hecho</w:t>
            </w:r>
          </w:p>
        </w:tc>
        <w:tc>
          <w:tcPr>
            <w:tcW w:type="dxa" w:w="3600"/>
            <w:shd w:val="clear" w:color="auto" w:fill="1F3A5F"/>
            <w:vAlign w:val="center"/>
          </w:tcPr>
          <w:p>
            <w:r/>
            <w:r>
              <w:rPr>
                <w:b/>
                <w:color w:val="FFFFFF"/>
                <w:sz w:val="18"/>
              </w:rPr>
              <w:t>Grano (qué es una fila)</w:t>
            </w:r>
          </w:p>
        </w:tc>
        <w:tc>
          <w:tcPr>
            <w:tcW w:type="dxa" w:w="1008"/>
            <w:shd w:val="clear" w:color="auto" w:fill="1F3A5F"/>
            <w:vAlign w:val="center"/>
          </w:tcPr>
          <w:p>
            <w:r/>
            <w:r>
              <w:rPr>
                <w:b/>
                <w:color w:val="FFFFFF"/>
                <w:sz w:val="18"/>
              </w:rPr>
              <w:t>Filas</w:t>
            </w:r>
          </w:p>
        </w:tc>
      </w:tr>
      <w:tr>
        <w:tc>
          <w:tcPr>
            <w:tcW w:type="dxa" w:w="2304"/>
          </w:tcPr>
          <w:p>
            <w:r/>
            <w:r>
              <w:rPr>
                <w:sz w:val="18"/>
              </w:rPr>
              <w:t>Ventas</w:t>
            </w:r>
          </w:p>
        </w:tc>
        <w:tc>
          <w:tcPr>
            <w:tcW w:type="dxa" w:w="2448"/>
          </w:tcPr>
          <w:p>
            <w:r/>
            <w:r>
              <w:rPr>
                <w:sz w:val="18"/>
              </w:rPr>
              <w:t>fact_ventas</w:t>
            </w:r>
          </w:p>
        </w:tc>
        <w:tc>
          <w:tcPr>
            <w:tcW w:type="dxa" w:w="3600"/>
          </w:tcPr>
          <w:p>
            <w:r/>
            <w:r>
              <w:rPr>
                <w:sz w:val="18"/>
              </w:rPr>
              <w:t>Una línea de una orden de compra</w:t>
            </w:r>
          </w:p>
        </w:tc>
        <w:tc>
          <w:tcPr>
            <w:tcW w:type="dxa" w:w="1008"/>
          </w:tcPr>
          <w:p>
            <w:r/>
            <w:r>
              <w:rPr>
                <w:sz w:val="18"/>
              </w:rPr>
              <w:t>2.996</w:t>
            </w:r>
          </w:p>
        </w:tc>
      </w:tr>
      <w:tr>
        <w:tc>
          <w:tcPr>
            <w:tcW w:type="dxa" w:w="2304"/>
          </w:tcPr>
          <w:p>
            <w:r/>
            <w:r>
              <w:rPr>
                <w:sz w:val="18"/>
              </w:rPr>
              <w:t>Servicio al cliente</w:t>
            </w:r>
          </w:p>
        </w:tc>
        <w:tc>
          <w:tcPr>
            <w:tcW w:type="dxa" w:w="2448"/>
          </w:tcPr>
          <w:p>
            <w:r/>
            <w:r>
              <w:rPr>
                <w:sz w:val="18"/>
              </w:rPr>
              <w:t>fact_llamadas_servicio</w:t>
            </w:r>
          </w:p>
        </w:tc>
        <w:tc>
          <w:tcPr>
            <w:tcW w:type="dxa" w:w="3600"/>
          </w:tcPr>
          <w:p>
            <w:r/>
            <w:r>
              <w:rPr>
                <w:sz w:val="18"/>
              </w:rPr>
              <w:t>Una llamada al centro de servicio</w:t>
            </w:r>
          </w:p>
        </w:tc>
        <w:tc>
          <w:tcPr>
            <w:tcW w:type="dxa" w:w="1008"/>
          </w:tcPr>
          <w:p>
            <w:r/>
            <w:r>
              <w:rPr>
                <w:sz w:val="18"/>
              </w:rPr>
              <w:t>108</w:t>
            </w:r>
          </w:p>
        </w:tc>
      </w:tr>
    </w:tbl>
    <w:p/>
    <w:p>
      <w:r>
        <w:t>No se fusionaron en un solo hecho porque tienen grano distinto: una venta no es una llamada, y una fila que intentara representar ambas cosas a la vez produciría medidas sin significado al agregarlas (por ejemplo, sumar "cantidad_ordenada" y "cantidad_llamadas" en la misma columna no tendría interpretación de negocio). Lo que permite analizarlos juntos, sin fusionarlos, son las dimensiones conformadas dim_cliente, dim_producto y dim_tiempo: el perfilamiento de la Entrega 1 verificó que las llaves de negocio de cliente y de producto solapan al 100% entre las dos fuentes, condición necesaria para que Kimball las considere conformables. Esta configuración —varios hechos de distinto grano que comparten dimensiones— se conoce como constelación de hechos.</w:t>
      </w:r>
    </w:p>
    <w:p>
      <w:r>
        <w:rPr>
          <w:b/>
        </w:rPr>
        <w:t xml:space="preserve">Pregunta de negocio que motiva el diseño: </w:t>
      </w:r>
      <w:r>
        <w:t>¿qué productos generan más llamadas de servicio por unidad vendida? Se resuelve en la vista dm.vw_interaccion_cliente_producto (sección 1.4) y se visualiza en el reporte 2 del dashboard (sección 5.3).</w:t>
      </w:r>
    </w:p>
    <w:p>
      <w:pPr>
        <w:pStyle w:val="Heading2"/>
      </w:pPr>
      <w:r>
        <w:t>1.2 Diagrama físico del modelo dimensional</w:t>
      </w:r>
    </w:p>
    <w:p>
      <w:r>
        <w:t>Generado con Graphviz a partir del esquema real de la base dw, no de un dibujo hecho a mano — se reconstruye automáticamente cada vez que el esquema cambia (tools/generate_diagrams.py).</w:t>
      </w:r>
    </w:p>
    <w:p>
      <w:pPr>
        <w:jc w:val="center"/>
      </w:pPr>
      <w:r>
        <w:drawing>
          <wp:inline xmlns:a="http://schemas.openxmlformats.org/drawingml/2006/main" xmlns:pic="http://schemas.openxmlformats.org/drawingml/2006/picture">
            <wp:extent cx="2606040" cy="7599125"/>
            <wp:docPr id="1" name="Picture 1"/>
            <wp:cNvGraphicFramePr>
              <a:graphicFrameLocks noChangeAspect="1"/>
            </wp:cNvGraphicFramePr>
            <a:graphic>
              <a:graphicData uri="http://schemas.openxmlformats.org/drawingml/2006/picture">
                <pic:pic>
                  <pic:nvPicPr>
                    <pic:cNvPr id="0" name="dw_star_schema.png"/>
                    <pic:cNvPicPr/>
                  </pic:nvPicPr>
                  <pic:blipFill>
                    <a:blip r:embed="rId9"/>
                    <a:stretch>
                      <a:fillRect/>
                    </a:stretch>
                  </pic:blipFill>
                  <pic:spPr>
                    <a:xfrm>
                      <a:off x="0" y="0"/>
                      <a:ext cx="2606040" cy="7599125"/>
                    </a:xfrm>
                    <a:prstGeom prst="rect"/>
                  </pic:spPr>
                </pic:pic>
              </a:graphicData>
            </a:graphic>
          </wp:inline>
        </w:drawing>
      </w:r>
    </w:p>
    <w:p>
      <w:pPr>
        <w:jc w:val="center"/>
      </w:pPr>
      <w:r>
        <w:rPr>
          <w:i/>
          <w:color w:val="5A5A5A"/>
          <w:sz w:val="18"/>
        </w:rPr>
        <w:t>Figura 1. Modelo dimensional del almacén (constelación de hechos).</w:t>
      </w:r>
    </w:p>
    <w:p/>
    <w:p>
      <w:pPr>
        <w:pStyle w:val="Heading2"/>
      </w:pPr>
      <w:r>
        <w:t>1.3 Las tablas y su significado</w:t>
      </w:r>
    </w:p>
    <w:p>
      <w:r>
        <w:t>Las medidas de un hecho se clasifican, según Kimball, en tres tipos de aditividad: aditivas (se pueden sumar sobre cualquier dimensión, como una cantidad de unidades), semi-aditivas (se pueden sumar sobre algunas dimensiones pero no todas, típicamente no sobre el tiempo, como un saldo) y no aditivas (no tiene sentido sumarlas nunca, como un precio unitario o un porcentaje; se promedian o se dejan al nivel de detalle). Esta clasificación no es un detalle académico: determina qué operación puede ejecutar de forma segura una herramienta de BI sin que el usuario tenga que saber SQL, y por eso quedó registrada como metadato en dw_measure.additivity (sección 3).</w:t>
      </w:r>
    </w:p>
    <w:p>
      <w:r>
        <w:rPr>
          <w:b/>
        </w:rPr>
        <w:t>fact_ventas — 2.996 filas. Grano: una línea de orden.</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F3A5F"/>
            <w:vAlign w:val="center"/>
          </w:tcPr>
          <w:p>
            <w:r/>
            <w:r>
              <w:rPr>
                <w:b/>
                <w:color w:val="FFFFFF"/>
                <w:sz w:val="18"/>
              </w:rPr>
              <w:t>Medida</w:t>
            </w:r>
          </w:p>
        </w:tc>
        <w:tc>
          <w:tcPr>
            <w:tcW w:type="dxa" w:w="3312"/>
            <w:shd w:val="clear" w:color="auto" w:fill="1F3A5F"/>
            <w:vAlign w:val="center"/>
          </w:tcPr>
          <w:p>
            <w:r/>
            <w:r>
              <w:rPr>
                <w:b/>
                <w:color w:val="FFFFFF"/>
                <w:sz w:val="18"/>
              </w:rPr>
              <w:t>Cálculo</w:t>
            </w:r>
          </w:p>
        </w:tc>
        <w:tc>
          <w:tcPr>
            <w:tcW w:type="dxa" w:w="1296"/>
            <w:shd w:val="clear" w:color="auto" w:fill="1F3A5F"/>
            <w:vAlign w:val="center"/>
          </w:tcPr>
          <w:p>
            <w:r/>
            <w:r>
              <w:rPr>
                <w:b/>
                <w:color w:val="FFFFFF"/>
                <w:sz w:val="18"/>
              </w:rPr>
              <w:t>Aditividad</w:t>
            </w:r>
          </w:p>
        </w:tc>
        <w:tc>
          <w:tcPr>
            <w:tcW w:type="dxa" w:w="2880"/>
            <w:shd w:val="clear" w:color="auto" w:fill="1F3A5F"/>
            <w:vAlign w:val="center"/>
          </w:tcPr>
          <w:p>
            <w:r/>
            <w:r>
              <w:rPr>
                <w:b/>
                <w:color w:val="FFFFFF"/>
                <w:sz w:val="18"/>
              </w:rPr>
              <w:t>Significado de negocio</w:t>
            </w:r>
          </w:p>
        </w:tc>
      </w:tr>
      <w:tr>
        <w:tc>
          <w:tcPr>
            <w:tcW w:type="dxa" w:w="1872"/>
          </w:tcPr>
          <w:p>
            <w:r/>
            <w:r>
              <w:rPr>
                <w:sz w:val="18"/>
              </w:rPr>
              <w:t>cantidad_ordenada</w:t>
            </w:r>
          </w:p>
        </w:tc>
        <w:tc>
          <w:tcPr>
            <w:tcW w:type="dxa" w:w="3312"/>
          </w:tcPr>
          <w:p>
            <w:r/>
            <w:r>
              <w:rPr>
                <w:sz w:val="18"/>
              </w:rPr>
              <w:t>quantityOrdered</w:t>
            </w:r>
          </w:p>
        </w:tc>
        <w:tc>
          <w:tcPr>
            <w:tcW w:type="dxa" w:w="1296"/>
          </w:tcPr>
          <w:p>
            <w:r/>
            <w:r>
              <w:rPr>
                <w:sz w:val="18"/>
              </w:rPr>
              <w:t>Aditiva</w:t>
            </w:r>
          </w:p>
        </w:tc>
        <w:tc>
          <w:tcPr>
            <w:tcW w:type="dxa" w:w="2880"/>
          </w:tcPr>
          <w:p>
            <w:r/>
            <w:r>
              <w:rPr>
                <w:sz w:val="18"/>
              </w:rPr>
              <w:t>Unidades pedidas en la línea</w:t>
            </w:r>
          </w:p>
        </w:tc>
      </w:tr>
      <w:tr>
        <w:tc>
          <w:tcPr>
            <w:tcW w:type="dxa" w:w="1872"/>
          </w:tcPr>
          <w:p>
            <w:r/>
            <w:r>
              <w:rPr>
                <w:sz w:val="18"/>
              </w:rPr>
              <w:t>precio_unitario</w:t>
            </w:r>
          </w:p>
        </w:tc>
        <w:tc>
          <w:tcPr>
            <w:tcW w:type="dxa" w:w="3312"/>
          </w:tcPr>
          <w:p>
            <w:r/>
            <w:r>
              <w:rPr>
                <w:sz w:val="18"/>
              </w:rPr>
              <w:t>priceEach</w:t>
            </w:r>
          </w:p>
        </w:tc>
        <w:tc>
          <w:tcPr>
            <w:tcW w:type="dxa" w:w="1296"/>
          </w:tcPr>
          <w:p>
            <w:r/>
            <w:r>
              <w:rPr>
                <w:sz w:val="18"/>
              </w:rPr>
              <w:t>No aditiva</w:t>
            </w:r>
          </w:p>
        </w:tc>
        <w:tc>
          <w:tcPr>
            <w:tcW w:type="dxa" w:w="2880"/>
          </w:tcPr>
          <w:p>
            <w:r/>
            <w:r>
              <w:rPr>
                <w:sz w:val="18"/>
              </w:rPr>
              <w:t>Precio pactado con el cliente para esa línea</w:t>
            </w:r>
          </w:p>
        </w:tc>
      </w:tr>
      <w:tr>
        <w:tc>
          <w:tcPr>
            <w:tcW w:type="dxa" w:w="1872"/>
          </w:tcPr>
          <w:p>
            <w:r/>
            <w:r>
              <w:rPr>
                <w:sz w:val="18"/>
              </w:rPr>
              <w:t>monto_linea</w:t>
            </w:r>
          </w:p>
        </w:tc>
        <w:tc>
          <w:tcPr>
            <w:tcW w:type="dxa" w:w="3312"/>
          </w:tcPr>
          <w:p>
            <w:r/>
            <w:r>
              <w:rPr>
                <w:sz w:val="18"/>
              </w:rPr>
              <w:t>quantityOrdered * priceEach</w:t>
            </w:r>
          </w:p>
        </w:tc>
        <w:tc>
          <w:tcPr>
            <w:tcW w:type="dxa" w:w="1296"/>
          </w:tcPr>
          <w:p>
            <w:r/>
            <w:r>
              <w:rPr>
                <w:sz w:val="18"/>
              </w:rPr>
              <w:t>Aditiva</w:t>
            </w:r>
          </w:p>
        </w:tc>
        <w:tc>
          <w:tcPr>
            <w:tcW w:type="dxa" w:w="2880"/>
          </w:tcPr>
          <w:p>
            <w:r/>
            <w:r>
              <w:rPr>
                <w:sz w:val="18"/>
              </w:rPr>
              <w:t>Valor facturado — la medida central del almacén</w:t>
            </w:r>
          </w:p>
        </w:tc>
      </w:tr>
      <w:tr>
        <w:tc>
          <w:tcPr>
            <w:tcW w:type="dxa" w:w="1872"/>
          </w:tcPr>
          <w:p>
            <w:r/>
            <w:r>
              <w:rPr>
                <w:sz w:val="18"/>
              </w:rPr>
              <w:t>costo_linea</w:t>
            </w:r>
          </w:p>
        </w:tc>
        <w:tc>
          <w:tcPr>
            <w:tcW w:type="dxa" w:w="3312"/>
          </w:tcPr>
          <w:p>
            <w:r/>
            <w:r>
              <w:rPr>
                <w:sz w:val="18"/>
              </w:rPr>
              <w:t>quantityOrdered * buyPrice</w:t>
            </w:r>
          </w:p>
        </w:tc>
        <w:tc>
          <w:tcPr>
            <w:tcW w:type="dxa" w:w="1296"/>
          </w:tcPr>
          <w:p>
            <w:r/>
            <w:r>
              <w:rPr>
                <w:sz w:val="18"/>
              </w:rPr>
              <w:t>Aditiva</w:t>
            </w:r>
          </w:p>
        </w:tc>
        <w:tc>
          <w:tcPr>
            <w:tcW w:type="dxa" w:w="2880"/>
          </w:tcPr>
          <w:p>
            <w:r/>
            <w:r>
              <w:rPr>
                <w:sz w:val="18"/>
              </w:rPr>
              <w:t>Costo de adquisición de lo vendido</w:t>
            </w:r>
          </w:p>
        </w:tc>
      </w:tr>
      <w:tr>
        <w:tc>
          <w:tcPr>
            <w:tcW w:type="dxa" w:w="1872"/>
          </w:tcPr>
          <w:p>
            <w:r/>
            <w:r>
              <w:rPr>
                <w:sz w:val="18"/>
              </w:rPr>
              <w:t>margen_linea</w:t>
            </w:r>
          </w:p>
        </w:tc>
        <w:tc>
          <w:tcPr>
            <w:tcW w:type="dxa" w:w="3312"/>
          </w:tcPr>
          <w:p>
            <w:r/>
            <w:r>
              <w:rPr>
                <w:sz w:val="18"/>
              </w:rPr>
              <w:t>monto_linea - costo_linea</w:t>
            </w:r>
          </w:p>
        </w:tc>
        <w:tc>
          <w:tcPr>
            <w:tcW w:type="dxa" w:w="1296"/>
          </w:tcPr>
          <w:p>
            <w:r/>
            <w:r>
              <w:rPr>
                <w:sz w:val="18"/>
              </w:rPr>
              <w:t>Aditiva</w:t>
            </w:r>
          </w:p>
        </w:tc>
        <w:tc>
          <w:tcPr>
            <w:tcW w:type="dxa" w:w="2880"/>
          </w:tcPr>
          <w:p>
            <w:r/>
            <w:r>
              <w:rPr>
                <w:sz w:val="18"/>
              </w:rPr>
              <w:t>Utilidad bruta: permite priorizar por rentabilidad, no solo por volumen</w:t>
            </w:r>
          </w:p>
        </w:tc>
      </w:tr>
      <w:tr>
        <w:tc>
          <w:tcPr>
            <w:tcW w:type="dxa" w:w="1872"/>
          </w:tcPr>
          <w:p>
            <w:r/>
            <w:r>
              <w:rPr>
                <w:sz w:val="18"/>
              </w:rPr>
              <w:t>precio_msrp</w:t>
            </w:r>
          </w:p>
        </w:tc>
        <w:tc>
          <w:tcPr>
            <w:tcW w:type="dxa" w:w="3312"/>
          </w:tcPr>
          <w:p>
            <w:r/>
            <w:r>
              <w:rPr>
                <w:sz w:val="18"/>
              </w:rPr>
              <w:t>MSRP</w:t>
            </w:r>
          </w:p>
        </w:tc>
        <w:tc>
          <w:tcPr>
            <w:tcW w:type="dxa" w:w="1296"/>
          </w:tcPr>
          <w:p>
            <w:r/>
            <w:r>
              <w:rPr>
                <w:sz w:val="18"/>
              </w:rPr>
              <w:t>No aditiva</w:t>
            </w:r>
          </w:p>
        </w:tc>
        <w:tc>
          <w:tcPr>
            <w:tcW w:type="dxa" w:w="2880"/>
          </w:tcPr>
          <w:p>
            <w:r/>
            <w:r>
              <w:rPr>
                <w:sz w:val="18"/>
              </w:rPr>
              <w:t>Precio sugerido; mide el descuento efectivo aplicado</w:t>
            </w:r>
          </w:p>
        </w:tc>
      </w:tr>
      <w:tr>
        <w:tc>
          <w:tcPr>
            <w:tcW w:type="dxa" w:w="1872"/>
          </w:tcPr>
          <w:p>
            <w:r/>
            <w:r>
              <w:rPr>
                <w:sz w:val="18"/>
              </w:rPr>
              <w:t>dias_hasta_envio</w:t>
            </w:r>
          </w:p>
        </w:tc>
        <w:tc>
          <w:tcPr>
            <w:tcW w:type="dxa" w:w="3312"/>
          </w:tcPr>
          <w:p>
            <w:r/>
            <w:r>
              <w:rPr>
                <w:sz w:val="18"/>
              </w:rPr>
              <w:t>shippedDate - orderDate; nulo si no se despachó</w:t>
            </w:r>
          </w:p>
        </w:tc>
        <w:tc>
          <w:tcPr>
            <w:tcW w:type="dxa" w:w="1296"/>
          </w:tcPr>
          <w:p>
            <w:r/>
            <w:r>
              <w:rPr>
                <w:sz w:val="18"/>
              </w:rPr>
              <w:t>Semi-aditiva</w:t>
            </w:r>
          </w:p>
        </w:tc>
        <w:tc>
          <w:tcPr>
            <w:tcW w:type="dxa" w:w="2880"/>
          </w:tcPr>
          <w:p>
            <w:r/>
            <w:r>
              <w:rPr>
                <w:sz w:val="18"/>
              </w:rPr>
              <w:t>Tiempo de cumplimiento logístico</w:t>
            </w:r>
          </w:p>
        </w:tc>
      </w:tr>
    </w:tbl>
    <w:p/>
    <w:p>
      <w:r>
        <w:t>Dimensiones degeneradas: numero_orden, numero_linea — identificadores del sistema origen que no justifican una tabla propia, así que viven dentro del hecho.</w:t>
      </w:r>
    </w:p>
    <w:p>
      <w:r>
        <w:rPr>
          <w:b/>
        </w:rPr>
        <w:t>fact_llamadas_servicio — 108 filas. Grano: una llamada.</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F3A5F"/>
            <w:vAlign w:val="center"/>
          </w:tcPr>
          <w:p>
            <w:r/>
            <w:r>
              <w:rPr>
                <w:b/>
                <w:color w:val="FFFFFF"/>
                <w:sz w:val="18"/>
              </w:rPr>
              <w:t>Medida</w:t>
            </w:r>
          </w:p>
        </w:tc>
        <w:tc>
          <w:tcPr>
            <w:tcW w:type="dxa" w:w="3312"/>
            <w:shd w:val="clear" w:color="auto" w:fill="1F3A5F"/>
            <w:vAlign w:val="center"/>
          </w:tcPr>
          <w:p>
            <w:r/>
            <w:r>
              <w:rPr>
                <w:b/>
                <w:color w:val="FFFFFF"/>
                <w:sz w:val="18"/>
              </w:rPr>
              <w:t>Cálculo</w:t>
            </w:r>
          </w:p>
        </w:tc>
        <w:tc>
          <w:tcPr>
            <w:tcW w:type="dxa" w:w="1296"/>
            <w:shd w:val="clear" w:color="auto" w:fill="1F3A5F"/>
            <w:vAlign w:val="center"/>
          </w:tcPr>
          <w:p>
            <w:r/>
            <w:r>
              <w:rPr>
                <w:b/>
                <w:color w:val="FFFFFF"/>
                <w:sz w:val="18"/>
              </w:rPr>
              <w:t>Aditividad</w:t>
            </w:r>
          </w:p>
        </w:tc>
        <w:tc>
          <w:tcPr>
            <w:tcW w:type="dxa" w:w="2880"/>
            <w:shd w:val="clear" w:color="auto" w:fill="1F3A5F"/>
            <w:vAlign w:val="center"/>
          </w:tcPr>
          <w:p>
            <w:r/>
            <w:r>
              <w:rPr>
                <w:b/>
                <w:color w:val="FFFFFF"/>
                <w:sz w:val="18"/>
              </w:rPr>
              <w:t>Significado de negocio</w:t>
            </w:r>
          </w:p>
        </w:tc>
      </w:tr>
      <w:tr>
        <w:tc>
          <w:tcPr>
            <w:tcW w:type="dxa" w:w="1872"/>
          </w:tcPr>
          <w:p>
            <w:r/>
            <w:r>
              <w:rPr>
                <w:sz w:val="18"/>
              </w:rPr>
              <w:t>cantidad_llamadas</w:t>
            </w:r>
          </w:p>
        </w:tc>
        <w:tc>
          <w:tcPr>
            <w:tcW w:type="dxa" w:w="3312"/>
          </w:tcPr>
          <w:p>
            <w:r/>
            <w:r>
              <w:rPr>
                <w:sz w:val="18"/>
              </w:rPr>
              <w:t>Constante 1</w:t>
            </w:r>
          </w:p>
        </w:tc>
        <w:tc>
          <w:tcPr>
            <w:tcW w:type="dxa" w:w="1296"/>
          </w:tcPr>
          <w:p>
            <w:r/>
            <w:r>
              <w:rPr>
                <w:sz w:val="18"/>
              </w:rPr>
              <w:t>Aditiva</w:t>
            </w:r>
          </w:p>
        </w:tc>
        <w:tc>
          <w:tcPr>
            <w:tcW w:type="dxa" w:w="2880"/>
          </w:tcPr>
          <w:p>
            <w:r/>
            <w:r>
              <w:rPr>
                <w:sz w:val="18"/>
              </w:rPr>
              <w:t>Contador; permite sumar llamadas por cualquier corte</w:t>
            </w:r>
          </w:p>
        </w:tc>
      </w:tr>
      <w:tr>
        <w:tc>
          <w:tcPr>
            <w:tcW w:type="dxa" w:w="1872"/>
          </w:tcPr>
          <w:p>
            <w:r/>
            <w:r>
              <w:rPr>
                <w:sz w:val="18"/>
              </w:rPr>
              <w:t>longitud_texto</w:t>
            </w:r>
          </w:p>
        </w:tc>
        <w:tc>
          <w:tcPr>
            <w:tcW w:type="dxa" w:w="3312"/>
          </w:tcPr>
          <w:p>
            <w:r/>
            <w:r>
              <w:rPr>
                <w:sz w:val="18"/>
              </w:rPr>
              <w:t>length(text)</w:t>
            </w:r>
          </w:p>
        </w:tc>
        <w:tc>
          <w:tcPr>
            <w:tcW w:type="dxa" w:w="1296"/>
          </w:tcPr>
          <w:p>
            <w:r/>
            <w:r>
              <w:rPr>
                <w:sz w:val="18"/>
              </w:rPr>
              <w:t>Aditiva</w:t>
            </w:r>
          </w:p>
        </w:tc>
        <w:tc>
          <w:tcPr>
            <w:tcW w:type="dxa" w:w="2880"/>
          </w:tcPr>
          <w:p>
            <w:r/>
            <w:r>
              <w:rPr>
                <w:sz w:val="18"/>
              </w:rPr>
              <w:t>Proxy de la complejidad del caso atendido</w:t>
            </w:r>
          </w:p>
        </w:tc>
      </w:tr>
    </w:tbl>
    <w:p/>
    <w:p>
      <w:r>
        <w:rPr>
          <w:b/>
        </w:rPr>
        <w:t>Dimensiones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728"/>
            <w:shd w:val="clear" w:color="auto" w:fill="1F3A5F"/>
            <w:vAlign w:val="center"/>
          </w:tcPr>
          <w:p>
            <w:r/>
            <w:r>
              <w:rPr>
                <w:b/>
                <w:color w:val="FFFFFF"/>
                <w:sz w:val="18"/>
              </w:rPr>
              <w:t>Dimensión</w:t>
            </w:r>
          </w:p>
        </w:tc>
        <w:tc>
          <w:tcPr>
            <w:tcW w:type="dxa" w:w="864"/>
            <w:shd w:val="clear" w:color="auto" w:fill="1F3A5F"/>
            <w:vAlign w:val="center"/>
          </w:tcPr>
          <w:p>
            <w:r/>
            <w:r>
              <w:rPr>
                <w:b/>
                <w:color w:val="FFFFFF"/>
                <w:sz w:val="18"/>
              </w:rPr>
              <w:t>Filas</w:t>
            </w:r>
          </w:p>
        </w:tc>
        <w:tc>
          <w:tcPr>
            <w:tcW w:type="dxa" w:w="1152"/>
            <w:shd w:val="clear" w:color="auto" w:fill="1F3A5F"/>
            <w:vAlign w:val="center"/>
          </w:tcPr>
          <w:p>
            <w:r/>
            <w:r>
              <w:rPr>
                <w:b/>
                <w:color w:val="FFFFFF"/>
                <w:sz w:val="18"/>
              </w:rPr>
              <w:t>Conformada</w:t>
            </w:r>
          </w:p>
        </w:tc>
        <w:tc>
          <w:tcPr>
            <w:tcW w:type="dxa" w:w="5184"/>
            <w:shd w:val="clear" w:color="auto" w:fill="1F3A5F"/>
            <w:vAlign w:val="center"/>
          </w:tcPr>
          <w:p>
            <w:r/>
            <w:r>
              <w:rPr>
                <w:b/>
                <w:color w:val="FFFFFF"/>
                <w:sz w:val="18"/>
              </w:rPr>
              <w:t>Qué representa</w:t>
            </w:r>
          </w:p>
        </w:tc>
      </w:tr>
      <w:tr>
        <w:tc>
          <w:tcPr>
            <w:tcW w:type="dxa" w:w="1728"/>
          </w:tcPr>
          <w:p>
            <w:r/>
            <w:r>
              <w:rPr>
                <w:sz w:val="18"/>
              </w:rPr>
              <w:t>dim_tiempo</w:t>
            </w:r>
          </w:p>
        </w:tc>
        <w:tc>
          <w:tcPr>
            <w:tcW w:type="dxa" w:w="864"/>
          </w:tcPr>
          <w:p>
            <w:r/>
            <w:r>
              <w:rPr>
                <w:sz w:val="18"/>
              </w:rPr>
              <w:t>1.096</w:t>
            </w:r>
          </w:p>
        </w:tc>
        <w:tc>
          <w:tcPr>
            <w:tcW w:type="dxa" w:w="1152"/>
          </w:tcPr>
          <w:p>
            <w:r/>
            <w:r>
              <w:rPr>
                <w:sz w:val="18"/>
              </w:rPr>
              <w:t>Sí</w:t>
            </w:r>
          </w:p>
        </w:tc>
        <w:tc>
          <w:tcPr>
            <w:tcW w:type="dxa" w:w="5184"/>
          </w:tcPr>
          <w:p>
            <w:r/>
            <w:r>
              <w:rPr>
                <w:sz w:val="18"/>
              </w:rPr>
              <w:t>Un día entre 2003-01-01 y 2005-12-31. Generada por código, con llave AAAAMMDD</w:t>
            </w:r>
          </w:p>
        </w:tc>
      </w:tr>
      <w:tr>
        <w:tc>
          <w:tcPr>
            <w:tcW w:type="dxa" w:w="1728"/>
          </w:tcPr>
          <w:p>
            <w:r/>
            <w:r>
              <w:rPr>
                <w:sz w:val="18"/>
              </w:rPr>
              <w:t>dim_cliente</w:t>
            </w:r>
          </w:p>
        </w:tc>
        <w:tc>
          <w:tcPr>
            <w:tcW w:type="dxa" w:w="864"/>
          </w:tcPr>
          <w:p>
            <w:r/>
            <w:r>
              <w:rPr>
                <w:sz w:val="18"/>
              </w:rPr>
              <w:t>122</w:t>
            </w:r>
          </w:p>
        </w:tc>
        <w:tc>
          <w:tcPr>
            <w:tcW w:type="dxa" w:w="1152"/>
          </w:tcPr>
          <w:p>
            <w:r/>
            <w:r>
              <w:rPr>
                <w:sz w:val="18"/>
              </w:rPr>
              <w:t>Sí</w:t>
            </w:r>
          </w:p>
        </w:tc>
        <w:tc>
          <w:tcPr>
            <w:tcW w:type="dxa" w:w="5184"/>
          </w:tcPr>
          <w:p>
            <w:r/>
            <w:r>
              <w:rPr>
                <w:sz w:val="18"/>
              </w:rPr>
              <w:t>Cliente integrado de las dos fuentes, con banderas de presencia en cada una</w:t>
            </w:r>
          </w:p>
        </w:tc>
      </w:tr>
      <w:tr>
        <w:tc>
          <w:tcPr>
            <w:tcW w:type="dxa" w:w="1728"/>
          </w:tcPr>
          <w:p>
            <w:r/>
            <w:r>
              <w:rPr>
                <w:sz w:val="18"/>
              </w:rPr>
              <w:t>dim_producto</w:t>
            </w:r>
          </w:p>
        </w:tc>
        <w:tc>
          <w:tcPr>
            <w:tcW w:type="dxa" w:w="864"/>
          </w:tcPr>
          <w:p>
            <w:r/>
            <w:r>
              <w:rPr>
                <w:sz w:val="18"/>
              </w:rPr>
              <w:t>110</w:t>
            </w:r>
          </w:p>
        </w:tc>
        <w:tc>
          <w:tcPr>
            <w:tcW w:type="dxa" w:w="1152"/>
          </w:tcPr>
          <w:p>
            <w:r/>
            <w:r>
              <w:rPr>
                <w:sz w:val="18"/>
              </w:rPr>
              <w:t>Sí</w:t>
            </w:r>
          </w:p>
        </w:tc>
        <w:tc>
          <w:tcPr>
            <w:tcW w:type="dxa" w:w="5184"/>
          </w:tcPr>
          <w:p>
            <w:r/>
            <w:r>
              <w:rPr>
                <w:sz w:val="18"/>
              </w:rPr>
              <w:t>Producto integrado, con la línea de producto desnormalizada</w:t>
            </w:r>
          </w:p>
        </w:tc>
      </w:tr>
      <w:tr>
        <w:tc>
          <w:tcPr>
            <w:tcW w:type="dxa" w:w="1728"/>
          </w:tcPr>
          <w:p>
            <w:r/>
            <w:r>
              <w:rPr>
                <w:sz w:val="18"/>
              </w:rPr>
              <w:t>dim_empleado</w:t>
            </w:r>
          </w:p>
        </w:tc>
        <w:tc>
          <w:tcPr>
            <w:tcW w:type="dxa" w:w="864"/>
          </w:tcPr>
          <w:p>
            <w:r/>
            <w:r>
              <w:rPr>
                <w:sz w:val="18"/>
              </w:rPr>
              <w:t>53</w:t>
            </w:r>
          </w:p>
        </w:tc>
        <w:tc>
          <w:tcPr>
            <w:tcW w:type="dxa" w:w="1152"/>
          </w:tcPr>
          <w:p>
            <w:r/>
            <w:r>
              <w:rPr>
                <w:sz w:val="18"/>
              </w:rPr>
              <w:t>No</w:t>
            </w:r>
          </w:p>
        </w:tc>
        <w:tc>
          <w:tcPr>
            <w:tcW w:type="dxa" w:w="5184"/>
          </w:tcPr>
          <w:p>
            <w:r/>
            <w:r>
              <w:rPr>
                <w:sz w:val="18"/>
              </w:rPr>
              <w:t>Vendedores (23) y agentes (30), discriminados por sistema_origen</w:t>
            </w:r>
          </w:p>
        </w:tc>
      </w:tr>
      <w:tr>
        <w:tc>
          <w:tcPr>
            <w:tcW w:type="dxa" w:w="1728"/>
          </w:tcPr>
          <w:p>
            <w:r/>
            <w:r>
              <w:rPr>
                <w:sz w:val="18"/>
              </w:rPr>
              <w:t>dim_oficina</w:t>
            </w:r>
          </w:p>
        </w:tc>
        <w:tc>
          <w:tcPr>
            <w:tcW w:type="dxa" w:w="864"/>
          </w:tcPr>
          <w:p>
            <w:r/>
            <w:r>
              <w:rPr>
                <w:sz w:val="18"/>
              </w:rPr>
              <w:t>7</w:t>
            </w:r>
          </w:p>
        </w:tc>
        <w:tc>
          <w:tcPr>
            <w:tcW w:type="dxa" w:w="1152"/>
          </w:tcPr>
          <w:p>
            <w:r/>
            <w:r>
              <w:rPr>
                <w:sz w:val="18"/>
              </w:rPr>
              <w:t>No</w:t>
            </w:r>
          </w:p>
        </w:tc>
        <w:tc>
          <w:tcPr>
            <w:tcW w:type="dxa" w:w="5184"/>
          </w:tcPr>
          <w:p>
            <w:r/>
            <w:r>
              <w:rPr>
                <w:sz w:val="18"/>
              </w:rPr>
              <w:t>Sede del representante de ventas. Solo existe en classicmodels</w:t>
            </w:r>
          </w:p>
        </w:tc>
      </w:tr>
      <w:tr>
        <w:tc>
          <w:tcPr>
            <w:tcW w:type="dxa" w:w="1728"/>
          </w:tcPr>
          <w:p>
            <w:r/>
            <w:r>
              <w:rPr>
                <w:sz w:val="18"/>
              </w:rPr>
              <w:t>dim_estado_orden</w:t>
            </w:r>
          </w:p>
        </w:tc>
        <w:tc>
          <w:tcPr>
            <w:tcW w:type="dxa" w:w="864"/>
          </w:tcPr>
          <w:p>
            <w:r/>
            <w:r>
              <w:rPr>
                <w:sz w:val="18"/>
              </w:rPr>
              <w:t>6</w:t>
            </w:r>
          </w:p>
        </w:tc>
        <w:tc>
          <w:tcPr>
            <w:tcW w:type="dxa" w:w="1152"/>
          </w:tcPr>
          <w:p>
            <w:r/>
            <w:r>
              <w:rPr>
                <w:sz w:val="18"/>
              </w:rPr>
              <w:t>No</w:t>
            </w:r>
          </w:p>
        </w:tc>
        <w:tc>
          <w:tcPr>
            <w:tcW w:type="dxa" w:w="5184"/>
          </w:tcPr>
          <w:p>
            <w:r/>
            <w:r>
              <w:rPr>
                <w:sz w:val="18"/>
              </w:rPr>
              <w:t>Estado de la orden; es_efectiva distingue la venta cerrada</w:t>
            </w:r>
          </w:p>
        </w:tc>
      </w:tr>
    </w:tbl>
    <w:p/>
    <w:p>
      <w:r>
        <w:rPr>
          <w:i/>
          <w:color w:val="5A5A5A"/>
          <w:sz w:val="18"/>
        </w:rPr>
        <w:t>Las seis dimensiones son de tipo SCD 1 (se recargan completas en cada corrida); la justificación teórica y de negocio está en la sección 3.2.</w:t>
      </w:r>
    </w:p>
    <w:p>
      <w:pPr>
        <w:pStyle w:val="Heading2"/>
      </w:pPr>
      <w:r>
        <w:t>1.4 Data Marts (schema dm): la capa de presentación</w:t>
      </w:r>
    </w:p>
    <w:p>
      <w:r>
        <w:t>En la terminología de Kimball, un Data Mart es una vista orientada a un proceso de negocio específico, construida sobre el modelo dimensional para que quien construye reportes no tenga que reescribir el mismo join cada vez. Se agregaron dos, siguiendo el flujo de referencia ODS → EDW (Enterprise Data Warehouse) → DM: el ODS no se implementa porque las fuentes ya llegan como snapshots completos, sin necesidad de una capa operacional intermedia que consolide cambios incrementales.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024"/>
            <w:shd w:val="clear" w:color="auto" w:fill="1F3A5F"/>
            <w:vAlign w:val="center"/>
          </w:tcPr>
          <w:p>
            <w:r/>
            <w:r>
              <w:rPr>
                <w:b/>
                <w:color w:val="FFFFFF"/>
                <w:sz w:val="18"/>
              </w:rPr>
              <w:t>Vista</w:t>
            </w:r>
          </w:p>
        </w:tc>
        <w:tc>
          <w:tcPr>
            <w:tcW w:type="dxa" w:w="1872"/>
            <w:shd w:val="clear" w:color="auto" w:fill="1F3A5F"/>
            <w:vAlign w:val="center"/>
          </w:tcPr>
          <w:p>
            <w:r/>
            <w:r>
              <w:rPr>
                <w:b/>
                <w:color w:val="FFFFFF"/>
                <w:sz w:val="18"/>
              </w:rPr>
              <w:t>Grano</w:t>
            </w:r>
          </w:p>
        </w:tc>
        <w:tc>
          <w:tcPr>
            <w:tcW w:type="dxa" w:w="3600"/>
            <w:shd w:val="clear" w:color="auto" w:fill="1F3A5F"/>
            <w:vAlign w:val="center"/>
          </w:tcPr>
          <w:p>
            <w:r/>
            <w:r>
              <w:rPr>
                <w:b/>
                <w:color w:val="FFFFFF"/>
                <w:sz w:val="18"/>
              </w:rPr>
              <w:t>Contenido</w:t>
            </w:r>
          </w:p>
        </w:tc>
        <w:tc>
          <w:tcPr>
            <w:tcW w:type="dxa" w:w="1584"/>
            <w:shd w:val="clear" w:color="auto" w:fill="1F3A5F"/>
            <w:vAlign w:val="center"/>
          </w:tcPr>
          <w:p>
            <w:r/>
            <w:r>
              <w:rPr>
                <w:b/>
                <w:color w:val="FFFFFF"/>
                <w:sz w:val="18"/>
              </w:rPr>
              <w:t>Pregunta que responde</w:t>
            </w:r>
          </w:p>
        </w:tc>
      </w:tr>
      <w:tr>
        <w:tc>
          <w:tcPr>
            <w:tcW w:type="dxa" w:w="3024"/>
          </w:tcPr>
          <w:p>
            <w:r/>
            <w:r>
              <w:rPr>
                <w:sz w:val="16"/>
              </w:rPr>
              <w:t>dm.vw_interaccion_cliente_producto</w:t>
            </w:r>
          </w:p>
        </w:tc>
        <w:tc>
          <w:tcPr>
            <w:tcW w:type="dxa" w:w="1872"/>
          </w:tcPr>
          <w:p>
            <w:r/>
            <w:r>
              <w:rPr>
                <w:sz w:val="16"/>
              </w:rPr>
              <w:t>Cliente × producto × mes</w:t>
            </w:r>
          </w:p>
        </w:tc>
        <w:tc>
          <w:tcPr>
            <w:tcW w:type="dxa" w:w="3600"/>
          </w:tcPr>
          <w:p>
            <w:r/>
            <w:r>
              <w:rPr>
                <w:sz w:val="16"/>
              </w:rPr>
              <w:t>Unidades, monto, margen y líneas vendidas junto a las llamadas recibidas (FULL OUTER JOIN de los dos hechos) y llamadas_por_unidad</w:t>
            </w:r>
          </w:p>
        </w:tc>
        <w:tc>
          <w:tcPr>
            <w:tcW w:type="dxa" w:w="1584"/>
          </w:tcPr>
          <w:p>
            <w:r/>
            <w:r>
              <w:rPr>
                <w:sz w:val="16"/>
              </w:rPr>
              <w:t>¿Qué productos generan más fricción de postventa frente a lo que venden?</w:t>
            </w:r>
          </w:p>
        </w:tc>
      </w:tr>
      <w:tr>
        <w:tc>
          <w:tcPr>
            <w:tcW w:type="dxa" w:w="3024"/>
          </w:tcPr>
          <w:p>
            <w:r/>
            <w:r>
              <w:rPr>
                <w:sz w:val="16"/>
              </w:rPr>
              <w:t>dm.vw_ventas_mensuales_linea</w:t>
            </w:r>
          </w:p>
        </w:tc>
        <w:tc>
          <w:tcPr>
            <w:tcW w:type="dxa" w:w="1872"/>
          </w:tcPr>
          <w:p>
            <w:r/>
            <w:r>
              <w:rPr>
                <w:sz w:val="16"/>
              </w:rPr>
              <w:t>Mes × línea de producto</w:t>
            </w:r>
          </w:p>
        </w:tc>
        <w:tc>
          <w:tcPr>
            <w:tcW w:type="dxa" w:w="3600"/>
          </w:tcPr>
          <w:p>
            <w:r/>
            <w:r>
              <w:rPr>
                <w:sz w:val="16"/>
              </w:rPr>
              <w:t>Órdenes, unidades, monto, margen y % de margen de las órdenes efectivas</w:t>
            </w:r>
          </w:p>
        </w:tc>
        <w:tc>
          <w:tcPr>
            <w:tcW w:type="dxa" w:w="1584"/>
          </w:tcPr>
          <w:p>
            <w:r/>
            <w:r>
              <w:rPr>
                <w:sz w:val="16"/>
              </w:rPr>
              <w:t>¿Qué línea de producto es más rentable, no solo cuál vende más?</w:t>
            </w:r>
          </w:p>
        </w:tc>
      </w:tr>
    </w:tbl>
    <w:p/>
    <w:p>
      <w:pPr>
        <w:pStyle w:val="Heading2"/>
      </w:pPr>
      <w:r>
        <w:t>1.5 Qué elementos de las fuentes nutren el hecho</w:t>
      </w:r>
    </w:p>
    <w:p>
      <w:r>
        <w:t>Trazabilidad completa entre cada objeto del almacén y las tablas físicas de origen que lo alimentan:</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592"/>
            <w:shd w:val="clear" w:color="auto" w:fill="1F3A5F"/>
            <w:vAlign w:val="center"/>
          </w:tcPr>
          <w:p>
            <w:r/>
            <w:r>
              <w:rPr>
                <w:b/>
                <w:color w:val="FFFFFF"/>
                <w:sz w:val="18"/>
              </w:rPr>
              <w:t>Elemento</w:t>
            </w:r>
          </w:p>
        </w:tc>
        <w:tc>
          <w:tcPr>
            <w:tcW w:type="dxa" w:w="2448"/>
            <w:shd w:val="clear" w:color="auto" w:fill="1F3A5F"/>
            <w:vAlign w:val="center"/>
          </w:tcPr>
          <w:p>
            <w:r/>
            <w:r>
              <w:rPr>
                <w:b/>
                <w:color w:val="FFFFFF"/>
                <w:sz w:val="18"/>
              </w:rPr>
              <w:t>Fuente</w:t>
            </w:r>
          </w:p>
        </w:tc>
        <w:tc>
          <w:tcPr>
            <w:tcW w:type="dxa" w:w="4176"/>
            <w:shd w:val="clear" w:color="auto" w:fill="1F3A5F"/>
            <w:vAlign w:val="center"/>
          </w:tcPr>
          <w:p>
            <w:r/>
            <w:r>
              <w:rPr>
                <w:b/>
                <w:color w:val="FFFFFF"/>
                <w:sz w:val="18"/>
              </w:rPr>
              <w:t>Tablas que lo alimentan</w:t>
            </w:r>
          </w:p>
        </w:tc>
      </w:tr>
      <w:tr>
        <w:tc>
          <w:tcPr>
            <w:tcW w:type="dxa" w:w="2592"/>
          </w:tcPr>
          <w:p>
            <w:r/>
            <w:r>
              <w:rPr>
                <w:sz w:val="18"/>
              </w:rPr>
              <w:t>fact_ventas</w:t>
            </w:r>
          </w:p>
        </w:tc>
        <w:tc>
          <w:tcPr>
            <w:tcW w:type="dxa" w:w="2448"/>
          </w:tcPr>
          <w:p>
            <w:r/>
            <w:r>
              <w:rPr>
                <w:sz w:val="18"/>
              </w:rPr>
              <w:t>classicmodels (MySQL)</w:t>
            </w:r>
          </w:p>
        </w:tc>
        <w:tc>
          <w:tcPr>
            <w:tcW w:type="dxa" w:w="4176"/>
          </w:tcPr>
          <w:p>
            <w:r/>
            <w:r>
              <w:rPr>
                <w:sz w:val="18"/>
              </w:rPr>
              <w:t>orderdetails ⋈ orders ⋈ products ⋈ customers ⋈ employees</w:t>
            </w:r>
          </w:p>
        </w:tc>
      </w:tr>
      <w:tr>
        <w:tc>
          <w:tcPr>
            <w:tcW w:type="dxa" w:w="2592"/>
          </w:tcPr>
          <w:p>
            <w:r/>
            <w:r>
              <w:rPr>
                <w:sz w:val="18"/>
              </w:rPr>
              <w:t>fact_llamadas_servicio</w:t>
            </w:r>
          </w:p>
        </w:tc>
        <w:tc>
          <w:tcPr>
            <w:tcW w:type="dxa" w:w="2448"/>
          </w:tcPr>
          <w:p>
            <w:r/>
            <w:r>
              <w:rPr>
                <w:sz w:val="18"/>
              </w:rPr>
              <w:t>customerservice (PostgreSQL)</w:t>
            </w:r>
          </w:p>
        </w:tc>
        <w:tc>
          <w:tcPr>
            <w:tcW w:type="dxa" w:w="4176"/>
          </w:tcPr>
          <w:p>
            <w:r/>
            <w:r>
              <w:rPr>
                <w:sz w:val="18"/>
              </w:rPr>
              <w:t>cs_customer_calls</w:t>
            </w:r>
          </w:p>
        </w:tc>
      </w:tr>
      <w:tr>
        <w:tc>
          <w:tcPr>
            <w:tcW w:type="dxa" w:w="2592"/>
          </w:tcPr>
          <w:p>
            <w:r/>
            <w:r>
              <w:rPr>
                <w:sz w:val="18"/>
              </w:rPr>
              <w:t>dim_cliente</w:t>
            </w:r>
          </w:p>
        </w:tc>
        <w:tc>
          <w:tcPr>
            <w:tcW w:type="dxa" w:w="2448"/>
          </w:tcPr>
          <w:p>
            <w:r/>
            <w:r>
              <w:rPr>
                <w:sz w:val="18"/>
              </w:rPr>
              <w:t>Ambas</w:t>
            </w:r>
          </w:p>
        </w:tc>
        <w:tc>
          <w:tcPr>
            <w:tcW w:type="dxa" w:w="4176"/>
          </w:tcPr>
          <w:p>
            <w:r/>
            <w:r>
              <w:rPr>
                <w:sz w:val="18"/>
              </w:rPr>
              <w:t>customers (autoritativa) + cs_customers (bandera de presencia)</w:t>
            </w:r>
          </w:p>
        </w:tc>
      </w:tr>
      <w:tr>
        <w:tc>
          <w:tcPr>
            <w:tcW w:type="dxa" w:w="2592"/>
          </w:tcPr>
          <w:p>
            <w:r/>
            <w:r>
              <w:rPr>
                <w:sz w:val="18"/>
              </w:rPr>
              <w:t>dim_producto</w:t>
            </w:r>
          </w:p>
        </w:tc>
        <w:tc>
          <w:tcPr>
            <w:tcW w:type="dxa" w:w="2448"/>
          </w:tcPr>
          <w:p>
            <w:r/>
            <w:r>
              <w:rPr>
                <w:sz w:val="18"/>
              </w:rPr>
              <w:t>Ambas</w:t>
            </w:r>
          </w:p>
        </w:tc>
        <w:tc>
          <w:tcPr>
            <w:tcW w:type="dxa" w:w="4176"/>
          </w:tcPr>
          <w:p>
            <w:r/>
            <w:r>
              <w:rPr>
                <w:sz w:val="18"/>
              </w:rPr>
              <w:t>products ⋈ productlines (desnormalizada) + cs_products (presencia)</w:t>
            </w:r>
          </w:p>
        </w:tc>
      </w:tr>
      <w:tr>
        <w:tc>
          <w:tcPr>
            <w:tcW w:type="dxa" w:w="2592"/>
          </w:tcPr>
          <w:p>
            <w:r/>
            <w:r>
              <w:rPr>
                <w:sz w:val="18"/>
              </w:rPr>
              <w:t>dim_empleado</w:t>
            </w:r>
          </w:p>
        </w:tc>
        <w:tc>
          <w:tcPr>
            <w:tcW w:type="dxa" w:w="2448"/>
          </w:tcPr>
          <w:p>
            <w:r/>
            <w:r>
              <w:rPr>
                <w:sz w:val="18"/>
              </w:rPr>
              <w:t>Ambas</w:t>
            </w:r>
          </w:p>
        </w:tc>
        <w:tc>
          <w:tcPr>
            <w:tcW w:type="dxa" w:w="4176"/>
          </w:tcPr>
          <w:p>
            <w:r/>
            <w:r>
              <w:rPr>
                <w:sz w:val="18"/>
              </w:rPr>
              <w:t>employees ∪ cs_employees, discriminados por sistema_origen</w:t>
            </w:r>
          </w:p>
        </w:tc>
      </w:tr>
      <w:tr>
        <w:tc>
          <w:tcPr>
            <w:tcW w:type="dxa" w:w="2592"/>
          </w:tcPr>
          <w:p>
            <w:r/>
            <w:r>
              <w:rPr>
                <w:sz w:val="18"/>
              </w:rPr>
              <w:t>dim_oficina</w:t>
            </w:r>
          </w:p>
        </w:tc>
        <w:tc>
          <w:tcPr>
            <w:tcW w:type="dxa" w:w="2448"/>
          </w:tcPr>
          <w:p>
            <w:r/>
            <w:r>
              <w:rPr>
                <w:sz w:val="18"/>
              </w:rPr>
              <w:t>classicmodels</w:t>
            </w:r>
          </w:p>
        </w:tc>
        <w:tc>
          <w:tcPr>
            <w:tcW w:type="dxa" w:w="4176"/>
          </w:tcPr>
          <w:p>
            <w:r/>
            <w:r>
              <w:rPr>
                <w:sz w:val="18"/>
              </w:rPr>
              <w:t>offices</w:t>
            </w:r>
          </w:p>
        </w:tc>
      </w:tr>
      <w:tr>
        <w:tc>
          <w:tcPr>
            <w:tcW w:type="dxa" w:w="2592"/>
          </w:tcPr>
          <w:p>
            <w:r/>
            <w:r>
              <w:rPr>
                <w:sz w:val="18"/>
              </w:rPr>
              <w:t>dim_estado_orden</w:t>
            </w:r>
          </w:p>
        </w:tc>
        <w:tc>
          <w:tcPr>
            <w:tcW w:type="dxa" w:w="2448"/>
          </w:tcPr>
          <w:p>
            <w:r/>
            <w:r>
              <w:rPr>
                <w:sz w:val="18"/>
              </w:rPr>
              <w:t>classicmodels</w:t>
            </w:r>
          </w:p>
        </w:tc>
        <w:tc>
          <w:tcPr>
            <w:tcW w:type="dxa" w:w="4176"/>
          </w:tcPr>
          <w:p>
            <w:r/>
            <w:r>
              <w:rPr>
                <w:sz w:val="18"/>
              </w:rPr>
              <w:t>Valores distintos de orders.status</w:t>
            </w:r>
          </w:p>
        </w:tc>
      </w:tr>
      <w:tr>
        <w:tc>
          <w:tcPr>
            <w:tcW w:type="dxa" w:w="2592"/>
          </w:tcPr>
          <w:p>
            <w:r/>
            <w:r>
              <w:rPr>
                <w:sz w:val="18"/>
              </w:rPr>
              <w:t>dim_tiempo</w:t>
            </w:r>
          </w:p>
        </w:tc>
        <w:tc>
          <w:tcPr>
            <w:tcW w:type="dxa" w:w="2448"/>
          </w:tcPr>
          <w:p>
            <w:r/>
            <w:r>
              <w:rPr>
                <w:sz w:val="18"/>
              </w:rPr>
              <w:t>Ninguna</w:t>
            </w:r>
          </w:p>
        </w:tc>
        <w:tc>
          <w:tcPr>
            <w:tcW w:type="dxa" w:w="4176"/>
          </w:tcPr>
          <w:p>
            <w:r/>
            <w:r>
              <w:rPr>
                <w:sz w:val="18"/>
              </w:rPr>
              <w:t>Generada por código (no proviene de ninguna fuente)</w:t>
            </w:r>
          </w:p>
        </w:tc>
      </w:tr>
    </w:tbl>
    <w:p/>
    <w:p>
      <w:pPr>
        <w:pStyle w:val="Heading2"/>
      </w:pPr>
      <w:r>
        <w:t>1.6 Dos decisiones de diseño que vale la pena justificar</w:t>
      </w:r>
    </w:p>
    <w:p>
      <w:r>
        <w:rPr>
          <w:b/>
        </w:rPr>
        <w:t xml:space="preserve">Llaves subrogadas. </w:t>
      </w:r>
      <w:r>
        <w:t>Kimball recomienda que un hecho nunca apunte directamente a la llave de negocio de la fuente, sino a una llave subrogada (*_key) generada por el propio almacén: un entero secuencial, compacto y estable, que no cambia aunque la llave de negocio se reasigne, se reutilice entre fuentes con significados distintos, o sea un texto largo. Cada dimensión de este almacén tiene las dos llaves — la subrogada para los joins internos y la de negocio para trazar hacia la fuente — y los hechos apuntan siempre a la subrogada.</w:t>
      </w:r>
    </w:p>
    <w:p>
      <w:r>
        <w:rPr>
          <w:b/>
        </w:rPr>
        <w:t xml:space="preserve">dim_empleado con llave de negocio compuesta. </w:t>
      </w:r>
      <w:r>
        <w:t>Los 23 empleados de classicmodels y los 30 de customerservice no comparten ni una sola llave: el perfilamiento de la Entrega 1 midió 0% de solape, y son literalmente dos poblaciones distintas de personas (vendedores frente a agentes de call center), no la misma población vista desde dos sistemas. Fusionarlos bajo una sola llave habría exigido inventar equivalencias que no existen en los datos. La solución fue declarar la llave de negocio como el par (numero_empleado, sistema_origen), con una llave subrogada encima: así el número 26 de classicmodels y el 26 de customerservice conviven en la misma tabla sin colisionar, porque son, correctamente, dos personas distintas.</w:t>
      </w:r>
    </w:p>
    <w:p>
      <w:r>
        <w:br w:type="page"/>
      </w:r>
    </w:p>
    <w:p>
      <w:pPr>
        <w:pStyle w:val="Heading1"/>
      </w:pPr>
      <w:r>
        <w:t>2. Desarrollo de la solución (25%)</w:t>
      </w:r>
    </w:p>
    <w:p>
      <w:pPr>
        <w:pStyle w:val="Heading2"/>
      </w:pPr>
      <w:r>
        <w:t>2.1 Arquitectura por capas físicas</w:t>
      </w:r>
    </w:p>
    <w:p>
      <w:r>
        <w:t>El pipeline se implementó en siete capas físicas, siguiendo la arquitectura de referencia para integración de datos de Anthony Giordano: Extract/Publish, Initial Staging, Data Quality, Clean Staging, Transformation, Load-Ready Publish y Load. Para quien no revisa el código, el punto clave es que cada capa deja un rastro por escrito: si dentro de seis meses un reporte muestra un número que no cuadra, es posible reconstruir exactamente qué dato entró, qué transformación se le aplicó y por qué terminó como terminó — sin depender de la memoria de quien escribió el ETL ni de sus comentarios en el código.</w:t>
      </w:r>
    </w:p>
    <w:p>
      <w:pPr>
        <w:jc w:val="center"/>
      </w:pPr>
      <w:r>
        <w:drawing>
          <wp:inline xmlns:a="http://schemas.openxmlformats.org/drawingml/2006/main" xmlns:pic="http://schemas.openxmlformats.org/drawingml/2006/picture">
            <wp:extent cx="5486400" cy="4170604"/>
            <wp:docPr id="2" name="Picture 2"/>
            <wp:cNvGraphicFramePr>
              <a:graphicFrameLocks noChangeAspect="1"/>
            </wp:cNvGraphicFramePr>
            <a:graphic>
              <a:graphicData uri="http://schemas.openxmlformats.org/drawingml/2006/picture">
                <pic:pic>
                  <pic:nvPicPr>
                    <pic:cNvPr id="0" name="d1_arquitectura_capas.png"/>
                    <pic:cNvPicPr/>
                  </pic:nvPicPr>
                  <pic:blipFill>
                    <a:blip r:embed="rId10"/>
                    <a:stretch>
                      <a:fillRect/>
                    </a:stretch>
                  </pic:blipFill>
                  <pic:spPr>
                    <a:xfrm>
                      <a:off x="0" y="0"/>
                      <a:ext cx="5486400" cy="4170604"/>
                    </a:xfrm>
                    <a:prstGeom prst="rect"/>
                  </pic:spPr>
                </pic:pic>
              </a:graphicData>
            </a:graphic>
          </wp:inline>
        </w:drawing>
      </w:r>
    </w:p>
    <w:p>
      <w:pPr>
        <w:jc w:val="center"/>
      </w:pPr>
      <w:r>
        <w:rPr>
          <w:i/>
          <w:color w:val="5A5A5A"/>
          <w:sz w:val="18"/>
        </w:rPr>
        <w:t>Figura 2. Entornos físicos de la solución: fuentes, almacén, repositorio de metadatos y presentación.</w:t>
      </w:r>
    </w:p>
    <w:p/>
    <w:p>
      <w:r>
        <w:rPr>
          <w:i/>
          <w:color w:val="5A5A5A"/>
          <w:sz w:val="18"/>
        </w:rPr>
        <w:t>Este diagrama muestra los entornos físicos (fuentes → almacén → presentación). El detalle de las 7 capas del ETL, más fino, está en la tabla siguiente y en la Figura 6.</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432"/>
            <w:shd w:val="clear" w:color="auto" w:fill="1F3A5F"/>
            <w:vAlign w:val="center"/>
          </w:tcPr>
          <w:p>
            <w:r/>
            <w:r>
              <w:rPr>
                <w:b/>
                <w:color w:val="FFFFFF"/>
                <w:sz w:val="18"/>
              </w:rPr>
              <w:t>#</w:t>
            </w:r>
          </w:p>
        </w:tc>
        <w:tc>
          <w:tcPr>
            <w:tcW w:type="dxa" w:w="1872"/>
            <w:shd w:val="clear" w:color="auto" w:fill="1F3A5F"/>
            <w:vAlign w:val="center"/>
          </w:tcPr>
          <w:p>
            <w:r/>
            <w:r>
              <w:rPr>
                <w:b/>
                <w:color w:val="FFFFFF"/>
                <w:sz w:val="18"/>
              </w:rPr>
              <w:t>Capa</w:t>
            </w:r>
          </w:p>
        </w:tc>
        <w:tc>
          <w:tcPr>
            <w:tcW w:type="dxa" w:w="3168"/>
            <w:shd w:val="clear" w:color="auto" w:fill="1F3A5F"/>
            <w:vAlign w:val="center"/>
          </w:tcPr>
          <w:p>
            <w:r/>
            <w:r>
              <w:rPr>
                <w:b/>
                <w:color w:val="FFFFFF"/>
                <w:sz w:val="18"/>
              </w:rPr>
              <w:t>Qué resuelve</w:t>
            </w:r>
          </w:p>
        </w:tc>
        <w:tc>
          <w:tcPr>
            <w:tcW w:type="dxa" w:w="2736"/>
            <w:shd w:val="clear" w:color="auto" w:fill="1F3A5F"/>
            <w:vAlign w:val="center"/>
          </w:tcPr>
          <w:p>
            <w:r/>
            <w:r>
              <w:rPr>
                <w:b/>
                <w:color w:val="FFFFFF"/>
                <w:sz w:val="18"/>
              </w:rPr>
              <w:t>Tabla(s) física(s)</w:t>
            </w:r>
          </w:p>
        </w:tc>
        <w:tc>
          <w:tcPr>
            <w:tcW w:type="dxa" w:w="2448"/>
            <w:shd w:val="clear" w:color="auto" w:fill="1F3A5F"/>
            <w:vAlign w:val="center"/>
          </w:tcPr>
          <w:p>
            <w:r/>
            <w:r>
              <w:rPr>
                <w:b/>
                <w:color w:val="FFFFFF"/>
                <w:sz w:val="18"/>
              </w:rPr>
              <w:t>Proceso</w:t>
            </w:r>
          </w:p>
        </w:tc>
      </w:tr>
      <w:tr>
        <w:tc>
          <w:tcPr>
            <w:tcW w:type="dxa" w:w="432"/>
          </w:tcPr>
          <w:p>
            <w:r/>
            <w:r>
              <w:rPr>
                <w:sz w:val="16"/>
              </w:rPr>
              <w:t>1</w:t>
            </w:r>
          </w:p>
        </w:tc>
        <w:tc>
          <w:tcPr>
            <w:tcW w:type="dxa" w:w="1872"/>
          </w:tcPr>
          <w:p>
            <w:r/>
            <w:r>
              <w:rPr>
                <w:sz w:val="16"/>
              </w:rPr>
              <w:t>Extract / Publish</w:t>
            </w:r>
          </w:p>
        </w:tc>
        <w:tc>
          <w:tcPr>
            <w:tcW w:type="dxa" w:w="3168"/>
          </w:tcPr>
          <w:p>
            <w:r/>
            <w:r>
              <w:rPr>
                <w:sz w:val="16"/>
              </w:rPr>
              <w:t>Copia cruda de cada fuente, sin decidir nada todavía</w:t>
            </w:r>
          </w:p>
        </w:tc>
        <w:tc>
          <w:tcPr>
            <w:tcW w:type="dxa" w:w="2736"/>
          </w:tcPr>
          <w:p>
            <w:r/>
            <w:r>
              <w:rPr>
                <w:sz w:val="16"/>
              </w:rPr>
              <w:t>Modelos de extracción (EXTRACTION_MODELS)</w:t>
            </w:r>
          </w:p>
        </w:tc>
        <w:tc>
          <w:tcPr>
            <w:tcW w:type="dxa" w:w="2448"/>
          </w:tcPr>
          <w:p>
            <w:r/>
            <w:r>
              <w:rPr>
                <w:sz w:val="16"/>
              </w:rPr>
              <w:t>etl_dw_staging.py</w:t>
            </w:r>
          </w:p>
        </w:tc>
      </w:tr>
      <w:tr>
        <w:tc>
          <w:tcPr>
            <w:tcW w:type="dxa" w:w="432"/>
          </w:tcPr>
          <w:p>
            <w:r/>
            <w:r>
              <w:rPr>
                <w:sz w:val="16"/>
              </w:rPr>
              <w:t>2</w:t>
            </w:r>
          </w:p>
        </w:tc>
        <w:tc>
          <w:tcPr>
            <w:tcW w:type="dxa" w:w="1872"/>
          </w:tcPr>
          <w:p>
            <w:r/>
            <w:r>
              <w:rPr>
                <w:sz w:val="16"/>
              </w:rPr>
              <w:t>Initial Staging</w:t>
            </w:r>
          </w:p>
        </w:tc>
        <w:tc>
          <w:tcPr>
            <w:tcW w:type="dxa" w:w="3168"/>
          </w:tcPr>
          <w:p>
            <w:r/>
            <w:r>
              <w:rPr>
                <w:sz w:val="16"/>
              </w:rPr>
              <w:t>Deposita la fila tal como llegó, más un perfil por columna</w:t>
            </w:r>
          </w:p>
        </w:tc>
        <w:tc>
          <w:tcPr>
            <w:tcW w:type="dxa" w:w="2736"/>
          </w:tcPr>
          <w:p>
            <w:r/>
            <w:r>
              <w:rPr>
                <w:sz w:val="16"/>
              </w:rPr>
              <w:t>stg_initial_classicmodels, stg_initial_customerservice, stg_perfil</w:t>
            </w:r>
          </w:p>
        </w:tc>
        <w:tc>
          <w:tcPr>
            <w:tcW w:type="dxa" w:w="2448"/>
          </w:tcPr>
          <w:p>
            <w:r/>
            <w:r>
              <w:rPr>
                <w:sz w:val="16"/>
              </w:rPr>
              <w:t>etl_dw_staging.py</w:t>
            </w:r>
          </w:p>
        </w:tc>
      </w:tr>
      <w:tr>
        <w:tc>
          <w:tcPr>
            <w:tcW w:type="dxa" w:w="432"/>
          </w:tcPr>
          <w:p>
            <w:r/>
            <w:r>
              <w:rPr>
                <w:sz w:val="16"/>
              </w:rPr>
              <w:t>3</w:t>
            </w:r>
          </w:p>
        </w:tc>
        <w:tc>
          <w:tcPr>
            <w:tcW w:type="dxa" w:w="1872"/>
          </w:tcPr>
          <w:p>
            <w:r/>
            <w:r>
              <w:rPr>
                <w:sz w:val="16"/>
              </w:rPr>
              <w:t>Data Quality</w:t>
            </w:r>
          </w:p>
        </w:tc>
        <w:tc>
          <w:tcPr>
            <w:tcW w:type="dxa" w:w="3168"/>
          </w:tcPr>
          <w:p>
            <w:r/>
            <w:r>
              <w:rPr>
                <w:sz w:val="16"/>
              </w:rPr>
              <w:t>Evalúa 11 reglas técnicas y de negocio sobre cada registro</w:t>
            </w:r>
          </w:p>
        </w:tc>
        <w:tc>
          <w:tcPr>
            <w:tcW w:type="dxa" w:w="2736"/>
          </w:tcPr>
          <w:p>
            <w:r/>
            <w:r>
              <w:rPr>
                <w:sz w:val="16"/>
              </w:rPr>
              <w:t>stg_error_log</w:t>
            </w:r>
          </w:p>
        </w:tc>
        <w:tc>
          <w:tcPr>
            <w:tcW w:type="dxa" w:w="2448"/>
          </w:tcPr>
          <w:p>
            <w:r/>
            <w:r>
              <w:rPr>
                <w:sz w:val="16"/>
              </w:rPr>
              <w:t>etl_dw_staging.py</w:t>
            </w:r>
          </w:p>
        </w:tc>
      </w:tr>
      <w:tr>
        <w:tc>
          <w:tcPr>
            <w:tcW w:type="dxa" w:w="432"/>
          </w:tcPr>
          <w:p>
            <w:r/>
            <w:r>
              <w:rPr>
                <w:sz w:val="16"/>
              </w:rPr>
              <w:t>4</w:t>
            </w:r>
          </w:p>
        </w:tc>
        <w:tc>
          <w:tcPr>
            <w:tcW w:type="dxa" w:w="1872"/>
          </w:tcPr>
          <w:p>
            <w:r/>
            <w:r>
              <w:rPr>
                <w:sz w:val="16"/>
              </w:rPr>
              <w:t>Clean Staging</w:t>
            </w:r>
          </w:p>
        </w:tc>
        <w:tc>
          <w:tcPr>
            <w:tcW w:type="dxa" w:w="3168"/>
          </w:tcPr>
          <w:p>
            <w:r/>
            <w:r>
              <w:rPr>
                <w:sz w:val="16"/>
              </w:rPr>
              <w:t>Separa físicamente lo que pasó de lo que no</w:t>
            </w:r>
          </w:p>
        </w:tc>
        <w:tc>
          <w:tcPr>
            <w:tcW w:type="dxa" w:w="2736"/>
          </w:tcPr>
          <w:p>
            <w:r/>
            <w:r>
              <w:rPr>
                <w:sz w:val="16"/>
              </w:rPr>
              <w:t>stg_clean, stg_rejected</w:t>
            </w:r>
          </w:p>
        </w:tc>
        <w:tc>
          <w:tcPr>
            <w:tcW w:type="dxa" w:w="2448"/>
          </w:tcPr>
          <w:p>
            <w:r/>
            <w:r>
              <w:rPr>
                <w:sz w:val="16"/>
              </w:rPr>
              <w:t>etl_dw_staging.py</w:t>
            </w:r>
          </w:p>
        </w:tc>
      </w:tr>
      <w:tr>
        <w:tc>
          <w:tcPr>
            <w:tcW w:type="dxa" w:w="432"/>
          </w:tcPr>
          <w:p>
            <w:r/>
            <w:r>
              <w:rPr>
                <w:sz w:val="16"/>
              </w:rPr>
              <w:t>5</w:t>
            </w:r>
          </w:p>
        </w:tc>
        <w:tc>
          <w:tcPr>
            <w:tcW w:type="dxa" w:w="1872"/>
          </w:tcPr>
          <w:p>
            <w:r/>
            <w:r>
              <w:rPr>
                <w:sz w:val="16"/>
              </w:rPr>
              <w:t>Transformation</w:t>
            </w:r>
          </w:p>
        </w:tc>
        <w:tc>
          <w:tcPr>
            <w:tcW w:type="dxa" w:w="3168"/>
          </w:tcPr>
          <w:p>
            <w:r/>
            <w:r>
              <w:rPr>
                <w:sz w:val="16"/>
              </w:rPr>
              <w:t>Joins, lookups de llaves subrogadas y agregaciones</w:t>
            </w:r>
          </w:p>
        </w:tc>
        <w:tc>
          <w:tcPr>
            <w:tcW w:type="dxa" w:w="2736"/>
          </w:tcPr>
          <w:p>
            <w:r/>
            <w:r>
              <w:rPr>
                <w:sz w:val="16"/>
              </w:rPr>
              <w:t>stg_transform</w:t>
            </w:r>
          </w:p>
        </w:tc>
        <w:tc>
          <w:tcPr>
            <w:tcW w:type="dxa" w:w="2448"/>
          </w:tcPr>
          <w:p>
            <w:r/>
            <w:r>
              <w:rPr>
                <w:sz w:val="16"/>
              </w:rPr>
              <w:t>etl_dw_dimensions.py, etl_dw_facts.py</w:t>
            </w:r>
          </w:p>
        </w:tc>
      </w:tr>
      <w:tr>
        <w:tc>
          <w:tcPr>
            <w:tcW w:type="dxa" w:w="432"/>
          </w:tcPr>
          <w:p>
            <w:r/>
            <w:r>
              <w:rPr>
                <w:sz w:val="16"/>
              </w:rPr>
              <w:t>6</w:t>
            </w:r>
          </w:p>
        </w:tc>
        <w:tc>
          <w:tcPr>
            <w:tcW w:type="dxa" w:w="1872"/>
          </w:tcPr>
          <w:p>
            <w:r/>
            <w:r>
              <w:rPr>
                <w:sz w:val="16"/>
              </w:rPr>
              <w:t>Load-Ready Publish</w:t>
            </w:r>
          </w:p>
        </w:tc>
        <w:tc>
          <w:tcPr>
            <w:tcW w:type="dxa" w:w="3168"/>
          </w:tcPr>
          <w:p>
            <w:r/>
            <w:r>
              <w:rPr>
                <w:sz w:val="16"/>
              </w:rPr>
              <w:t>Forma definitiva, sin transformaciones pendientes</w:t>
            </w:r>
          </w:p>
        </w:tc>
        <w:tc>
          <w:tcPr>
            <w:tcW w:type="dxa" w:w="2736"/>
          </w:tcPr>
          <w:p>
            <w:r/>
            <w:r>
              <w:rPr>
                <w:sz w:val="16"/>
              </w:rPr>
              <w:t>stg_loadready</w:t>
            </w:r>
          </w:p>
        </w:tc>
        <w:tc>
          <w:tcPr>
            <w:tcW w:type="dxa" w:w="2448"/>
          </w:tcPr>
          <w:p>
            <w:r/>
            <w:r>
              <w:rPr>
                <w:sz w:val="16"/>
              </w:rPr>
              <w:t>etl_dw_dimensions.py, etl_dw_facts.py</w:t>
            </w:r>
          </w:p>
        </w:tc>
      </w:tr>
      <w:tr>
        <w:tc>
          <w:tcPr>
            <w:tcW w:type="dxa" w:w="432"/>
          </w:tcPr>
          <w:p>
            <w:r/>
            <w:r>
              <w:rPr>
                <w:sz w:val="16"/>
              </w:rPr>
              <w:t>7</w:t>
            </w:r>
          </w:p>
        </w:tc>
        <w:tc>
          <w:tcPr>
            <w:tcW w:type="dxa" w:w="1872"/>
          </w:tcPr>
          <w:p>
            <w:r/>
            <w:r>
              <w:rPr>
                <w:sz w:val="16"/>
              </w:rPr>
              <w:t>Load</w:t>
            </w:r>
          </w:p>
        </w:tc>
        <w:tc>
          <w:tcPr>
            <w:tcW w:type="dxa" w:w="3168"/>
          </w:tcPr>
          <w:p>
            <w:r/>
            <w:r>
              <w:rPr>
                <w:sz w:val="16"/>
              </w:rPr>
              <w:t>Escritura al modelo dimensional consultable</w:t>
            </w:r>
          </w:p>
        </w:tc>
        <w:tc>
          <w:tcPr>
            <w:tcW w:type="dxa" w:w="2736"/>
          </w:tcPr>
          <w:p>
            <w:r/>
            <w:r>
              <w:rPr>
                <w:sz w:val="16"/>
              </w:rPr>
              <w:t>dim_*, fact_*</w:t>
            </w:r>
          </w:p>
        </w:tc>
        <w:tc>
          <w:tcPr>
            <w:tcW w:type="dxa" w:w="2448"/>
          </w:tcPr>
          <w:p>
            <w:r/>
            <w:r>
              <w:rPr>
                <w:sz w:val="16"/>
              </w:rPr>
              <w:t>etl_dw_dimensions.py, etl_dw_facts.py</w:t>
            </w:r>
          </w:p>
        </w:tc>
      </w:tr>
    </w:tbl>
    <w:p/>
    <w:p>
      <w:pPr>
        <w:pStyle w:val="Heading2"/>
      </w:pPr>
      <w:r>
        <w:t>2.2 Tres procesos, una sola extracción por fuente</w:t>
      </w:r>
    </w:p>
    <w:p>
      <w:r>
        <w:t>etl_dw_staging.py lee las 13 tablas de las fuentes una sola vez, incluidas payments y cs_customer_products —que el modelo dimensional actual no consume, pero se extraen igual siguiendo el principio de extraer cada fuente por completo en una sola pasada, de modo que un desarrollo futuro que sí las necesite no obligue a reabrir la conexión a la fuente ni a repetir el perfilamiento—. etl_dw_dimensions.py y etl_dw_facts.py leen stg_clean de esa misma corrida, nunca vuelven a la fuente: el ETL de hechos hace los joins, resuelve las llaves subrogadas contra las dimensiones ya cargadas, y detiene la carga si alguna llave obligatoria no resuelve, en vez de escribir un hecho huérfano que corrompería silenciosamente cualquier reporte que lo agregue.</w:t>
      </w:r>
    </w:p>
    <w:p>
      <w:r>
        <w:rPr>
          <w:b/>
          <w:color w:val="1F6B4A"/>
          <w:sz w:val="18"/>
        </w:rPr>
        <w:t xml:space="preserve">✓ Verificado en vivo: </w:t>
      </w:r>
      <w:r>
        <w:rPr>
          <w:i/>
          <w:color w:val="1F6B4A"/>
          <w:sz w:val="18"/>
        </w:rPr>
        <w:t>se recreó el stack completo con --reset y los tres procesos corrieron en orden, sin error, leyendo la extracción una sola vez.</w:t>
      </w:r>
    </w:p>
    <w:p>
      <w:pPr>
        <w:pStyle w:val="Heading2"/>
      </w:pPr>
      <w:r>
        <w:t>2.3 Los destinos de Clean Staging</w:t>
      </w:r>
    </w:p>
    <w:p>
      <w:r>
        <w:t>Clean Staging separa los registros en dos destinos físicos: limpios (stg_clean) y rechazados (stg_rejected). Las reglas de severidad ADVERTENCIA no rechazan el registro, pero sí quedan trazadas en dq_result con el detalle de cuántas filas evaluaron y cuántas fallaron, de modo que el efecto práctico equivale a un tercer estado —para revisión— sin necesitar una tabla adicional para contenerlo ni un proceso manual que la vacíe.</w:t>
      </w:r>
    </w:p>
    <w:p>
      <w:pPr>
        <w:pStyle w:val="Heading2"/>
      </w:pPr>
      <w:r>
        <w:t>2.4 Herramienta y justificación técnica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160"/>
            <w:shd w:val="clear" w:color="auto" w:fill="1F3A5F"/>
            <w:vAlign w:val="center"/>
          </w:tcPr>
          <w:p>
            <w:r/>
            <w:r>
              <w:rPr>
                <w:b/>
                <w:color w:val="FFFFFF"/>
                <w:sz w:val="18"/>
              </w:rPr>
              <w:t>Componente</w:t>
            </w:r>
          </w:p>
        </w:tc>
        <w:tc>
          <w:tcPr>
            <w:tcW w:type="dxa" w:w="3168"/>
            <w:shd w:val="clear" w:color="auto" w:fill="1F3A5F"/>
            <w:vAlign w:val="center"/>
          </w:tcPr>
          <w:p>
            <w:r/>
            <w:r>
              <w:rPr>
                <w:b/>
                <w:color w:val="FFFFFF"/>
                <w:sz w:val="18"/>
              </w:rPr>
              <w:t>Herramienta</w:t>
            </w:r>
          </w:p>
        </w:tc>
        <w:tc>
          <w:tcPr>
            <w:tcW w:type="dxa" w:w="3888"/>
            <w:shd w:val="clear" w:color="auto" w:fill="1F3A5F"/>
            <w:vAlign w:val="center"/>
          </w:tcPr>
          <w:p>
            <w:r/>
            <w:r>
              <w:rPr>
                <w:b/>
                <w:color w:val="FFFFFF"/>
                <w:sz w:val="18"/>
              </w:rPr>
              <w:t>Por qué</w:t>
            </w:r>
          </w:p>
        </w:tc>
      </w:tr>
      <w:tr>
        <w:tc>
          <w:tcPr>
            <w:tcW w:type="dxa" w:w="2160"/>
          </w:tcPr>
          <w:p>
            <w:r/>
            <w:r>
              <w:rPr>
                <w:sz w:val="18"/>
              </w:rPr>
              <w:t>Almacén y repositorio</w:t>
            </w:r>
          </w:p>
        </w:tc>
        <w:tc>
          <w:tcPr>
            <w:tcW w:type="dxa" w:w="3168"/>
          </w:tcPr>
          <w:p>
            <w:r/>
            <w:r>
              <w:rPr>
                <w:sz w:val="18"/>
              </w:rPr>
              <w:t>PostgreSQL 16 en Docker</w:t>
            </w:r>
          </w:p>
        </w:tc>
        <w:tc>
          <w:tcPr>
            <w:tcW w:type="dxa" w:w="3888"/>
          </w:tcPr>
          <w:p>
            <w:r/>
            <w:r>
              <w:rPr>
                <w:sz w:val="18"/>
              </w:rPr>
              <w:t>Dos bases separadas en una sola instancia: separación lógica sin costo de infraestructura adicional</w:t>
            </w:r>
          </w:p>
        </w:tc>
      </w:tr>
      <w:tr>
        <w:tc>
          <w:tcPr>
            <w:tcW w:type="dxa" w:w="2160"/>
          </w:tcPr>
          <w:p>
            <w:r/>
            <w:r>
              <w:rPr>
                <w:sz w:val="18"/>
              </w:rPr>
              <w:t>ETL</w:t>
            </w:r>
          </w:p>
        </w:tc>
        <w:tc>
          <w:tcPr>
            <w:tcW w:type="dxa" w:w="3168"/>
          </w:tcPr>
          <w:p>
            <w:r/>
            <w:r>
              <w:rPr>
                <w:sz w:val="18"/>
              </w:rPr>
              <w:t>Python 3.11 + SQLAlchemy + pandas</w:t>
            </w:r>
          </w:p>
        </w:tc>
        <w:tc>
          <w:tcPr>
            <w:tcW w:type="dxa" w:w="3888"/>
          </w:tcPr>
          <w:p>
            <w:r/>
            <w:r>
              <w:rPr>
                <w:sz w:val="18"/>
              </w:rPr>
              <w:t>Mismo stack de la Entrega 1: reutiliza el patrón por capas y el conocimiento ya adquirido por el equipo</w:t>
            </w:r>
          </w:p>
        </w:tc>
      </w:tr>
      <w:tr>
        <w:tc>
          <w:tcPr>
            <w:tcW w:type="dxa" w:w="2160"/>
          </w:tcPr>
          <w:p>
            <w:r/>
            <w:r>
              <w:rPr>
                <w:sz w:val="18"/>
              </w:rPr>
              <w:t>Diagramas</w:t>
            </w:r>
          </w:p>
        </w:tc>
        <w:tc>
          <w:tcPr>
            <w:tcW w:type="dxa" w:w="3168"/>
          </w:tcPr>
          <w:p>
            <w:r/>
            <w:r>
              <w:rPr>
                <w:sz w:val="18"/>
              </w:rPr>
              <w:t>Graphviz en Docker</w:t>
            </w:r>
          </w:p>
        </w:tc>
        <w:tc>
          <w:tcPr>
            <w:tcW w:type="dxa" w:w="3888"/>
          </w:tcPr>
          <w:p>
            <w:r/>
            <w:r>
              <w:rPr>
                <w:sz w:val="18"/>
              </w:rPr>
              <w:t>Genera el diagrama desde el esquema real de la base, no de un dibujo hecho a mano</w:t>
            </w:r>
          </w:p>
        </w:tc>
      </w:tr>
      <w:tr>
        <w:tc>
          <w:tcPr>
            <w:tcW w:type="dxa" w:w="2160"/>
          </w:tcPr>
          <w:p>
            <w:r/>
            <w:r>
              <w:rPr>
                <w:sz w:val="18"/>
              </w:rPr>
              <w:t>Reportes</w:t>
            </w:r>
          </w:p>
        </w:tc>
        <w:tc>
          <w:tcPr>
            <w:tcW w:type="dxa" w:w="3168"/>
          </w:tcPr>
          <w:p>
            <w:r/>
            <w:r>
              <w:rPr>
                <w:sz w:val="18"/>
              </w:rPr>
              <w:t>Metabase (open source) sobre Docker</w:t>
            </w:r>
          </w:p>
        </w:tc>
        <w:tc>
          <w:tcPr>
            <w:tcW w:type="dxa" w:w="3888"/>
          </w:tcPr>
          <w:p>
            <w:r/>
            <w:r>
              <w:rPr>
                <w:sz w:val="18"/>
              </w:rPr>
              <w:t>Cero costo, cero instalación, conexión nativa a PostgreSQL</w:t>
            </w:r>
          </w:p>
        </w:tc>
      </w:tr>
      <w:tr>
        <w:tc>
          <w:tcPr>
            <w:tcW w:type="dxa" w:w="2160"/>
          </w:tcPr>
          <w:p>
            <w:r/>
            <w:r>
              <w:rPr>
                <w:sz w:val="18"/>
              </w:rPr>
              <w:t>Orquestación</w:t>
            </w:r>
          </w:p>
        </w:tc>
        <w:tc>
          <w:tcPr>
            <w:tcW w:type="dxa" w:w="3168"/>
          </w:tcPr>
          <w:p>
            <w:r/>
            <w:r>
              <w:rPr>
                <w:sz w:val="18"/>
              </w:rPr>
              <w:t>docker-compose + run_all.py</w:t>
            </w:r>
          </w:p>
        </w:tc>
        <w:tc>
          <w:tcPr>
            <w:tcW w:type="dxa" w:w="3888"/>
          </w:tcPr>
          <w:p>
            <w:r/>
            <w:r>
              <w:rPr>
                <w:sz w:val="18"/>
              </w:rPr>
              <w:t>Todo el proyecto se levanta y se carga con un único comando, en cualquier máquina</w:t>
            </w:r>
          </w:p>
        </w:tc>
      </w:tr>
    </w:tbl>
    <w:p/>
    <w:p>
      <w:pPr>
        <w:pStyle w:val="Heading3"/>
      </w:pPr>
      <w:r>
        <w:t>Por qué Docker y no Railway</w:t>
      </w:r>
    </w:p>
    <w:p>
      <w:r>
        <w:t>El enunciado de la Entrega 1 recomendaba Railway como servicio en la nube, y ahí se hospedó el proyecto durante esa entrega. La razón de fondo para migrar a un stack 100% local en Docker para la Entrega 2 no es únicamente el costo — aunque es real: Railway cobra 5 USD al mes y el proyecto ya necesita cuatro servicios corriendo de forma simultánea (dos fuentes, almacén y repositorio, y Metabase). La razón arquitectónica de fondo es que la solución ahora depende de poder reconstruir el stack completo de forma determinista: run_all.py --reset borra los volúmenes y recarga todo desde cero, y sobre esa garantía se apoyan directamente los tres tests automatizados de la sección 2.5 (test_backup_restore.py, test_dq_reject_path.py y check_freshness.py). Esos tests solo son confiables si corren contra un estado que nadie más pudo haber alterado mientras tanto; una base de datos compartida en la nube, con dos o tres integrantes del equipo corriendo el ETL al mismo tiempo, no ofrece esa garantía sin coordinación manual explícita.</w:t>
      </w:r>
    </w:p>
    <w:p>
      <w:r>
        <w:t>Docker resuelve esto por diseño: cada persona — incluida quien evalúe este proyecto — obtiene un entorno aislado y desechable, sin necesitar cuenta, credenciales, ni esperar a que un servicio en la nube responda. Como beneficio adicional, fijar la versión exacta del motor de base de datos (postgres:16-alpine, mysql:8.0) elimina de raíz el tipo de problema que este mismo proyecto sí sufrió con Railway: su instancia de Postgres 18 no era compatible con la versión de pg_dump disponible en las máquinas del equipo, lo que obligó a escribir un generador de backups propio (tools/generate_backup.py) para no depender de esa herramienta en absoluto.</w:t>
      </w:r>
    </w:p>
    <w:p>
      <w:pPr>
        <w:pStyle w:val="Heading2"/>
      </w:pPr>
      <w:r>
        <w:t>2.5 Validación de la carga</w:t>
      </w:r>
    </w:p>
    <w:p>
      <w:r>
        <w:t>Un almacén de datos que "se ve bien" pero no cuadra con las fuentes es peor que no tener almacén, porque genera confianza falsa en cifras equivocadas. Por eso la solución no se da por buena porque el ETL termine sin error, sino porque tres pruebas automatizadas e independientes confirman su correctitud:</w:t>
      </w:r>
    </w:p>
    <w:tbl>
      <w:tblPr>
        <w:tblStyle w:val="TableGrid"/>
        <w:tblW w:type="auto" w:w="0"/>
        <w:jc w:val="center"/>
        <w:tblLayout w:type="autofit"/>
        <w:tblLook w:firstColumn="1" w:firstRow="1" w:lastColumn="0" w:lastRow="0" w:noHBand="0" w:noVBand="1" w:val="04A0"/>
      </w:tblPr>
      <w:tblGrid>
        <w:gridCol w:w="4824"/>
        <w:gridCol w:w="4824"/>
      </w:tblGrid>
      <w:tr>
        <w:tc>
          <w:tcPr>
            <w:tcW w:type="dxa" w:w="3312"/>
            <w:shd w:val="clear" w:color="auto" w:fill="1F3A5F"/>
            <w:vAlign w:val="center"/>
          </w:tcPr>
          <w:p>
            <w:r/>
            <w:r>
              <w:rPr>
                <w:b/>
                <w:color w:val="FFFFFF"/>
                <w:sz w:val="18"/>
              </w:rPr>
              <w:t>Prueba</w:t>
            </w:r>
          </w:p>
        </w:tc>
        <w:tc>
          <w:tcPr>
            <w:tcW w:type="dxa" w:w="5904"/>
            <w:shd w:val="clear" w:color="auto" w:fill="1F3A5F"/>
            <w:vAlign w:val="center"/>
          </w:tcPr>
          <w:p>
            <w:r/>
            <w:r>
              <w:rPr>
                <w:b/>
                <w:color w:val="FFFFFF"/>
                <w:sz w:val="18"/>
              </w:rPr>
              <w:t>Qué confirma</w:t>
            </w:r>
          </w:p>
        </w:tc>
      </w:tr>
      <w:tr>
        <w:tc>
          <w:tcPr>
            <w:tcW w:type="dxa" w:w="3312"/>
          </w:tcPr>
          <w:p>
            <w:r/>
            <w:r>
              <w:rPr>
                <w:sz w:val="18"/>
              </w:rPr>
              <w:t>tests/validate_against_sources.py</w:t>
            </w:r>
          </w:p>
        </w:tc>
        <w:tc>
          <w:tcPr>
            <w:tcW w:type="dxa" w:w="5904"/>
          </w:tcPr>
          <w:p>
            <w:r/>
            <w:r>
              <w:rPr>
                <w:sz w:val="18"/>
              </w:rPr>
              <w:t>Que los totales del almacén cuadran exactamente contra las fuentes (9 comparaciones)</w:t>
            </w:r>
          </w:p>
        </w:tc>
      </w:tr>
      <w:tr>
        <w:tc>
          <w:tcPr>
            <w:tcW w:type="dxa" w:w="3312"/>
          </w:tcPr>
          <w:p>
            <w:r/>
            <w:r>
              <w:rPr>
                <w:sz w:val="18"/>
              </w:rPr>
              <w:t>tests/test_dq_reject_path.py</w:t>
            </w:r>
          </w:p>
        </w:tc>
        <w:tc>
          <w:tcPr>
            <w:tcW w:type="dxa" w:w="5904"/>
          </w:tcPr>
          <w:p>
            <w:r/>
            <w:r>
              <w:rPr>
                <w:sz w:val="18"/>
              </w:rPr>
              <w:t>Que cada una de las 11 reglas de calidad rechaza exactamente lo que debe, con datos sintéticos</w:t>
            </w:r>
          </w:p>
        </w:tc>
      </w:tr>
      <w:tr>
        <w:tc>
          <w:tcPr>
            <w:tcW w:type="dxa" w:w="3312"/>
          </w:tcPr>
          <w:p>
            <w:r/>
            <w:r>
              <w:rPr>
                <w:sz w:val="18"/>
              </w:rPr>
              <w:t>tests/test_backup_restore.py</w:t>
            </w:r>
          </w:p>
        </w:tc>
        <w:tc>
          <w:tcPr>
            <w:tcW w:type="dxa" w:w="5904"/>
          </w:tcPr>
          <w:p>
            <w:r/>
            <w:r>
              <w:rPr>
                <w:sz w:val="18"/>
              </w:rPr>
              <w:t>Que los backups generados restauran de verdad, comparando conteos contra la base real</w:t>
            </w:r>
          </w:p>
        </w:tc>
      </w:tr>
    </w:tbl>
    <w:p/>
    <w:p>
      <w:r>
        <w:t>Resultado de la primera prueba, contra los datos originales: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168"/>
            <w:shd w:val="clear" w:color="auto" w:fill="1F3A5F"/>
            <w:vAlign w:val="center"/>
          </w:tcPr>
          <w:p>
            <w:r/>
            <w:r>
              <w:rPr>
                <w:b/>
                <w:color w:val="FFFFFF"/>
                <w:sz w:val="18"/>
              </w:rPr>
              <w:t>Prueba</w:t>
            </w:r>
          </w:p>
        </w:tc>
        <w:tc>
          <w:tcPr>
            <w:tcW w:type="dxa" w:w="2160"/>
            <w:shd w:val="clear" w:color="auto" w:fill="1F3A5F"/>
            <w:vAlign w:val="center"/>
          </w:tcPr>
          <w:p>
            <w:r/>
            <w:r>
              <w:rPr>
                <w:b/>
                <w:color w:val="FFFFFF"/>
                <w:sz w:val="18"/>
              </w:rPr>
              <w:t>Fuente</w:t>
            </w:r>
          </w:p>
        </w:tc>
        <w:tc>
          <w:tcPr>
            <w:tcW w:type="dxa" w:w="2160"/>
            <w:shd w:val="clear" w:color="auto" w:fill="1F3A5F"/>
            <w:vAlign w:val="center"/>
          </w:tcPr>
          <w:p>
            <w:r/>
            <w:r>
              <w:rPr>
                <w:b/>
                <w:color w:val="FFFFFF"/>
                <w:sz w:val="18"/>
              </w:rPr>
              <w:t>Almacén</w:t>
            </w:r>
          </w:p>
        </w:tc>
        <w:tc>
          <w:tcPr>
            <w:tcW w:type="dxa" w:w="1440"/>
            <w:shd w:val="clear" w:color="auto" w:fill="1F3A5F"/>
            <w:vAlign w:val="center"/>
          </w:tcPr>
          <w:p>
            <w:r/>
            <w:r>
              <w:rPr>
                <w:b/>
                <w:color w:val="FFFFFF"/>
                <w:sz w:val="18"/>
              </w:rPr>
              <w:t>Estado</w:t>
            </w:r>
          </w:p>
        </w:tc>
      </w:tr>
      <w:tr>
        <w:tc>
          <w:tcPr>
            <w:tcW w:type="dxa" w:w="3168"/>
          </w:tcPr>
          <w:p>
            <w:r/>
            <w:r>
              <w:rPr>
                <w:sz w:val="18"/>
              </w:rPr>
              <w:t>Monto total vendido</w:t>
            </w:r>
          </w:p>
        </w:tc>
        <w:tc>
          <w:tcPr>
            <w:tcW w:type="dxa" w:w="2160"/>
          </w:tcPr>
          <w:p>
            <w:r/>
            <w:r>
              <w:rPr>
                <w:sz w:val="18"/>
              </w:rPr>
              <w:t>9.604.190,61</w:t>
            </w:r>
          </w:p>
        </w:tc>
        <w:tc>
          <w:tcPr>
            <w:tcW w:type="dxa" w:w="2160"/>
          </w:tcPr>
          <w:p>
            <w:r/>
            <w:r>
              <w:rPr>
                <w:sz w:val="18"/>
              </w:rPr>
              <w:t>9.604.190,61</w:t>
            </w:r>
          </w:p>
        </w:tc>
        <w:tc>
          <w:tcPr>
            <w:tcW w:type="dxa" w:w="1440"/>
          </w:tcPr>
          <w:p>
            <w:r/>
            <w:r>
              <w:rPr>
                <w:sz w:val="18"/>
              </w:rPr>
              <w:t>OK</w:t>
            </w:r>
          </w:p>
        </w:tc>
      </w:tr>
      <w:tr>
        <w:tc>
          <w:tcPr>
            <w:tcW w:type="dxa" w:w="3168"/>
          </w:tcPr>
          <w:p>
            <w:r/>
            <w:r>
              <w:rPr>
                <w:sz w:val="18"/>
              </w:rPr>
              <w:t>Unidades vendidas</w:t>
            </w:r>
          </w:p>
        </w:tc>
        <w:tc>
          <w:tcPr>
            <w:tcW w:type="dxa" w:w="2160"/>
          </w:tcPr>
          <w:p>
            <w:r/>
            <w:r>
              <w:rPr>
                <w:sz w:val="18"/>
              </w:rPr>
              <w:t>105.516</w:t>
            </w:r>
          </w:p>
        </w:tc>
        <w:tc>
          <w:tcPr>
            <w:tcW w:type="dxa" w:w="2160"/>
          </w:tcPr>
          <w:p>
            <w:r/>
            <w:r>
              <w:rPr>
                <w:sz w:val="18"/>
              </w:rPr>
              <w:t>105.516</w:t>
            </w:r>
          </w:p>
        </w:tc>
        <w:tc>
          <w:tcPr>
            <w:tcW w:type="dxa" w:w="1440"/>
          </w:tcPr>
          <w:p>
            <w:r/>
            <w:r>
              <w:rPr>
                <w:sz w:val="18"/>
              </w:rPr>
              <w:t>OK</w:t>
            </w:r>
          </w:p>
        </w:tc>
      </w:tr>
      <w:tr>
        <w:tc>
          <w:tcPr>
            <w:tcW w:type="dxa" w:w="3168"/>
          </w:tcPr>
          <w:p>
            <w:r/>
            <w:r>
              <w:rPr>
                <w:sz w:val="18"/>
              </w:rPr>
              <w:t>Líneas de orden</w:t>
            </w:r>
          </w:p>
        </w:tc>
        <w:tc>
          <w:tcPr>
            <w:tcW w:type="dxa" w:w="2160"/>
          </w:tcPr>
          <w:p>
            <w:r/>
            <w:r>
              <w:rPr>
                <w:sz w:val="18"/>
              </w:rPr>
              <w:t>2.996</w:t>
            </w:r>
          </w:p>
        </w:tc>
        <w:tc>
          <w:tcPr>
            <w:tcW w:type="dxa" w:w="2160"/>
          </w:tcPr>
          <w:p>
            <w:r/>
            <w:r>
              <w:rPr>
                <w:sz w:val="18"/>
              </w:rPr>
              <w:t>2.996</w:t>
            </w:r>
          </w:p>
        </w:tc>
        <w:tc>
          <w:tcPr>
            <w:tcW w:type="dxa" w:w="1440"/>
          </w:tcPr>
          <w:p>
            <w:r/>
            <w:r>
              <w:rPr>
                <w:sz w:val="18"/>
              </w:rPr>
              <w:t>OK</w:t>
            </w:r>
          </w:p>
        </w:tc>
      </w:tr>
      <w:tr>
        <w:tc>
          <w:tcPr>
            <w:tcW w:type="dxa" w:w="3168"/>
          </w:tcPr>
          <w:p>
            <w:r/>
            <w:r>
              <w:rPr>
                <w:sz w:val="18"/>
              </w:rPr>
              <w:t>Órdenes distintas</w:t>
            </w:r>
          </w:p>
        </w:tc>
        <w:tc>
          <w:tcPr>
            <w:tcW w:type="dxa" w:w="2160"/>
          </w:tcPr>
          <w:p>
            <w:r/>
            <w:r>
              <w:rPr>
                <w:sz w:val="18"/>
              </w:rPr>
              <w:t>326</w:t>
            </w:r>
          </w:p>
        </w:tc>
        <w:tc>
          <w:tcPr>
            <w:tcW w:type="dxa" w:w="2160"/>
          </w:tcPr>
          <w:p>
            <w:r/>
            <w:r>
              <w:rPr>
                <w:sz w:val="18"/>
              </w:rPr>
              <w:t>326</w:t>
            </w:r>
          </w:p>
        </w:tc>
        <w:tc>
          <w:tcPr>
            <w:tcW w:type="dxa" w:w="1440"/>
          </w:tcPr>
          <w:p>
            <w:r/>
            <w:r>
              <w:rPr>
                <w:sz w:val="18"/>
              </w:rPr>
              <w:t>OK</w:t>
            </w:r>
          </w:p>
        </w:tc>
      </w:tr>
      <w:tr>
        <w:tc>
          <w:tcPr>
            <w:tcW w:type="dxa" w:w="3168"/>
          </w:tcPr>
          <w:p>
            <w:r/>
            <w:r>
              <w:rPr>
                <w:sz w:val="18"/>
              </w:rPr>
              <w:t>Llamadas de servicio</w:t>
            </w:r>
          </w:p>
        </w:tc>
        <w:tc>
          <w:tcPr>
            <w:tcW w:type="dxa" w:w="2160"/>
          </w:tcPr>
          <w:p>
            <w:r/>
            <w:r>
              <w:rPr>
                <w:sz w:val="18"/>
              </w:rPr>
              <w:t>108</w:t>
            </w:r>
          </w:p>
        </w:tc>
        <w:tc>
          <w:tcPr>
            <w:tcW w:type="dxa" w:w="2160"/>
          </w:tcPr>
          <w:p>
            <w:r/>
            <w:r>
              <w:rPr>
                <w:sz w:val="18"/>
              </w:rPr>
              <w:t>108</w:t>
            </w:r>
          </w:p>
        </w:tc>
        <w:tc>
          <w:tcPr>
            <w:tcW w:type="dxa" w:w="1440"/>
          </w:tcPr>
          <w:p>
            <w:r/>
            <w:r>
              <w:rPr>
                <w:sz w:val="18"/>
              </w:rPr>
              <w:t>OK</w:t>
            </w:r>
          </w:p>
        </w:tc>
      </w:tr>
      <w:tr>
        <w:tc>
          <w:tcPr>
            <w:tcW w:type="dxa" w:w="3168"/>
          </w:tcPr>
          <w:p>
            <w:r/>
            <w:r>
              <w:rPr>
                <w:sz w:val="18"/>
              </w:rPr>
              <w:t>Clientes</w:t>
            </w:r>
          </w:p>
        </w:tc>
        <w:tc>
          <w:tcPr>
            <w:tcW w:type="dxa" w:w="2160"/>
          </w:tcPr>
          <w:p>
            <w:r/>
            <w:r>
              <w:rPr>
                <w:sz w:val="18"/>
              </w:rPr>
              <w:t>122</w:t>
            </w:r>
          </w:p>
        </w:tc>
        <w:tc>
          <w:tcPr>
            <w:tcW w:type="dxa" w:w="2160"/>
          </w:tcPr>
          <w:p>
            <w:r/>
            <w:r>
              <w:rPr>
                <w:sz w:val="18"/>
              </w:rPr>
              <w:t>122</w:t>
            </w:r>
          </w:p>
        </w:tc>
        <w:tc>
          <w:tcPr>
            <w:tcW w:type="dxa" w:w="1440"/>
          </w:tcPr>
          <w:p>
            <w:r/>
            <w:r>
              <w:rPr>
                <w:sz w:val="18"/>
              </w:rPr>
              <w:t>OK</w:t>
            </w:r>
          </w:p>
        </w:tc>
      </w:tr>
      <w:tr>
        <w:tc>
          <w:tcPr>
            <w:tcW w:type="dxa" w:w="3168"/>
          </w:tcPr>
          <w:p>
            <w:r/>
            <w:r>
              <w:rPr>
                <w:sz w:val="18"/>
              </w:rPr>
              <w:t>Productos</w:t>
            </w:r>
          </w:p>
        </w:tc>
        <w:tc>
          <w:tcPr>
            <w:tcW w:type="dxa" w:w="2160"/>
          </w:tcPr>
          <w:p>
            <w:r/>
            <w:r>
              <w:rPr>
                <w:sz w:val="18"/>
              </w:rPr>
              <w:t>110</w:t>
            </w:r>
          </w:p>
        </w:tc>
        <w:tc>
          <w:tcPr>
            <w:tcW w:type="dxa" w:w="2160"/>
          </w:tcPr>
          <w:p>
            <w:r/>
            <w:r>
              <w:rPr>
                <w:sz w:val="18"/>
              </w:rPr>
              <w:t>110</w:t>
            </w:r>
          </w:p>
        </w:tc>
        <w:tc>
          <w:tcPr>
            <w:tcW w:type="dxa" w:w="1440"/>
          </w:tcPr>
          <w:p>
            <w:r/>
            <w:r>
              <w:rPr>
                <w:sz w:val="18"/>
              </w:rPr>
              <w:t>OK</w:t>
            </w:r>
          </w:p>
        </w:tc>
      </w:tr>
      <w:tr>
        <w:tc>
          <w:tcPr>
            <w:tcW w:type="dxa" w:w="3168"/>
          </w:tcPr>
          <w:p>
            <w:r/>
            <w:r>
              <w:rPr>
                <w:sz w:val="18"/>
              </w:rPr>
              <w:t>Oficinas</w:t>
            </w:r>
          </w:p>
        </w:tc>
        <w:tc>
          <w:tcPr>
            <w:tcW w:type="dxa" w:w="2160"/>
          </w:tcPr>
          <w:p>
            <w:r/>
            <w:r>
              <w:rPr>
                <w:sz w:val="18"/>
              </w:rPr>
              <w:t>7</w:t>
            </w:r>
          </w:p>
        </w:tc>
        <w:tc>
          <w:tcPr>
            <w:tcW w:type="dxa" w:w="2160"/>
          </w:tcPr>
          <w:p>
            <w:r/>
            <w:r>
              <w:rPr>
                <w:sz w:val="18"/>
              </w:rPr>
              <w:t>7</w:t>
            </w:r>
          </w:p>
        </w:tc>
        <w:tc>
          <w:tcPr>
            <w:tcW w:type="dxa" w:w="1440"/>
          </w:tcPr>
          <w:p>
            <w:r/>
            <w:r>
              <w:rPr>
                <w:sz w:val="18"/>
              </w:rPr>
              <w:t>OK</w:t>
            </w:r>
          </w:p>
        </w:tc>
      </w:tr>
      <w:tr>
        <w:tc>
          <w:tcPr>
            <w:tcW w:type="dxa" w:w="3168"/>
          </w:tcPr>
          <w:p>
            <w:r/>
            <w:r>
              <w:rPr>
                <w:sz w:val="18"/>
              </w:rPr>
              <w:t>Empleados (ambas fuentes)</w:t>
            </w:r>
          </w:p>
        </w:tc>
        <w:tc>
          <w:tcPr>
            <w:tcW w:type="dxa" w:w="2160"/>
          </w:tcPr>
          <w:p>
            <w:r/>
            <w:r>
              <w:rPr>
                <w:sz w:val="18"/>
              </w:rPr>
              <w:t>53</w:t>
            </w:r>
          </w:p>
        </w:tc>
        <w:tc>
          <w:tcPr>
            <w:tcW w:type="dxa" w:w="2160"/>
          </w:tcPr>
          <w:p>
            <w:r/>
            <w:r>
              <w:rPr>
                <w:sz w:val="18"/>
              </w:rPr>
              <w:t>53</w:t>
            </w:r>
          </w:p>
        </w:tc>
        <w:tc>
          <w:tcPr>
            <w:tcW w:type="dxa" w:w="1440"/>
          </w:tcPr>
          <w:p>
            <w:r/>
            <w:r>
              <w:rPr>
                <w:sz w:val="18"/>
              </w:rPr>
              <w:t>OK</w:t>
            </w:r>
          </w:p>
        </w:tc>
      </w:tr>
    </w:tbl>
    <w:p/>
    <w:p>
      <w:r>
        <w:rPr>
          <w:b/>
          <w:sz w:val="18"/>
        </w:rPr>
        <w:t>Evidencia — salida real del test, capturada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datawarehouse/tests/validate_against_sources.py</w:t>
            </w:r>
          </w:p>
          <w:p>
            <w:r>
              <w:rPr>
                <w:rFonts w:ascii="Consolas" w:hAnsi="Consolas"/>
                <w:color w:val="D8E8D8"/>
                <w:sz w:val="16"/>
              </w:rPr>
              <w:t>Check                        Source        Warehouse   Status</w:t>
            </w:r>
          </w:p>
          <w:p>
            <w:r>
              <w:rPr>
                <w:rFonts w:ascii="Consolas" w:hAnsi="Consolas"/>
                <w:color w:val="D8E8D8"/>
                <w:sz w:val="16"/>
              </w:rPr>
              <w:t>Total sales amount       9604190.61     9604190.61   OK</w:t>
            </w:r>
          </w:p>
          <w:p>
            <w:r>
              <w:rPr>
                <w:rFonts w:ascii="Consolas" w:hAnsi="Consolas"/>
                <w:color w:val="D8E8D8"/>
                <w:sz w:val="16"/>
              </w:rPr>
              <w:t>Units sold                  105516.0         105516   OK</w:t>
            </w:r>
          </w:p>
          <w:p>
            <w:r>
              <w:rPr>
                <w:rFonts w:ascii="Consolas" w:hAnsi="Consolas"/>
                <w:color w:val="D8E8D8"/>
                <w:sz w:val="16"/>
              </w:rPr>
              <w:t>...</w:t>
            </w:r>
          </w:p>
          <w:p>
            <w:r>
              <w:rPr>
                <w:rFonts w:ascii="Consolas" w:hAnsi="Consolas"/>
                <w:color w:val="D8E8D8"/>
                <w:sz w:val="16"/>
              </w:rPr>
              <w:t>Employees (both sources)          53             53   OK</w:t>
            </w:r>
          </w:p>
          <w:p>
            <w:r>
              <w:rPr>
                <w:rFonts w:ascii="Consolas" w:hAnsi="Consolas"/>
                <w:color w:val="D8E8D8"/>
                <w:sz w:val="16"/>
              </w:rPr>
            </w:r>
          </w:p>
          <w:p>
            <w:r>
              <w:rPr>
                <w:rFonts w:ascii="Consolas" w:hAnsi="Consolas"/>
                <w:color w:val="D8E8D8"/>
                <w:sz w:val="16"/>
              </w:rPr>
              <w:t>All checks passed.</w:t>
            </w:r>
          </w:p>
        </w:tc>
      </w:tr>
    </w:tbl>
    <w:p/>
    <w:p>
      <w:r>
        <w:rPr>
          <w:b/>
          <w:sz w:val="18"/>
        </w:rPr>
        <w:t>Evidencia — camino de rechazo probado con datos sintéticos,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datawarehouse/tests/test_dq_reject_path.py</w:t>
            </w:r>
          </w:p>
          <w:p>
            <w:r>
              <w:rPr>
                <w:rFonts w:ascii="Consolas" w:hAnsi="Consolas"/>
                <w:color w:val="D8E8D8"/>
                <w:sz w:val="16"/>
              </w:rPr>
              <w:t>Record                Expected rule                    Caught   Outcome   Status</w:t>
            </w:r>
          </w:p>
          <w:p>
            <w:r>
              <w:rPr>
                <w:rFonts w:ascii="Consolas" w:hAnsi="Consolas"/>
                <w:color w:val="D8E8D8"/>
                <w:sz w:val="16"/>
              </w:rPr>
              <w:t>customers #3           campos_obligatorios                yes  rejected   OK</w:t>
            </w:r>
          </w:p>
          <w:p>
            <w:r>
              <w:rPr>
                <w:rFonts w:ascii="Consolas" w:hAnsi="Consolas"/>
                <w:color w:val="D8E8D8"/>
                <w:sz w:val="16"/>
              </w:rPr>
              <w:t>orders #2              secuencia_de_fechas                yes  rejected   OK</w:t>
            </w:r>
          </w:p>
          <w:p>
            <w:r>
              <w:rPr>
                <w:rFonts w:ascii="Consolas" w:hAnsi="Consolas"/>
                <w:color w:val="D8E8D8"/>
                <w:sz w:val="16"/>
              </w:rPr>
              <w:t>orderdetails #2        integridad_referencial             yes  rejected   OK</w:t>
            </w:r>
          </w:p>
          <w:p>
            <w:r>
              <w:rPr>
                <w:rFonts w:ascii="Consolas" w:hAnsi="Consolas"/>
                <w:color w:val="D8E8D8"/>
                <w:sz w:val="16"/>
              </w:rPr>
              <w:t>orderdetails #3        valores_positivos                  yes  rejected   OK</w:t>
            </w:r>
          </w:p>
          <w:p>
            <w:r>
              <w:rPr>
                <w:rFonts w:ascii="Consolas" w:hAnsi="Consolas"/>
                <w:color w:val="D8E8D8"/>
                <w:sz w:val="16"/>
              </w:rPr>
              <w:t>cs_customer_calls #2   integridad_referencial             yes  rejected   OK</w:t>
            </w:r>
          </w:p>
          <w:p>
            <w:r>
              <w:rPr>
                <w:rFonts w:ascii="Consolas" w:hAnsi="Consolas"/>
                <w:color w:val="D8E8D8"/>
                <w:sz w:val="16"/>
              </w:rPr>
              <w:t>... (11 reglas evaluadas en total, una por registro sintético)</w:t>
            </w:r>
          </w:p>
          <w:p>
            <w:r>
              <w:rPr>
                <w:rFonts w:ascii="Consolas" w:hAnsi="Consolas"/>
                <w:color w:val="D8E8D8"/>
                <w:sz w:val="16"/>
              </w:rPr>
            </w:r>
          </w:p>
          <w:p>
            <w:r>
              <w:rPr>
                <w:rFonts w:ascii="Consolas" w:hAnsi="Consolas"/>
                <w:color w:val="D8E8D8"/>
                <w:sz w:val="16"/>
              </w:rPr>
              <w:t>No healthy record was flagged.</w:t>
            </w:r>
          </w:p>
          <w:p>
            <w:r>
              <w:rPr>
                <w:rFonts w:ascii="Consolas" w:hAnsi="Consolas"/>
                <w:color w:val="D8E8D8"/>
                <w:sz w:val="16"/>
              </w:rPr>
              <w:t>The rejection path works.</w:t>
            </w:r>
          </w:p>
        </w:tc>
      </w:tr>
    </w:tbl>
    <w:p/>
    <w:p>
      <w:r>
        <w:t>Los dos backups (almacén y repositorio de metadatos) se regeneraron y su restauración se verificó sobre una base temporal, comparando conteos de tablas y vistas contra la base real.</w:t>
      </w:r>
    </w:p>
    <w:p>
      <w:r>
        <w:br w:type="page"/>
      </w:r>
    </w:p>
    <w:p>
      <w:pPr>
        <w:pStyle w:val="Heading1"/>
      </w:pPr>
      <w:r>
        <w:t>3. Diseño de metadatos (15%)</w:t>
      </w:r>
    </w:p>
    <w:p>
      <w:pPr>
        <w:pStyle w:val="Heading2"/>
      </w:pPr>
      <w:r>
        <w:t>3.1 Las cuatro categorías de metadatos</w:t>
      </w:r>
    </w:p>
    <w:p>
      <w:r>
        <w:t>Un repositorio de metadatos que solo documenta la estructura técnica de las tablas responde "¿qué columnas tiene esta tabla?", pero no "¿qué reportes dependen de ella?" ni "¿con qué frecuencia se usa?". Siguiendo el marco de DAMA-DMBOK, el repositorio de este proyecto cubre las cuatro categorías de metadatos, no solo las dos más comunes: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1728"/>
            <w:shd w:val="clear" w:color="auto" w:fill="1F3A5F"/>
            <w:vAlign w:val="center"/>
          </w:tcPr>
          <w:p>
            <w:r/>
            <w:r>
              <w:rPr>
                <w:b/>
                <w:color w:val="FFFFFF"/>
                <w:sz w:val="18"/>
              </w:rPr>
              <w:t>Categoría</w:t>
            </w:r>
          </w:p>
        </w:tc>
        <w:tc>
          <w:tcPr>
            <w:tcW w:type="dxa" w:w="4320"/>
            <w:shd w:val="clear" w:color="auto" w:fill="1F3A5F"/>
            <w:vAlign w:val="center"/>
          </w:tcPr>
          <w:p>
            <w:r/>
            <w:r>
              <w:rPr>
                <w:b/>
                <w:color w:val="FFFFFF"/>
                <w:sz w:val="18"/>
              </w:rPr>
              <w:t>Qué es</w:t>
            </w:r>
          </w:p>
        </w:tc>
        <w:tc>
          <w:tcPr>
            <w:tcW w:type="dxa" w:w="3168"/>
            <w:shd w:val="clear" w:color="auto" w:fill="1F3A5F"/>
            <w:vAlign w:val="center"/>
          </w:tcPr>
          <w:p>
            <w:r/>
            <w:r>
              <w:rPr>
                <w:b/>
                <w:color w:val="FFFFFF"/>
                <w:sz w:val="18"/>
              </w:rPr>
              <w:t>Tablas que la implementan</w:t>
            </w:r>
          </w:p>
        </w:tc>
      </w:tr>
      <w:tr>
        <w:tc>
          <w:tcPr>
            <w:tcW w:type="dxa" w:w="1728"/>
          </w:tcPr>
          <w:p>
            <w:r/>
            <w:r>
              <w:rPr>
                <w:sz w:val="18"/>
              </w:rPr>
              <w:t>Negocio</w:t>
            </w:r>
          </w:p>
        </w:tc>
        <w:tc>
          <w:tcPr>
            <w:tcW w:type="dxa" w:w="4320"/>
          </w:tcPr>
          <w:p>
            <w:r/>
            <w:r>
              <w:rPr>
                <w:sz w:val="18"/>
              </w:rPr>
              <w:t>Glosario y significado de los datos para la organización</w:t>
            </w:r>
          </w:p>
        </w:tc>
        <w:tc>
          <w:tcPr>
            <w:tcW w:type="dxa" w:w="3168"/>
          </w:tcPr>
          <w:p>
            <w:r/>
            <w:r>
              <w:rPr>
                <w:sz w:val="18"/>
              </w:rPr>
              <w:t>business_entity, business_attribute</w:t>
            </w:r>
          </w:p>
        </w:tc>
      </w:tr>
      <w:tr>
        <w:tc>
          <w:tcPr>
            <w:tcW w:type="dxa" w:w="1728"/>
          </w:tcPr>
          <w:p>
            <w:r/>
            <w:r>
              <w:rPr>
                <w:sz w:val="18"/>
              </w:rPr>
              <w:t>Técnicos</w:t>
            </w:r>
          </w:p>
        </w:tc>
        <w:tc>
          <w:tcPr>
            <w:tcW w:type="dxa" w:w="4320"/>
          </w:tcPr>
          <w:p>
            <w:r/>
            <w:r>
              <w:rPr>
                <w:sz w:val="18"/>
              </w:rPr>
              <w:t>Catálogos de tablas, columnas y tipos, de las fuentes y del almacén</w:t>
            </w:r>
          </w:p>
        </w:tc>
        <w:tc>
          <w:tcPr>
            <w:tcW w:type="dxa" w:w="3168"/>
          </w:tcPr>
          <w:p>
            <w:r/>
            <w:r>
              <w:rPr>
                <w:sz w:val="18"/>
              </w:rPr>
              <w:t>data_source, db_table, db_column, dw_object, dw_measure, dw_attribute</w:t>
            </w:r>
          </w:p>
        </w:tc>
      </w:tr>
      <w:tr>
        <w:tc>
          <w:tcPr>
            <w:tcW w:type="dxa" w:w="1728"/>
          </w:tcPr>
          <w:p>
            <w:r/>
            <w:r>
              <w:rPr>
                <w:sz w:val="18"/>
              </w:rPr>
              <w:t>Procesos</w:t>
            </w:r>
          </w:p>
        </w:tc>
        <w:tc>
          <w:tcPr>
            <w:tcW w:type="dxa" w:w="4320"/>
          </w:tcPr>
          <w:p>
            <w:r/>
            <w:r>
              <w:rPr>
                <w:sz w:val="18"/>
              </w:rPr>
              <w:t>Qué transformaciones se aplicaron y cuándo</w:t>
            </w:r>
          </w:p>
        </w:tc>
        <w:tc>
          <w:tcPr>
            <w:tcW w:type="dxa" w:w="3168"/>
          </w:tcPr>
          <w:p>
            <w:r/>
            <w:r>
              <w:rPr>
                <w:sz w:val="18"/>
              </w:rPr>
              <w:t>etl_process, etl_execution, dw_lineage</w:t>
            </w:r>
          </w:p>
        </w:tc>
      </w:tr>
      <w:tr>
        <w:tc>
          <w:tcPr>
            <w:tcW w:type="dxa" w:w="1728"/>
          </w:tcPr>
          <w:p>
            <w:r/>
            <w:r>
              <w:rPr>
                <w:sz w:val="18"/>
              </w:rPr>
              <w:t>Uso</w:t>
            </w:r>
          </w:p>
        </w:tc>
        <w:tc>
          <w:tcPr>
            <w:tcW w:type="dxa" w:w="4320"/>
          </w:tcPr>
          <w:p>
            <w:r/>
            <w:r>
              <w:rPr>
                <w:sz w:val="18"/>
              </w:rPr>
              <w:t>Con qué herramientas, con qué frecuencia y con qué patrones de acceso se consulta</w:t>
            </w:r>
          </w:p>
        </w:tc>
        <w:tc>
          <w:tcPr>
            <w:tcW w:type="dxa" w:w="3168"/>
          </w:tcPr>
          <w:p>
            <w:r/>
            <w:r>
              <w:rPr>
                <w:sz w:val="18"/>
              </w:rPr>
              <w:t>usage_herramienta, usage_consulta, usage_consulta_objeto, usage_acceso_objeto</w:t>
            </w:r>
          </w:p>
        </w:tc>
      </w:tr>
    </w:tbl>
    <w:p/>
    <w:p>
      <w:r>
        <w:t>La Entrega 1 cubrió Negocio y Técnicos para las fuentes. Esta entrega agrega Procesos y Uso, más la extensión de Técnicos hacia el almacén: el repositorio pasó de 6 a 18 tablas. La categoría de Uso tiene una particularidad que vale la pena subrayar: a diferencia de las otras tres, el uso no se declara, se mide. usage_acceso_objeto se puebla leyendo pg_stat_user_tables del propio motor de PostgreSQL — los contadores reales de lecturas del motor, no una estimación ni una lista escrita a mano.</w:t>
      </w:r>
    </w:p>
    <w:p>
      <w:pPr>
        <w:jc w:val="center"/>
      </w:pPr>
      <w:r>
        <w:drawing>
          <wp:inline xmlns:a="http://schemas.openxmlformats.org/drawingml/2006/main" xmlns:pic="http://schemas.openxmlformats.org/drawingml/2006/picture">
            <wp:extent cx="5486400" cy="3112477"/>
            <wp:docPr id="3" name="Picture 3"/>
            <wp:cNvGraphicFramePr>
              <a:graphicFrameLocks noChangeAspect="1"/>
            </wp:cNvGraphicFramePr>
            <a:graphic>
              <a:graphicData uri="http://schemas.openxmlformats.org/drawingml/2006/picture">
                <pic:pic>
                  <pic:nvPicPr>
                    <pic:cNvPr id="0" name="d4_metadatos_uso.png"/>
                    <pic:cNvPicPr/>
                  </pic:nvPicPr>
                  <pic:blipFill>
                    <a:blip r:embed="rId11"/>
                    <a:stretch>
                      <a:fillRect/>
                    </a:stretch>
                  </pic:blipFill>
                  <pic:spPr>
                    <a:xfrm>
                      <a:off x="0" y="0"/>
                      <a:ext cx="5486400" cy="3112477"/>
                    </a:xfrm>
                    <a:prstGeom prst="rect"/>
                  </pic:spPr>
                </pic:pic>
              </a:graphicData>
            </a:graphic>
          </wp:inline>
        </w:drawing>
      </w:r>
    </w:p>
    <w:p>
      <w:pPr>
        <w:jc w:val="center"/>
      </w:pPr>
      <w:r>
        <w:rPr>
          <w:i/>
          <w:color w:val="5A5A5A"/>
          <w:sz w:val="18"/>
        </w:rPr>
        <w:t>Figura 3. Metadatos de uso: la rama declarada y la rama medida.</w:t>
      </w:r>
    </w:p>
    <w:p/>
    <w:p>
      <w:pPr>
        <w:pStyle w:val="Heading2"/>
      </w:pPr>
      <w:r>
        <w:t>3.2 Dimensiones lentamente cambiantes (SCD)</w:t>
      </w:r>
    </w:p>
    <w:p>
      <w:r>
        <w:t>Kimball clasifica el tratamiento de los cambios en una dimensión en tipos: Tipo 1 sobrescribe el valor anterior sin dejar rastro (la dimensión siempre muestra el estado actual); Tipo 2 preserva el historial completo agregando una nueva fila por cada cambio relevante, de modo que un hecho antiguo siga apuntando a los atributos vigentes en el momento en que ocurrió; Tipo 3 conserva solo el valor anterior y el actual en columnas separadas. La decisión de qué tipo usar no es cosmética: determina si un análisis histórico (por ejemplo, el margen de una venta de hace dos años) usa el precio de compra vigente en ese momento o el de hoy.</w:t>
      </w:r>
    </w:p>
    <w:p>
      <w:r>
        <w:t>Las seis dimensiones de este almacén son Tipo 1, y esa decisión quedó registrada como metadato en dw_object.scd_type y dw_object.scd_justificacion, no solo narrada en este documento. La razón está en el origen: las dos fuentes se restauran desde volcados estáticos, sin captura de cambios ni columnas de vigencia temporal, así que no existe historial real que preservar — un Tipo 2 sobre un origen sin historial produciría versiones vacías o, peor, inventadas.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448"/>
            <w:shd w:val="clear" w:color="auto" w:fill="1F3A5F"/>
            <w:vAlign w:val="center"/>
          </w:tcPr>
          <w:p>
            <w:r/>
            <w:r>
              <w:rPr>
                <w:b/>
                <w:color w:val="FFFFFF"/>
                <w:sz w:val="18"/>
              </w:rPr>
              <w:t>Dimensión</w:t>
            </w:r>
          </w:p>
        </w:tc>
        <w:tc>
          <w:tcPr>
            <w:tcW w:type="dxa" w:w="1008"/>
            <w:shd w:val="clear" w:color="auto" w:fill="1F3A5F"/>
            <w:vAlign w:val="center"/>
          </w:tcPr>
          <w:p>
            <w:r/>
            <w:r>
              <w:rPr>
                <w:b/>
                <w:color w:val="FFFFFF"/>
                <w:sz w:val="18"/>
              </w:rPr>
              <w:t>SCD</w:t>
            </w:r>
          </w:p>
        </w:tc>
        <w:tc>
          <w:tcPr>
            <w:tcW w:type="dxa" w:w="5616"/>
            <w:shd w:val="clear" w:color="auto" w:fill="1F3A5F"/>
            <w:vAlign w:val="center"/>
          </w:tcPr>
          <w:p>
            <w:r/>
            <w:r>
              <w:rPr>
                <w:b/>
                <w:color w:val="FFFFFF"/>
                <w:sz w:val="18"/>
              </w:rPr>
              <w:t>Justificación</w:t>
            </w:r>
          </w:p>
        </w:tc>
      </w:tr>
      <w:tr>
        <w:tc>
          <w:tcPr>
            <w:tcW w:type="dxa" w:w="2448"/>
          </w:tcPr>
          <w:p>
            <w:r/>
            <w:r>
              <w:rPr>
                <w:sz w:val="18"/>
              </w:rPr>
              <w:t>dim_cliente / dim_producto</w:t>
            </w:r>
          </w:p>
        </w:tc>
        <w:tc>
          <w:tcPr>
            <w:tcW w:type="dxa" w:w="1008"/>
          </w:tcPr>
          <w:p>
            <w:r/>
            <w:r>
              <w:rPr>
                <w:sz w:val="18"/>
              </w:rPr>
              <w:t>Tipo 1</w:t>
            </w:r>
          </w:p>
        </w:tc>
        <w:tc>
          <w:tcPr>
            <w:tcW w:type="dxa" w:w="5616"/>
          </w:tcPr>
          <w:p>
            <w:r/>
            <w:r>
              <w:rPr>
                <w:sz w:val="18"/>
              </w:rPr>
              <w:t>Origen es un snapshot estático; con un feed vivo serían las candidatas naturales a Tipo 2 (el límite de crédito, la dirección y el precio de compra cambian con el tiempo)</w:t>
            </w:r>
          </w:p>
        </w:tc>
      </w:tr>
      <w:tr>
        <w:tc>
          <w:tcPr>
            <w:tcW w:type="dxa" w:w="2448"/>
          </w:tcPr>
          <w:p>
            <w:r/>
            <w:r>
              <w:rPr>
                <w:sz w:val="18"/>
              </w:rPr>
              <w:t>dim_empleado</w:t>
            </w:r>
          </w:p>
        </w:tc>
        <w:tc>
          <w:tcPr>
            <w:tcW w:type="dxa" w:w="1008"/>
          </w:tcPr>
          <w:p>
            <w:r/>
            <w:r>
              <w:rPr>
                <w:sz w:val="18"/>
              </w:rPr>
              <w:t>Tipo 1</w:t>
            </w:r>
          </w:p>
        </w:tc>
        <w:tc>
          <w:tcPr>
            <w:tcW w:type="dxa" w:w="5616"/>
          </w:tcPr>
          <w:p>
            <w:r/>
            <w:r>
              <w:rPr>
                <w:sz w:val="18"/>
              </w:rPr>
              <w:t>El origen no registra cambios de cargo ni de oficina</w:t>
            </w:r>
          </w:p>
        </w:tc>
      </w:tr>
      <w:tr>
        <w:tc>
          <w:tcPr>
            <w:tcW w:type="dxa" w:w="2448"/>
          </w:tcPr>
          <w:p>
            <w:r/>
            <w:r>
              <w:rPr>
                <w:sz w:val="18"/>
              </w:rPr>
              <w:t>dim_oficina / dim_estado_orden</w:t>
            </w:r>
          </w:p>
        </w:tc>
        <w:tc>
          <w:tcPr>
            <w:tcW w:type="dxa" w:w="1008"/>
          </w:tcPr>
          <w:p>
            <w:r/>
            <w:r>
              <w:rPr>
                <w:sz w:val="18"/>
              </w:rPr>
              <w:t>Tipo 1</w:t>
            </w:r>
          </w:p>
        </w:tc>
        <w:tc>
          <w:tcPr>
            <w:tcW w:type="dxa" w:w="5616"/>
          </w:tcPr>
          <w:p>
            <w:r/>
            <w:r>
              <w:rPr>
                <w:sz w:val="18"/>
              </w:rPr>
              <w:t>Catálogos estables, sin historial en el origen</w:t>
            </w:r>
          </w:p>
        </w:tc>
      </w:tr>
      <w:tr>
        <w:tc>
          <w:tcPr>
            <w:tcW w:type="dxa" w:w="2448"/>
          </w:tcPr>
          <w:p>
            <w:r/>
            <w:r>
              <w:rPr>
                <w:sz w:val="18"/>
              </w:rPr>
              <w:t>dim_tiempo</w:t>
            </w:r>
          </w:p>
        </w:tc>
        <w:tc>
          <w:tcPr>
            <w:tcW w:type="dxa" w:w="1008"/>
          </w:tcPr>
          <w:p>
            <w:r/>
            <w:r>
              <w:rPr>
                <w:sz w:val="18"/>
              </w:rPr>
              <w:t>Tipo 1</w:t>
            </w:r>
          </w:p>
        </w:tc>
        <w:tc>
          <w:tcPr>
            <w:tcW w:type="dxa" w:w="5616"/>
          </w:tcPr>
          <w:p>
            <w:r/>
            <w:r>
              <w:rPr>
                <w:sz w:val="18"/>
              </w:rPr>
              <w:t>Dimensión generada y determinística; el concepto de historial no aplica</w:t>
            </w:r>
          </w:p>
        </w:tc>
      </w:tr>
    </w:tbl>
    <w:p/>
    <w:p>
      <w:pPr>
        <w:pStyle w:val="Heading2"/>
      </w:pPr>
      <w:r>
        <w:t>3.3 Diagrama físico del repositorio completo</w:t>
      </w:r>
    </w:p>
    <w:p>
      <w:r>
        <w:t>db_column —la tabla de la Entrega 1 que cataloga las 85 columnas de las fuentes— es el punto de unión del modelo completo: de ella salen el linaje hacia el negocio (column_business_mapping, Entrega 1), el linaje hacia el almacén (dw_lineage, Entrega 2) y las reglas de calidad asociadas a una columna concreta (dq_rule.source_column_id). Gracias a eso, el linaje no se corta en la frontera de las fuentes: llega hasta el almacén y hasta las reglas que lo gobiernan.</w:t>
      </w:r>
    </w:p>
    <w:p>
      <w:pPr>
        <w:jc w:val="center"/>
      </w:pPr>
      <w:r>
        <w:drawing>
          <wp:inline xmlns:a="http://schemas.openxmlformats.org/drawingml/2006/main" xmlns:pic="http://schemas.openxmlformats.org/drawingml/2006/picture">
            <wp:extent cx="5303520" cy="5131248"/>
            <wp:docPr id="4" name="Picture 4"/>
            <wp:cNvGraphicFramePr>
              <a:graphicFrameLocks noChangeAspect="1"/>
            </wp:cNvGraphicFramePr>
            <a:graphic>
              <a:graphicData uri="http://schemas.openxmlformats.org/drawingml/2006/picture">
                <pic:pic>
                  <pic:nvPicPr>
                    <pic:cNvPr id="0" name="metadata_repository_erd.png"/>
                    <pic:cNvPicPr/>
                  </pic:nvPicPr>
                  <pic:blipFill>
                    <a:blip r:embed="rId12"/>
                    <a:stretch>
                      <a:fillRect/>
                    </a:stretch>
                  </pic:blipFill>
                  <pic:spPr>
                    <a:xfrm>
                      <a:off x="0" y="0"/>
                      <a:ext cx="5303520" cy="5131248"/>
                    </a:xfrm>
                    <a:prstGeom prst="rect"/>
                  </pic:spPr>
                </pic:pic>
              </a:graphicData>
            </a:graphic>
          </wp:inline>
        </w:drawing>
      </w:r>
    </w:p>
    <w:p>
      <w:pPr>
        <w:jc w:val="center"/>
      </w:pPr>
      <w:r>
        <w:rPr>
          <w:i/>
          <w:color w:val="5A5A5A"/>
          <w:sz w:val="18"/>
        </w:rPr>
        <w:t>Figura 4. Repositorio de metadatos con las 18 tablas (6 de la Entrega 1 + 12 de la Entrega 2).</w:t>
      </w:r>
    </w:p>
    <w:p/>
    <w:p>
      <w:pPr>
        <w:pStyle w:val="Heading2"/>
      </w:pPr>
      <w:r>
        <w:t>3.4 Linaje de punta a punta: cuatro consultas sobre el mismo grafo</w:t>
      </w:r>
    </w:p>
    <w:p>
      <w:r>
        <w:t>El linaje de datos y el análisis de impacto son la misma estructura de grafo recorrida en direcciones opuestas, y responden preguntas de negocio distintas hechas por personas distintas: el linaje de datos (destino → orígenes) responde "¿de dónde viene este dato que me muestra un reporte?" — la pregunta de quien duda de una cifra —, mientras que el análisis de impacto (origen → destino) responde "si modifico esta columna en la fuente, ¿qué se rompe?" — la pregunta de quien va a cambiar algo, antes de tocarlo. Sin la categoría de metadatos de Uso, el análisis de impacto se detendría en la frontera del almacén y no podría decir qué reportes concretos dejarían de funcionar.</w:t>
      </w:r>
    </w:p>
    <w:p>
      <w:pPr>
        <w:jc w:val="center"/>
      </w:pPr>
      <w:r>
        <w:drawing>
          <wp:inline xmlns:a="http://schemas.openxmlformats.org/drawingml/2006/main" xmlns:pic="http://schemas.openxmlformats.org/drawingml/2006/picture">
            <wp:extent cx="5760720" cy="2152609"/>
            <wp:docPr id="5" name="Picture 5"/>
            <wp:cNvGraphicFramePr>
              <a:graphicFrameLocks noChangeAspect="1"/>
            </wp:cNvGraphicFramePr>
            <a:graphic>
              <a:graphicData uri="http://schemas.openxmlformats.org/drawingml/2006/picture">
                <pic:pic>
                  <pic:nvPicPr>
                    <pic:cNvPr id="0" name="d5_linaje_impacto.png"/>
                    <pic:cNvPicPr/>
                  </pic:nvPicPr>
                  <pic:blipFill>
                    <a:blip r:embed="rId13"/>
                    <a:stretch>
                      <a:fillRect/>
                    </a:stretch>
                  </pic:blipFill>
                  <pic:spPr>
                    <a:xfrm>
                      <a:off x="0" y="0"/>
                      <a:ext cx="5760720" cy="2152609"/>
                    </a:xfrm>
                    <a:prstGeom prst="rect"/>
                  </pic:spPr>
                </pic:pic>
              </a:graphicData>
            </a:graphic>
          </wp:inline>
        </w:drawing>
      </w:r>
    </w:p>
    <w:p>
      <w:pPr>
        <w:jc w:val="center"/>
      </w:pPr>
      <w:r>
        <w:rPr>
          <w:i/>
          <w:color w:val="5A5A5A"/>
          <w:sz w:val="18"/>
        </w:rPr>
        <w:t>Figura 5. Linaje de Datos vs. Análisis de Impacto.</w:t>
      </w:r>
    </w:p>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576"/>
            <w:shd w:val="clear" w:color="auto" w:fill="1F3A5F"/>
            <w:vAlign w:val="center"/>
          </w:tcPr>
          <w:p>
            <w:r/>
            <w:r>
              <w:rPr>
                <w:b/>
                <w:color w:val="FFFFFF"/>
                <w:sz w:val="18"/>
              </w:rPr>
              <w:t>#</w:t>
            </w:r>
          </w:p>
        </w:tc>
        <w:tc>
          <w:tcPr>
            <w:tcW w:type="dxa" w:w="2448"/>
            <w:shd w:val="clear" w:color="auto" w:fill="1F3A5F"/>
            <w:vAlign w:val="center"/>
          </w:tcPr>
          <w:p>
            <w:r/>
            <w:r>
              <w:rPr>
                <w:b/>
                <w:color w:val="FFFFFF"/>
                <w:sz w:val="18"/>
              </w:rPr>
              <w:t>Consulta</w:t>
            </w:r>
          </w:p>
        </w:tc>
        <w:tc>
          <w:tcPr>
            <w:tcW w:type="dxa" w:w="6048"/>
            <w:shd w:val="clear" w:color="auto" w:fill="1F3A5F"/>
            <w:vAlign w:val="center"/>
          </w:tcPr>
          <w:p>
            <w:r/>
            <w:r>
              <w:rPr>
                <w:b/>
                <w:color w:val="FFFFFF"/>
                <w:sz w:val="18"/>
              </w:rPr>
              <w:t>Responde</w:t>
            </w:r>
          </w:p>
        </w:tc>
      </w:tr>
      <w:tr>
        <w:tc>
          <w:tcPr>
            <w:tcW w:type="dxa" w:w="576"/>
          </w:tcPr>
          <w:p>
            <w:r/>
            <w:r>
              <w:rPr>
                <w:sz w:val="18"/>
              </w:rPr>
              <w:t>1</w:t>
            </w:r>
          </w:p>
        </w:tc>
        <w:tc>
          <w:tcPr>
            <w:tcW w:type="dxa" w:w="2448"/>
          </w:tcPr>
          <w:p>
            <w:r/>
            <w:r>
              <w:rPr>
                <w:sz w:val="18"/>
              </w:rPr>
              <w:t>Linaje de datos</w:t>
            </w:r>
          </w:p>
        </w:tc>
        <w:tc>
          <w:tcPr>
            <w:tcW w:type="dxa" w:w="6048"/>
          </w:tcPr>
          <w:p>
            <w:r/>
            <w:r>
              <w:rPr>
                <w:sz w:val="18"/>
              </w:rPr>
              <w:t>Cada medida/atributo del almacén, su columna fuente, la regla de transformación y la entidad de negocio</w:t>
            </w:r>
          </w:p>
        </w:tc>
      </w:tr>
      <w:tr>
        <w:tc>
          <w:tcPr>
            <w:tcW w:type="dxa" w:w="576"/>
          </w:tcPr>
          <w:p>
            <w:r/>
            <w:r>
              <w:rPr>
                <w:sz w:val="18"/>
              </w:rPr>
              <w:t>2</w:t>
            </w:r>
          </w:p>
        </w:tc>
        <w:tc>
          <w:tcPr>
            <w:tcW w:type="dxa" w:w="2448"/>
          </w:tcPr>
          <w:p>
            <w:r/>
            <w:r>
              <w:rPr>
                <w:sz w:val="18"/>
              </w:rPr>
              <w:t>Análisis de impacto</w:t>
            </w:r>
          </w:p>
        </w:tc>
        <w:tc>
          <w:tcPr>
            <w:tcW w:type="dxa" w:w="6048"/>
          </w:tcPr>
          <w:p>
            <w:r/>
            <w:r>
              <w:rPr>
                <w:sz w:val="18"/>
              </w:rPr>
              <w:t>Por cada columna fuente: qué objetos del almacén, reportes y reglas de calidad dependen de ella</w:t>
            </w:r>
          </w:p>
        </w:tc>
      </w:tr>
      <w:tr>
        <w:tc>
          <w:tcPr>
            <w:tcW w:type="dxa" w:w="576"/>
          </w:tcPr>
          <w:p>
            <w:r/>
            <w:r>
              <w:rPr>
                <w:sz w:val="18"/>
              </w:rPr>
              <w:t>3</w:t>
            </w:r>
          </w:p>
        </w:tc>
        <w:tc>
          <w:tcPr>
            <w:tcW w:type="dxa" w:w="2448"/>
          </w:tcPr>
          <w:p>
            <w:r/>
            <w:r>
              <w:rPr>
                <w:sz w:val="18"/>
              </w:rPr>
              <w:t>Impacto de una columna concreta</w:t>
            </w:r>
          </w:p>
        </w:tc>
        <w:tc>
          <w:tcPr>
            <w:tcW w:type="dxa" w:w="6048"/>
          </w:tcPr>
          <w:p>
            <w:r/>
            <w:r>
              <w:rPr>
                <w:sz w:val="18"/>
              </w:rPr>
              <w:t>Ejemplo resuelto de principio a fin: customers.customerNumber</w:t>
            </w:r>
          </w:p>
        </w:tc>
      </w:tr>
      <w:tr>
        <w:tc>
          <w:tcPr>
            <w:tcW w:type="dxa" w:w="576"/>
          </w:tcPr>
          <w:p>
            <w:r/>
            <w:r>
              <w:rPr>
                <w:sz w:val="18"/>
              </w:rPr>
              <w:t>4</w:t>
            </w:r>
          </w:p>
        </w:tc>
        <w:tc>
          <w:tcPr>
            <w:tcW w:type="dxa" w:w="2448"/>
          </w:tcPr>
          <w:p>
            <w:r/>
            <w:r>
              <w:rPr>
                <w:sz w:val="18"/>
              </w:rPr>
              <w:t>Cobertura</w:t>
            </w:r>
          </w:p>
        </w:tc>
        <w:tc>
          <w:tcPr>
            <w:tcW w:type="dxa" w:w="6048"/>
          </w:tcPr>
          <w:p>
            <w:r/>
            <w:r>
              <w:rPr>
                <w:sz w:val="18"/>
              </w:rPr>
              <w:t>Campos del almacén sin origen declarado, y si eso es esperado (llaves subrogadas, dim_tiempo, sistema_origen) o un vacío real de linaje</w:t>
            </w:r>
          </w:p>
        </w:tc>
      </w:tr>
    </w:tbl>
    <w:p/>
    <w:p>
      <w:r>
        <w:rPr>
          <w:i/>
          <w:color w:val="5A5A5A"/>
          <w:sz w:val="18"/>
        </w:rPr>
        <w:t>La consulta de cobertura convierte "¿el linaje está completo?" en algo verificable por SQL, no solo narrado en un documento.</w:t>
      </w:r>
    </w:p>
    <w:p>
      <w:r>
        <w:t>Un ejemplo del linaje de datos, encadenando column_business_mapping (Entrega 1) con dw_lineage (Entrega 2):</w:t>
      </w:r>
    </w:p>
    <w:tbl>
      <w:tblPr>
        <w:tblStyle w:val="TableGrid"/>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440"/>
            <w:shd w:val="clear" w:color="auto" w:fill="1F3A5F"/>
            <w:vAlign w:val="center"/>
          </w:tcPr>
          <w:p>
            <w:r/>
            <w:r>
              <w:rPr>
                <w:b/>
                <w:color w:val="FFFFFF"/>
                <w:sz w:val="18"/>
              </w:rPr>
              <w:t>Fuente</w:t>
            </w:r>
          </w:p>
        </w:tc>
        <w:tc>
          <w:tcPr>
            <w:tcW w:type="dxa" w:w="2304"/>
            <w:shd w:val="clear" w:color="auto" w:fill="1F3A5F"/>
            <w:vAlign w:val="center"/>
          </w:tcPr>
          <w:p>
            <w:r/>
            <w:r>
              <w:rPr>
                <w:b/>
                <w:color w:val="FFFFFF"/>
                <w:sz w:val="18"/>
              </w:rPr>
              <w:t>Columna origen</w:t>
            </w:r>
          </w:p>
        </w:tc>
        <w:tc>
          <w:tcPr>
            <w:tcW w:type="dxa" w:w="1296"/>
            <w:shd w:val="clear" w:color="auto" w:fill="1F3A5F"/>
            <w:vAlign w:val="center"/>
          </w:tcPr>
          <w:p>
            <w:r/>
            <w:r>
              <w:rPr>
                <w:b/>
                <w:color w:val="FFFFFF"/>
                <w:sz w:val="18"/>
              </w:rPr>
              <w:t>Objeto</w:t>
            </w:r>
          </w:p>
        </w:tc>
        <w:tc>
          <w:tcPr>
            <w:tcW w:type="dxa" w:w="1584"/>
            <w:shd w:val="clear" w:color="auto" w:fill="1F3A5F"/>
            <w:vAlign w:val="center"/>
          </w:tcPr>
          <w:p>
            <w:r/>
            <w:r>
              <w:rPr>
                <w:b/>
                <w:color w:val="FFFFFF"/>
                <w:sz w:val="18"/>
              </w:rPr>
              <w:t>Destino</w:t>
            </w:r>
          </w:p>
        </w:tc>
        <w:tc>
          <w:tcPr>
            <w:tcW w:type="dxa" w:w="1440"/>
            <w:shd w:val="clear" w:color="auto" w:fill="1F3A5F"/>
            <w:vAlign w:val="center"/>
          </w:tcPr>
          <w:p>
            <w:r/>
            <w:r>
              <w:rPr>
                <w:b/>
                <w:color w:val="FFFFFF"/>
                <w:sz w:val="18"/>
              </w:rPr>
              <w:t>Entidad de negocio</w:t>
            </w:r>
          </w:p>
        </w:tc>
        <w:tc>
          <w:tcPr>
            <w:tcW w:type="dxa" w:w="1296"/>
            <w:shd w:val="clear" w:color="auto" w:fill="1F3A5F"/>
            <w:vAlign w:val="center"/>
          </w:tcPr>
          <w:p>
            <w:r/>
            <w:r>
              <w:rPr>
                <w:b/>
                <w:color w:val="FFFFFF"/>
                <w:sz w:val="18"/>
              </w:rPr>
              <w:t>Regla</w:t>
            </w:r>
          </w:p>
        </w:tc>
      </w:tr>
      <w:tr>
        <w:tc>
          <w:tcPr>
            <w:tcW w:type="dxa" w:w="1440"/>
          </w:tcPr>
          <w:p>
            <w:r/>
            <w:r>
              <w:rPr>
                <w:sz w:val="16"/>
              </w:rPr>
              <w:t>classicmodels</w:t>
            </w:r>
          </w:p>
        </w:tc>
        <w:tc>
          <w:tcPr>
            <w:tcW w:type="dxa" w:w="2304"/>
          </w:tcPr>
          <w:p>
            <w:r/>
            <w:r>
              <w:rPr>
                <w:sz w:val="16"/>
              </w:rPr>
              <w:t>customers.customerNumber</w:t>
            </w:r>
          </w:p>
        </w:tc>
        <w:tc>
          <w:tcPr>
            <w:tcW w:type="dxa" w:w="1296"/>
          </w:tcPr>
          <w:p>
            <w:r/>
            <w:r>
              <w:rPr>
                <w:sz w:val="16"/>
              </w:rPr>
              <w:t>dim_cliente</w:t>
            </w:r>
          </w:p>
        </w:tc>
        <w:tc>
          <w:tcPr>
            <w:tcW w:type="dxa" w:w="1584"/>
          </w:tcPr>
          <w:p>
            <w:r/>
            <w:r>
              <w:rPr>
                <w:sz w:val="16"/>
              </w:rPr>
              <w:t>numero_cliente</w:t>
            </w:r>
          </w:p>
        </w:tc>
        <w:tc>
          <w:tcPr>
            <w:tcW w:type="dxa" w:w="1440"/>
          </w:tcPr>
          <w:p>
            <w:r/>
            <w:r>
              <w:rPr>
                <w:sz w:val="16"/>
              </w:rPr>
              <w:t>Cliente</w:t>
            </w:r>
          </w:p>
        </w:tc>
        <w:tc>
          <w:tcPr>
            <w:tcW w:type="dxa" w:w="1296"/>
          </w:tcPr>
          <w:p>
            <w:r/>
            <w:r>
              <w:rPr>
                <w:sz w:val="16"/>
              </w:rPr>
              <w:t>Copia directa</w:t>
            </w:r>
          </w:p>
        </w:tc>
      </w:tr>
      <w:tr>
        <w:tc>
          <w:tcPr>
            <w:tcW w:type="dxa" w:w="1440"/>
          </w:tcPr>
          <w:p>
            <w:r/>
            <w:r>
              <w:rPr>
                <w:sz w:val="16"/>
              </w:rPr>
              <w:t>classicmodels</w:t>
            </w:r>
          </w:p>
        </w:tc>
        <w:tc>
          <w:tcPr>
            <w:tcW w:type="dxa" w:w="2304"/>
          </w:tcPr>
          <w:p>
            <w:r/>
            <w:r>
              <w:rPr>
                <w:sz w:val="16"/>
              </w:rPr>
              <w:t>customers.addressLine1</w:t>
            </w:r>
          </w:p>
        </w:tc>
        <w:tc>
          <w:tcPr>
            <w:tcW w:type="dxa" w:w="1296"/>
          </w:tcPr>
          <w:p>
            <w:r/>
            <w:r>
              <w:rPr>
                <w:sz w:val="16"/>
              </w:rPr>
              <w:t>dim_cliente</w:t>
            </w:r>
          </w:p>
        </w:tc>
        <w:tc>
          <w:tcPr>
            <w:tcW w:type="dxa" w:w="1584"/>
          </w:tcPr>
          <w:p>
            <w:r/>
            <w:r>
              <w:rPr>
                <w:sz w:val="16"/>
              </w:rPr>
              <w:t>direccion_completa</w:t>
            </w:r>
          </w:p>
        </w:tc>
        <w:tc>
          <w:tcPr>
            <w:tcW w:type="dxa" w:w="1440"/>
          </w:tcPr>
          <w:p>
            <w:r/>
            <w:r>
              <w:rPr>
                <w:sz w:val="16"/>
              </w:rPr>
              <w:t>Cliente</w:t>
            </w:r>
          </w:p>
        </w:tc>
        <w:tc>
          <w:tcPr>
            <w:tcW w:type="dxa" w:w="1296"/>
          </w:tcPr>
          <w:p>
            <w:r/>
            <w:r>
              <w:rPr>
                <w:sz w:val="16"/>
              </w:rPr>
              <w:t>Concatenación con addressLine2</w:t>
            </w:r>
          </w:p>
        </w:tc>
      </w:tr>
      <w:tr>
        <w:tc>
          <w:tcPr>
            <w:tcW w:type="dxa" w:w="1440"/>
          </w:tcPr>
          <w:p>
            <w:r/>
            <w:r>
              <w:rPr>
                <w:sz w:val="16"/>
              </w:rPr>
              <w:t>customerservice</w:t>
            </w:r>
          </w:p>
        </w:tc>
        <w:tc>
          <w:tcPr>
            <w:tcW w:type="dxa" w:w="2304"/>
          </w:tcPr>
          <w:p>
            <w:r/>
            <w:r>
              <w:rPr>
                <w:sz w:val="16"/>
              </w:rPr>
              <w:t>cs_customers.customernumber</w:t>
            </w:r>
          </w:p>
        </w:tc>
        <w:tc>
          <w:tcPr>
            <w:tcW w:type="dxa" w:w="1296"/>
          </w:tcPr>
          <w:p>
            <w:r/>
            <w:r>
              <w:rPr>
                <w:sz w:val="16"/>
              </w:rPr>
              <w:t>dim_cliente</w:t>
            </w:r>
          </w:p>
        </w:tc>
        <w:tc>
          <w:tcPr>
            <w:tcW w:type="dxa" w:w="1584"/>
          </w:tcPr>
          <w:p>
            <w:r/>
            <w:r>
              <w:rPr>
                <w:sz w:val="16"/>
              </w:rPr>
              <w:t>presente_en_servicio</w:t>
            </w:r>
          </w:p>
        </w:tc>
        <w:tc>
          <w:tcPr>
            <w:tcW w:type="dxa" w:w="1440"/>
          </w:tcPr>
          <w:p>
            <w:r/>
            <w:r>
              <w:rPr>
                <w:sz w:val="16"/>
              </w:rPr>
              <w:t>Cliente</w:t>
            </w:r>
          </w:p>
        </w:tc>
        <w:tc>
          <w:tcPr>
            <w:tcW w:type="dxa" w:w="1296"/>
          </w:tcPr>
          <w:p>
            <w:r/>
            <w:r>
              <w:rPr>
                <w:sz w:val="16"/>
              </w:rPr>
              <w:t>Bandera de presencia</w:t>
            </w:r>
          </w:p>
        </w:tc>
      </w:tr>
      <w:tr>
        <w:tc>
          <w:tcPr>
            <w:tcW w:type="dxa" w:w="1440"/>
          </w:tcPr>
          <w:p>
            <w:r/>
            <w:r>
              <w:rPr>
                <w:sz w:val="16"/>
              </w:rPr>
              <w:t>classicmodels</w:t>
            </w:r>
          </w:p>
        </w:tc>
        <w:tc>
          <w:tcPr>
            <w:tcW w:type="dxa" w:w="2304"/>
          </w:tcPr>
          <w:p>
            <w:r/>
            <w:r>
              <w:rPr>
                <w:sz w:val="16"/>
              </w:rPr>
              <w:t>orderdetails.quantityOrdered</w:t>
            </w:r>
          </w:p>
        </w:tc>
        <w:tc>
          <w:tcPr>
            <w:tcW w:type="dxa" w:w="1296"/>
          </w:tcPr>
          <w:p>
            <w:r/>
            <w:r>
              <w:rPr>
                <w:sz w:val="16"/>
              </w:rPr>
              <w:t>fact_ventas</w:t>
            </w:r>
          </w:p>
        </w:tc>
        <w:tc>
          <w:tcPr>
            <w:tcW w:type="dxa" w:w="1584"/>
          </w:tcPr>
          <w:p>
            <w:r/>
            <w:r>
              <w:rPr>
                <w:sz w:val="16"/>
              </w:rPr>
              <w:t>cantidad_ordenada</w:t>
            </w:r>
          </w:p>
        </w:tc>
        <w:tc>
          <w:tcPr>
            <w:tcW w:type="dxa" w:w="1440"/>
          </w:tcPr>
          <w:p>
            <w:r/>
            <w:r>
              <w:rPr>
                <w:sz w:val="16"/>
              </w:rPr>
              <w:t>Orden de Compra</w:t>
            </w:r>
          </w:p>
        </w:tc>
        <w:tc>
          <w:tcPr>
            <w:tcW w:type="dxa" w:w="1296"/>
          </w:tcPr>
          <w:p>
            <w:r/>
            <w:r>
              <w:rPr>
                <w:sz w:val="16"/>
              </w:rPr>
              <w:t>Copia directa</w:t>
            </w:r>
          </w:p>
        </w:tc>
      </w:tr>
      <w:tr>
        <w:tc>
          <w:tcPr>
            <w:tcW w:type="dxa" w:w="1440"/>
          </w:tcPr>
          <w:p>
            <w:r/>
            <w:r>
              <w:rPr>
                <w:sz w:val="16"/>
              </w:rPr>
              <w:t>classicmodels</w:t>
            </w:r>
          </w:p>
        </w:tc>
        <w:tc>
          <w:tcPr>
            <w:tcW w:type="dxa" w:w="2304"/>
          </w:tcPr>
          <w:p>
            <w:r/>
            <w:r>
              <w:rPr>
                <w:sz w:val="16"/>
              </w:rPr>
              <w:t>products.buyPrice</w:t>
            </w:r>
          </w:p>
        </w:tc>
        <w:tc>
          <w:tcPr>
            <w:tcW w:type="dxa" w:w="1296"/>
          </w:tcPr>
          <w:p>
            <w:r/>
            <w:r>
              <w:rPr>
                <w:sz w:val="16"/>
              </w:rPr>
              <w:t>fact_ventas</w:t>
            </w:r>
          </w:p>
        </w:tc>
        <w:tc>
          <w:tcPr>
            <w:tcW w:type="dxa" w:w="1584"/>
          </w:tcPr>
          <w:p>
            <w:r/>
            <w:r>
              <w:rPr>
                <w:sz w:val="16"/>
              </w:rPr>
              <w:t>costo_linea</w:t>
            </w:r>
          </w:p>
        </w:tc>
        <w:tc>
          <w:tcPr>
            <w:tcW w:type="dxa" w:w="1440"/>
          </w:tcPr>
          <w:p>
            <w:r/>
            <w:r>
              <w:rPr>
                <w:sz w:val="16"/>
              </w:rPr>
              <w:t>Producto</w:t>
            </w:r>
          </w:p>
        </w:tc>
        <w:tc>
          <w:tcPr>
            <w:tcW w:type="dxa" w:w="1296"/>
          </w:tcPr>
          <w:p>
            <w:r/>
            <w:r>
              <w:rPr>
                <w:sz w:val="16"/>
              </w:rPr>
              <w:t>Cálculo</w:t>
            </w:r>
          </w:p>
        </w:tc>
      </w:tr>
    </w:tbl>
    <w:p/>
    <w:p>
      <w:pPr>
        <w:pStyle w:val="Heading2"/>
      </w:pPr>
      <w:r>
        <w:t>3.5 Calidad de datos como metadato gobernable</w:t>
      </w:r>
    </w:p>
    <w:p>
      <w:r>
        <w:t>dq_rule cataloga 20 reglas de calidad, cada una clasificada en dos ejes distintos porque responden preguntas distintas: el criterio DAMA (qué dimensión de calidad mide — exactitud, exhaustividad, consistencia, oportunidad, relevancia o confianza) y la capa del pipeline donde se evalúa. Confianza no tiene regla propia a propósito: DAMA-DMBOK la define como la combinación de los otros cinco criterios más gobierno, no como algo medible por separado.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160"/>
            <w:shd w:val="clear" w:color="auto" w:fill="1F3A5F"/>
            <w:vAlign w:val="center"/>
          </w:tcPr>
          <w:p>
            <w:r/>
            <w:r>
              <w:rPr>
                <w:b/>
                <w:color w:val="FFFFFF"/>
                <w:sz w:val="18"/>
              </w:rPr>
              <w:t>Capa</w:t>
            </w:r>
          </w:p>
        </w:tc>
        <w:tc>
          <w:tcPr>
            <w:tcW w:type="dxa" w:w="1152"/>
            <w:shd w:val="clear" w:color="auto" w:fill="1F3A5F"/>
            <w:vAlign w:val="center"/>
          </w:tcPr>
          <w:p>
            <w:r/>
            <w:r>
              <w:rPr>
                <w:b/>
                <w:color w:val="FFFFFF"/>
                <w:sz w:val="18"/>
              </w:rPr>
              <w:t>Reglas</w:t>
            </w:r>
          </w:p>
        </w:tc>
        <w:tc>
          <w:tcPr>
            <w:tcW w:type="dxa" w:w="5760"/>
            <w:shd w:val="clear" w:color="auto" w:fill="1F3A5F"/>
            <w:vAlign w:val="center"/>
          </w:tcPr>
          <w:p>
            <w:r/>
            <w:r>
              <w:rPr>
                <w:b/>
                <w:color w:val="FFFFFF"/>
                <w:sz w:val="18"/>
              </w:rPr>
              <w:t>Dónde se evalúa</w:t>
            </w:r>
          </w:p>
        </w:tc>
      </w:tr>
      <w:tr>
        <w:tc>
          <w:tcPr>
            <w:tcW w:type="dxa" w:w="2160"/>
          </w:tcPr>
          <w:p>
            <w:r/>
            <w:r>
              <w:rPr>
                <w:sz w:val="18"/>
              </w:rPr>
              <w:t>DATA_QUALITY</w:t>
            </w:r>
          </w:p>
        </w:tc>
        <w:tc>
          <w:tcPr>
            <w:tcW w:type="dxa" w:w="1152"/>
          </w:tcPr>
          <w:p>
            <w:r/>
            <w:r>
              <w:rPr>
                <w:sz w:val="18"/>
              </w:rPr>
              <w:t>11</w:t>
            </w:r>
          </w:p>
        </w:tc>
        <w:tc>
          <w:tcPr>
            <w:tcW w:type="dxa" w:w="5760"/>
          </w:tcPr>
          <w:p>
            <w:r/>
            <w:r>
              <w:rPr>
                <w:sz w:val="18"/>
              </w:rPr>
              <w:t>Registro por registro en etl_dw_staging.py; las bloqueantes rechazan el registro</w:t>
            </w:r>
          </w:p>
        </w:tc>
      </w:tr>
      <w:tr>
        <w:tc>
          <w:tcPr>
            <w:tcW w:type="dxa" w:w="2160"/>
          </w:tcPr>
          <w:p>
            <w:r/>
            <w:r>
              <w:rPr>
                <w:sz w:val="18"/>
              </w:rPr>
              <w:t>TRANSFORMATION</w:t>
            </w:r>
          </w:p>
        </w:tc>
        <w:tc>
          <w:tcPr>
            <w:tcW w:type="dxa" w:w="1152"/>
          </w:tcPr>
          <w:p>
            <w:r/>
            <w:r>
              <w:rPr>
                <w:sz w:val="18"/>
              </w:rPr>
              <w:t>8</w:t>
            </w:r>
          </w:p>
        </w:tc>
        <w:tc>
          <w:tcPr>
            <w:tcW w:type="dxa" w:w="5760"/>
          </w:tcPr>
          <w:p>
            <w:r/>
            <w:r>
              <w:rPr>
                <w:sz w:val="18"/>
              </w:rPr>
              <w:t>En etl_dw_dimensions.py / etl_dw_facts.py; documentan una decisión de modelado que resuelve un hallazgo del perfilamiento</w:t>
            </w:r>
          </w:p>
        </w:tc>
      </w:tr>
      <w:tr>
        <w:tc>
          <w:tcPr>
            <w:tcW w:type="dxa" w:w="2160"/>
          </w:tcPr>
          <w:p>
            <w:r/>
            <w:r>
              <w:rPr>
                <w:sz w:val="18"/>
              </w:rPr>
              <w:t>MONITOREO</w:t>
            </w:r>
          </w:p>
        </w:tc>
        <w:tc>
          <w:tcPr>
            <w:tcW w:type="dxa" w:w="1152"/>
          </w:tcPr>
          <w:p>
            <w:r/>
            <w:r>
              <w:rPr>
                <w:sz w:val="18"/>
              </w:rPr>
              <w:t>1</w:t>
            </w:r>
          </w:p>
        </w:tc>
        <w:tc>
          <w:tcPr>
            <w:tcW w:type="dxa" w:w="5760"/>
          </w:tcPr>
          <w:p>
            <w:r/>
            <w:r>
              <w:rPr>
                <w:sz w:val="18"/>
              </w:rPr>
              <w:t>almacen_frescura_de_carga, evaluada por check_freshness.py después de cada carga (sección 4)</w:t>
            </w:r>
          </w:p>
        </w:tc>
      </w:tr>
    </w:tbl>
    <w:p/>
    <w:p>
      <w:r>
        <w:rPr>
          <w:b/>
          <w:color w:val="1F6B4A"/>
          <w:sz w:val="18"/>
        </w:rPr>
        <w:t xml:space="preserve">✓ Verificado en vivo: </w:t>
      </w:r>
      <w:r>
        <w:rPr>
          <w:i/>
          <w:color w:val="1F6B4A"/>
          <w:sz w:val="18"/>
        </w:rPr>
        <w:t>dq_rule = 20 filas y las tres capas suman 20, confirmado contra la base metadata tras el reset.</w:t>
      </w:r>
    </w:p>
    <w:p>
      <w:pPr>
        <w:pStyle w:val="Heading2"/>
      </w:pPr>
      <w:r>
        <w:t>3.6 Metadatos de uso: un hallazgo medido, no declarado</w:t>
      </w:r>
    </w:p>
    <w:p>
      <w:r>
        <w:t>Esta es la medición real de pg_stat_user_tables, tomada justo después de una carga limpia: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880"/>
            <w:shd w:val="clear" w:color="auto" w:fill="1F3A5F"/>
            <w:vAlign w:val="center"/>
          </w:tcPr>
          <w:p>
            <w:r/>
            <w:r>
              <w:rPr>
                <w:b/>
                <w:color w:val="FFFFFF"/>
                <w:sz w:val="18"/>
              </w:rPr>
              <w:t>Objeto</w:t>
            </w:r>
          </w:p>
        </w:tc>
        <w:tc>
          <w:tcPr>
            <w:tcW w:type="dxa" w:w="3168"/>
            <w:shd w:val="clear" w:color="auto" w:fill="1F3A5F"/>
            <w:vAlign w:val="center"/>
          </w:tcPr>
          <w:p>
            <w:r/>
            <w:r>
              <w:rPr>
                <w:b/>
                <w:color w:val="FFFFFF"/>
                <w:sz w:val="18"/>
              </w:rPr>
              <w:t>Lecturas secuenciales</w:t>
            </w:r>
          </w:p>
        </w:tc>
        <w:tc>
          <w:tcPr>
            <w:tcW w:type="dxa" w:w="3168"/>
            <w:shd w:val="clear" w:color="auto" w:fill="1F3A5F"/>
            <w:vAlign w:val="center"/>
          </w:tcPr>
          <w:p>
            <w:r/>
            <w:r>
              <w:rPr>
                <w:b/>
                <w:color w:val="FFFFFF"/>
                <w:sz w:val="18"/>
              </w:rPr>
              <w:t>Lecturas por índice</w:t>
            </w:r>
          </w:p>
        </w:tc>
      </w:tr>
      <w:tr>
        <w:tc>
          <w:tcPr>
            <w:tcW w:type="dxa" w:w="2880"/>
          </w:tcPr>
          <w:p>
            <w:r/>
            <w:r>
              <w:rPr>
                <w:sz w:val="18"/>
              </w:rPr>
              <w:t>fact_ventas</w:t>
            </w:r>
          </w:p>
        </w:tc>
        <w:tc>
          <w:tcPr>
            <w:tcW w:type="dxa" w:w="3168"/>
          </w:tcPr>
          <w:p>
            <w:r/>
            <w:r>
              <w:rPr>
                <w:sz w:val="18"/>
              </w:rPr>
              <w:t>87</w:t>
            </w:r>
          </w:p>
        </w:tc>
        <w:tc>
          <w:tcPr>
            <w:tcW w:type="dxa" w:w="3168"/>
          </w:tcPr>
          <w:p>
            <w:r/>
            <w:r>
              <w:rPr>
                <w:sz w:val="18"/>
              </w:rPr>
              <w:t>10</w:t>
            </w:r>
          </w:p>
        </w:tc>
      </w:tr>
      <w:tr>
        <w:tc>
          <w:tcPr>
            <w:tcW w:type="dxa" w:w="2880"/>
          </w:tcPr>
          <w:p>
            <w:r/>
            <w:r>
              <w:rPr>
                <w:sz w:val="18"/>
              </w:rPr>
              <w:t>fact_llamadas_servicio</w:t>
            </w:r>
          </w:p>
        </w:tc>
        <w:tc>
          <w:tcPr>
            <w:tcW w:type="dxa" w:w="3168"/>
          </w:tcPr>
          <w:p>
            <w:r/>
            <w:r>
              <w:rPr>
                <w:sz w:val="18"/>
              </w:rPr>
              <w:t>44</w:t>
            </w:r>
          </w:p>
        </w:tc>
        <w:tc>
          <w:tcPr>
            <w:tcW w:type="dxa" w:w="3168"/>
          </w:tcPr>
          <w:p>
            <w:r/>
            <w:r>
              <w:rPr>
                <w:sz w:val="18"/>
              </w:rPr>
              <w:t>3</w:t>
            </w:r>
          </w:p>
        </w:tc>
      </w:tr>
      <w:tr>
        <w:tc>
          <w:tcPr>
            <w:tcW w:type="dxa" w:w="2880"/>
          </w:tcPr>
          <w:p>
            <w:r/>
            <w:r>
              <w:rPr>
                <w:sz w:val="18"/>
              </w:rPr>
              <w:t>dim_tiempo</w:t>
            </w:r>
          </w:p>
        </w:tc>
        <w:tc>
          <w:tcPr>
            <w:tcW w:type="dxa" w:w="3168"/>
          </w:tcPr>
          <w:p>
            <w:r/>
            <w:r>
              <w:rPr>
                <w:sz w:val="18"/>
              </w:rPr>
              <w:t>26</w:t>
            </w:r>
          </w:p>
        </w:tc>
        <w:tc>
          <w:tcPr>
            <w:tcW w:type="dxa" w:w="3168"/>
          </w:tcPr>
          <w:p>
            <w:r/>
            <w:r>
              <w:rPr>
                <w:sz w:val="18"/>
              </w:rPr>
              <w:t>3.106</w:t>
            </w:r>
          </w:p>
        </w:tc>
      </w:tr>
      <w:tr>
        <w:tc>
          <w:tcPr>
            <w:tcW w:type="dxa" w:w="2880"/>
          </w:tcPr>
          <w:p>
            <w:r/>
            <w:r>
              <w:rPr>
                <w:sz w:val="18"/>
              </w:rPr>
              <w:t>dim_producto</w:t>
            </w:r>
          </w:p>
        </w:tc>
        <w:tc>
          <w:tcPr>
            <w:tcW w:type="dxa" w:w="3168"/>
          </w:tcPr>
          <w:p>
            <w:r/>
            <w:r>
              <w:rPr>
                <w:sz w:val="18"/>
              </w:rPr>
              <w:t>25</w:t>
            </w:r>
          </w:p>
        </w:tc>
        <w:tc>
          <w:tcPr>
            <w:tcW w:type="dxa" w:w="3168"/>
          </w:tcPr>
          <w:p>
            <w:r/>
            <w:r>
              <w:rPr>
                <w:sz w:val="18"/>
              </w:rPr>
              <w:t>3.107</w:t>
            </w:r>
          </w:p>
        </w:tc>
      </w:tr>
      <w:tr>
        <w:tc>
          <w:tcPr>
            <w:tcW w:type="dxa" w:w="2880"/>
          </w:tcPr>
          <w:p>
            <w:r/>
            <w:r>
              <w:rPr>
                <w:sz w:val="18"/>
              </w:rPr>
              <w:t>dim_cliente</w:t>
            </w:r>
          </w:p>
        </w:tc>
        <w:tc>
          <w:tcPr>
            <w:tcW w:type="dxa" w:w="3168"/>
          </w:tcPr>
          <w:p>
            <w:r/>
            <w:r>
              <w:rPr>
                <w:sz w:val="18"/>
              </w:rPr>
              <w:t>20</w:t>
            </w:r>
          </w:p>
        </w:tc>
        <w:tc>
          <w:tcPr>
            <w:tcW w:type="dxa" w:w="3168"/>
          </w:tcPr>
          <w:p>
            <w:r/>
            <w:r>
              <w:rPr>
                <w:sz w:val="18"/>
              </w:rPr>
              <w:t>3.105</w:t>
            </w:r>
          </w:p>
        </w:tc>
      </w:tr>
      <w:tr>
        <w:tc>
          <w:tcPr>
            <w:tcW w:type="dxa" w:w="2880"/>
          </w:tcPr>
          <w:p>
            <w:r/>
            <w:r>
              <w:rPr>
                <w:sz w:val="18"/>
              </w:rPr>
              <w:t>dim_estado_orden</w:t>
            </w:r>
          </w:p>
        </w:tc>
        <w:tc>
          <w:tcPr>
            <w:tcW w:type="dxa" w:w="3168"/>
          </w:tcPr>
          <w:p>
            <w:r/>
            <w:r>
              <w:rPr>
                <w:sz w:val="18"/>
              </w:rPr>
              <w:t>17</w:t>
            </w:r>
          </w:p>
        </w:tc>
        <w:tc>
          <w:tcPr>
            <w:tcW w:type="dxa" w:w="3168"/>
          </w:tcPr>
          <w:p>
            <w:r/>
            <w:r>
              <w:rPr>
                <w:sz w:val="18"/>
              </w:rPr>
              <w:t>2.997</w:t>
            </w:r>
          </w:p>
        </w:tc>
      </w:tr>
      <w:tr>
        <w:tc>
          <w:tcPr>
            <w:tcW w:type="dxa" w:w="2880"/>
          </w:tcPr>
          <w:p>
            <w:r/>
            <w:r>
              <w:rPr>
                <w:sz w:val="18"/>
              </w:rPr>
              <w:t>dim_empleado</w:t>
            </w:r>
          </w:p>
        </w:tc>
        <w:tc>
          <w:tcPr>
            <w:tcW w:type="dxa" w:w="3168"/>
          </w:tcPr>
          <w:p>
            <w:r/>
            <w:r>
              <w:rPr>
                <w:sz w:val="18"/>
              </w:rPr>
              <w:t>15</w:t>
            </w:r>
          </w:p>
        </w:tc>
        <w:tc>
          <w:tcPr>
            <w:tcW w:type="dxa" w:w="3168"/>
          </w:tcPr>
          <w:p>
            <w:r/>
            <w:r>
              <w:rPr>
                <w:sz w:val="18"/>
              </w:rPr>
              <w:t>3.105</w:t>
            </w:r>
          </w:p>
        </w:tc>
      </w:tr>
      <w:tr>
        <w:tc>
          <w:tcPr>
            <w:tcW w:type="dxa" w:w="2880"/>
          </w:tcPr>
          <w:p>
            <w:r/>
            <w:r>
              <w:rPr>
                <w:sz w:val="18"/>
              </w:rPr>
              <w:t>dim_oficina</w:t>
            </w:r>
          </w:p>
        </w:tc>
        <w:tc>
          <w:tcPr>
            <w:tcW w:type="dxa" w:w="3168"/>
          </w:tcPr>
          <w:p>
            <w:r/>
            <w:r>
              <w:rPr>
                <w:sz w:val="18"/>
              </w:rPr>
              <w:t>14</w:t>
            </w:r>
          </w:p>
        </w:tc>
        <w:tc>
          <w:tcPr>
            <w:tcW w:type="dxa" w:w="3168"/>
          </w:tcPr>
          <w:p>
            <w:r/>
            <w:r>
              <w:rPr>
                <w:sz w:val="18"/>
              </w:rPr>
              <w:t>2.997</w:t>
            </w:r>
          </w:p>
        </w:tc>
      </w:tr>
    </w:tbl>
    <w:p/>
    <w:p>
      <w:r>
        <w:t>En esta medición, las seis dimensiones muestran un uso saludable del índice: miles de lecturas por índice frente a apenas una a tres decenas de lecturas secuenciales. No es un hallazgo menos válido que una alerta de índice faltante — confirma, con evidencia y no con intuición, que el diseño de llaves subrogadas está cumpliendo la función para la que se eligió.</w:t>
      </w:r>
    </w:p>
    <w:p>
      <w:r>
        <w:rPr>
          <w:i/>
          <w:color w:val="5A5A5A"/>
          <w:sz w:val="18"/>
        </w:rPr>
        <w:t>Al ser contadores acumulativos del motor, cualquier consulta adicional contra estas tablas se suma a la medición. Por eso el número relevante es la comparación relativa entre objetos dentro de una misma corrida, no el valor absoluto ni la comparación con una medición de otra sesión.</w:t>
      </w:r>
    </w:p>
    <w:p>
      <w:r>
        <w:br w:type="page"/>
      </w:r>
    </w:p>
    <w:p>
      <w:pPr>
        <w:pStyle w:val="Heading1"/>
      </w:pPr>
      <w:r>
        <w:t>4. Diseño de ETLs (15%)</w:t>
      </w:r>
    </w:p>
    <w:p>
      <w:pPr>
        <w:pStyle w:val="Heading2"/>
      </w:pPr>
      <w:r>
        <w:t>4.1 Tres procesos sobre las siete capas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592"/>
            <w:shd w:val="clear" w:color="auto" w:fill="1F3A5F"/>
            <w:vAlign w:val="center"/>
          </w:tcPr>
          <w:p>
            <w:r/>
            <w:r>
              <w:rPr>
                <w:b/>
                <w:color w:val="FFFFFF"/>
                <w:sz w:val="18"/>
              </w:rPr>
              <w:t>Proceso</w:t>
            </w:r>
          </w:p>
        </w:tc>
        <w:tc>
          <w:tcPr>
            <w:tcW w:type="dxa" w:w="1440"/>
            <w:shd w:val="clear" w:color="auto" w:fill="1F3A5F"/>
            <w:vAlign w:val="center"/>
          </w:tcPr>
          <w:p>
            <w:r/>
            <w:r>
              <w:rPr>
                <w:b/>
                <w:color w:val="FFFFFF"/>
                <w:sz w:val="18"/>
              </w:rPr>
              <w:t>Capas que cubre</w:t>
            </w:r>
          </w:p>
        </w:tc>
        <w:tc>
          <w:tcPr>
            <w:tcW w:type="dxa" w:w="5040"/>
            <w:shd w:val="clear" w:color="auto" w:fill="1F3A5F"/>
            <w:vAlign w:val="center"/>
          </w:tcPr>
          <w:p>
            <w:r/>
            <w:r>
              <w:rPr>
                <w:b/>
                <w:color w:val="FFFFFF"/>
                <w:sz w:val="18"/>
              </w:rPr>
              <w:t>Qué hace</w:t>
            </w:r>
          </w:p>
        </w:tc>
      </w:tr>
      <w:tr>
        <w:tc>
          <w:tcPr>
            <w:tcW w:type="dxa" w:w="2592"/>
          </w:tcPr>
          <w:p>
            <w:r/>
            <w:r>
              <w:rPr>
                <w:sz w:val="18"/>
              </w:rPr>
              <w:t>etl_dw_staging.py</w:t>
            </w:r>
          </w:p>
        </w:tc>
        <w:tc>
          <w:tcPr>
            <w:tcW w:type="dxa" w:w="1440"/>
          </w:tcPr>
          <w:p>
            <w:r/>
            <w:r>
              <w:rPr>
                <w:sz w:val="18"/>
              </w:rPr>
              <w:t>1 a 4</w:t>
            </w:r>
          </w:p>
        </w:tc>
        <w:tc>
          <w:tcPr>
            <w:tcW w:type="dxa" w:w="5040"/>
          </w:tcPr>
          <w:p>
            <w:r/>
            <w:r>
              <w:rPr>
                <w:sz w:val="18"/>
              </w:rPr>
              <w:t>Extrae las 13 tablas fuente, perfila lo que aterrizó, evalúa 11 reglas de calidad y separa limpios de rechazados</w:t>
            </w:r>
          </w:p>
        </w:tc>
      </w:tr>
      <w:tr>
        <w:tc>
          <w:tcPr>
            <w:tcW w:type="dxa" w:w="2592"/>
          </w:tcPr>
          <w:p>
            <w:r/>
            <w:r>
              <w:rPr>
                <w:sz w:val="18"/>
              </w:rPr>
              <w:t>etl_dw_dimensions.py</w:t>
            </w:r>
          </w:p>
        </w:tc>
        <w:tc>
          <w:tcPr>
            <w:tcW w:type="dxa" w:w="1440"/>
          </w:tcPr>
          <w:p>
            <w:r/>
            <w:r>
              <w:rPr>
                <w:sz w:val="18"/>
              </w:rPr>
              <w:t>5 a 7</w:t>
            </w:r>
          </w:p>
        </w:tc>
        <w:tc>
          <w:tcPr>
            <w:tcW w:type="dxa" w:w="5040"/>
          </w:tcPr>
          <w:p>
            <w:r/>
            <w:r>
              <w:rPr>
                <w:sz w:val="18"/>
              </w:rPr>
              <w:t>Lee stg_clean, conforma cada área temática y recarga las seis dimensiones</w:t>
            </w:r>
          </w:p>
        </w:tc>
      </w:tr>
      <w:tr>
        <w:tc>
          <w:tcPr>
            <w:tcW w:type="dxa" w:w="2592"/>
          </w:tcPr>
          <w:p>
            <w:r/>
            <w:r>
              <w:rPr>
                <w:sz w:val="18"/>
              </w:rPr>
              <w:t>etl_dw_facts.py</w:t>
            </w:r>
          </w:p>
        </w:tc>
        <w:tc>
          <w:tcPr>
            <w:tcW w:type="dxa" w:w="1440"/>
          </w:tcPr>
          <w:p>
            <w:r/>
            <w:r>
              <w:rPr>
                <w:sz w:val="18"/>
              </w:rPr>
              <w:t>5 a 7</w:t>
            </w:r>
          </w:p>
        </w:tc>
        <w:tc>
          <w:tcPr>
            <w:tcW w:type="dxa" w:w="5040"/>
          </w:tcPr>
          <w:p>
            <w:r/>
            <w:r>
              <w:rPr>
                <w:sz w:val="18"/>
              </w:rPr>
              <w:t>Lee stg_clean, hace los joins, resuelve llaves subrogadas y recarga los dos hechos</w:t>
            </w:r>
          </w:p>
        </w:tc>
      </w:tr>
    </w:tbl>
    <w:p/>
    <w:p>
      <w:r>
        <w:rPr>
          <w:i/>
          <w:color w:val="5A5A5A"/>
          <w:sz w:val="18"/>
        </w:rPr>
        <w:t>common.py centraliza las conexiones, el control de corridas (staging_dw.etl_run) y el registro en etl_process / etl_execution / dq_result del repositorio de metadatos, para que los tres procesos no dupliquen esa lógica.</w:t>
      </w:r>
    </w:p>
    <w:p>
      <w:pPr>
        <w:jc w:val="center"/>
      </w:pPr>
      <w:r>
        <w:drawing>
          <wp:inline xmlns:a="http://schemas.openxmlformats.org/drawingml/2006/main" xmlns:pic="http://schemas.openxmlformats.org/drawingml/2006/picture">
            <wp:extent cx="5760720" cy="1570183"/>
            <wp:docPr id="6" name="Picture 6"/>
            <wp:cNvGraphicFramePr>
              <a:graphicFrameLocks noChangeAspect="1"/>
            </wp:cNvGraphicFramePr>
            <a:graphic>
              <a:graphicData uri="http://schemas.openxmlformats.org/drawingml/2006/picture">
                <pic:pic>
                  <pic:nvPicPr>
                    <pic:cNvPr id="0" name="etl_pipeline.png"/>
                    <pic:cNvPicPr/>
                  </pic:nvPicPr>
                  <pic:blipFill>
                    <a:blip r:embed="rId14"/>
                    <a:stretch>
                      <a:fillRect/>
                    </a:stretch>
                  </pic:blipFill>
                  <pic:spPr>
                    <a:xfrm>
                      <a:off x="0" y="0"/>
                      <a:ext cx="5760720" cy="1570183"/>
                    </a:xfrm>
                    <a:prstGeom prst="rect"/>
                  </pic:spPr>
                </pic:pic>
              </a:graphicData>
            </a:graphic>
          </wp:inline>
        </w:drawing>
      </w:r>
    </w:p>
    <w:p>
      <w:pPr>
        <w:jc w:val="center"/>
      </w:pPr>
      <w:r>
        <w:rPr>
          <w:i/>
          <w:color w:val="5A5A5A"/>
          <w:sz w:val="18"/>
        </w:rPr>
        <w:t>Figura 6. Pipeline real de 7 capas, generado con Graphviz a partir del esquema vivo de staging_dw.</w:t>
      </w:r>
    </w:p>
    <w:p/>
    <w:p>
      <w:pPr>
        <w:jc w:val="center"/>
      </w:pPr>
      <w:r>
        <w:drawing>
          <wp:inline xmlns:a="http://schemas.openxmlformats.org/drawingml/2006/main" xmlns:pic="http://schemas.openxmlformats.org/drawingml/2006/picture">
            <wp:extent cx="5029200" cy="1790211"/>
            <wp:docPr id="7" name="Picture 7"/>
            <wp:cNvGraphicFramePr>
              <a:graphicFrameLocks noChangeAspect="1"/>
            </wp:cNvGraphicFramePr>
            <a:graphic>
              <a:graphicData uri="http://schemas.openxmlformats.org/drawingml/2006/picture">
                <pic:pic>
                  <pic:nvPicPr>
                    <pic:cNvPr id="0" name="d2_etl_giordano.png"/>
                    <pic:cNvPicPr/>
                  </pic:nvPicPr>
                  <pic:blipFill>
                    <a:blip r:embed="rId15"/>
                    <a:stretch>
                      <a:fillRect/>
                    </a:stretch>
                  </pic:blipFill>
                  <pic:spPr>
                    <a:xfrm>
                      <a:off x="0" y="0"/>
                      <a:ext cx="5029200" cy="1790211"/>
                    </a:xfrm>
                    <a:prstGeom prst="rect"/>
                  </pic:spPr>
                </pic:pic>
              </a:graphicData>
            </a:graphic>
          </wp:inline>
        </w:drawing>
      </w:r>
    </w:p>
    <w:p>
      <w:pPr>
        <w:jc w:val="center"/>
      </w:pPr>
      <w:r>
        <w:rPr>
          <w:i/>
          <w:color w:val="5A5A5A"/>
          <w:sz w:val="18"/>
        </w:rPr>
        <w:t>Figura 7. Patrón de referencia de Giordano (esquema conceptual de las etapas Extract, Data Quality, Transform, Load Ready Publish y Target Load).</w:t>
      </w:r>
    </w:p>
    <w:p/>
    <w:p>
      <w:pPr>
        <w:pStyle w:val="Heading2"/>
      </w:pPr>
      <w:r>
        <w:t>4.2 Recorrido de una fila por las capas — evidencia real</w:t>
      </w:r>
    </w:p>
    <w:p>
      <w:r>
        <w:t>La vista staging_dw.vw_trazabilidad_capas resume cuántas filas pasó cada corrida por cada capa; esta es la salida real tras una carga limpia:</w:t>
      </w:r>
    </w:p>
    <w:tbl>
      <w:tblPr>
        <w:tblStyle w:val="TableGrid"/>
        <w:tblW w:type="auto" w:w="0"/>
        <w:jc w:val="center"/>
        <w:tblLayout w:type="autofi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864"/>
            <w:shd w:val="clear" w:color="auto" w:fill="1F3A5F"/>
            <w:vAlign w:val="center"/>
          </w:tcPr>
          <w:p>
            <w:r/>
            <w:r>
              <w:rPr>
                <w:b/>
                <w:color w:val="FFFFFF"/>
                <w:sz w:val="18"/>
              </w:rPr>
              <w:t>run_id</w:t>
            </w:r>
          </w:p>
        </w:tc>
        <w:tc>
          <w:tcPr>
            <w:tcW w:type="dxa" w:w="1296"/>
            <w:shd w:val="clear" w:color="auto" w:fill="1F3A5F"/>
            <w:vAlign w:val="center"/>
          </w:tcPr>
          <w:p>
            <w:r/>
            <w:r>
              <w:rPr>
                <w:b/>
                <w:color w:val="FFFFFF"/>
                <w:sz w:val="18"/>
              </w:rPr>
              <w:t>Proceso</w:t>
            </w:r>
          </w:p>
        </w:tc>
        <w:tc>
          <w:tcPr>
            <w:tcW w:type="dxa" w:w="864"/>
            <w:shd w:val="clear" w:color="auto" w:fill="1F3A5F"/>
            <w:vAlign w:val="center"/>
          </w:tcPr>
          <w:p>
            <w:r/>
            <w:r>
              <w:rPr>
                <w:b/>
                <w:color w:val="FFFFFF"/>
                <w:sz w:val="18"/>
              </w:rPr>
              <w:t>Estado</w:t>
            </w:r>
          </w:p>
        </w:tc>
        <w:tc>
          <w:tcPr>
            <w:tcW w:type="dxa" w:w="1440"/>
            <w:shd w:val="clear" w:color="auto" w:fill="1F3A5F"/>
            <w:vAlign w:val="center"/>
          </w:tcPr>
          <w:p>
            <w:r/>
            <w:r>
              <w:rPr>
                <w:b/>
                <w:color w:val="FFFFFF"/>
                <w:sz w:val="18"/>
              </w:rPr>
              <w:t>Initial Staging</w:t>
            </w:r>
          </w:p>
        </w:tc>
        <w:tc>
          <w:tcPr>
            <w:tcW w:type="dxa" w:w="1152"/>
            <w:shd w:val="clear" w:color="auto" w:fill="1F3A5F"/>
            <w:vAlign w:val="center"/>
          </w:tcPr>
          <w:p>
            <w:r/>
            <w:r>
              <w:rPr>
                <w:b/>
                <w:color w:val="FFFFFF"/>
                <w:sz w:val="18"/>
              </w:rPr>
              <w:t>Errores DQ</w:t>
            </w:r>
          </w:p>
        </w:tc>
        <w:tc>
          <w:tcPr>
            <w:tcW w:type="dxa" w:w="864"/>
            <w:shd w:val="clear" w:color="auto" w:fill="1F3A5F"/>
            <w:vAlign w:val="center"/>
          </w:tcPr>
          <w:p>
            <w:r/>
            <w:r>
              <w:rPr>
                <w:b/>
                <w:color w:val="FFFFFF"/>
                <w:sz w:val="18"/>
              </w:rPr>
              <w:t>Clean</w:t>
            </w:r>
          </w:p>
        </w:tc>
        <w:tc>
          <w:tcPr>
            <w:tcW w:type="dxa" w:w="1008"/>
            <w:shd w:val="clear" w:color="auto" w:fill="1F3A5F"/>
            <w:vAlign w:val="center"/>
          </w:tcPr>
          <w:p>
            <w:r/>
            <w:r>
              <w:rPr>
                <w:b/>
                <w:color w:val="FFFFFF"/>
                <w:sz w:val="18"/>
              </w:rPr>
              <w:t>Rejected</w:t>
            </w:r>
          </w:p>
        </w:tc>
        <w:tc>
          <w:tcPr>
            <w:tcW w:type="dxa" w:w="1296"/>
            <w:shd w:val="clear" w:color="auto" w:fill="1F3A5F"/>
            <w:vAlign w:val="center"/>
          </w:tcPr>
          <w:p>
            <w:r/>
            <w:r>
              <w:rPr>
                <w:b/>
                <w:color w:val="FFFFFF"/>
                <w:sz w:val="18"/>
              </w:rPr>
              <w:t>Transform</w:t>
            </w:r>
          </w:p>
        </w:tc>
        <w:tc>
          <w:tcPr>
            <w:tcW w:type="dxa" w:w="1296"/>
            <w:shd w:val="clear" w:color="auto" w:fill="1F3A5F"/>
            <w:vAlign w:val="center"/>
          </w:tcPr>
          <w:p>
            <w:r/>
            <w:r>
              <w:rPr>
                <w:b/>
                <w:color w:val="FFFFFF"/>
                <w:sz w:val="18"/>
              </w:rPr>
              <w:t>Load-Ready</w:t>
            </w:r>
          </w:p>
        </w:tc>
      </w:tr>
      <w:tr>
        <w:tc>
          <w:tcPr>
            <w:tcW w:type="dxa" w:w="864"/>
          </w:tcPr>
          <w:p>
            <w:r/>
            <w:r>
              <w:rPr>
                <w:sz w:val="16"/>
              </w:rPr>
              <w:t>1</w:t>
            </w:r>
          </w:p>
        </w:tc>
        <w:tc>
          <w:tcPr>
            <w:tcW w:type="dxa" w:w="1296"/>
          </w:tcPr>
          <w:p>
            <w:r/>
            <w:r>
              <w:rPr>
                <w:sz w:val="16"/>
              </w:rPr>
              <w:t>staging</w:t>
            </w:r>
          </w:p>
        </w:tc>
        <w:tc>
          <w:tcPr>
            <w:tcW w:type="dxa" w:w="864"/>
          </w:tcPr>
          <w:p>
            <w:r/>
            <w:r>
              <w:rPr>
                <w:sz w:val="16"/>
              </w:rPr>
              <w:t>OK</w:t>
            </w:r>
          </w:p>
        </w:tc>
        <w:tc>
          <w:tcPr>
            <w:tcW w:type="dxa" w:w="1440"/>
          </w:tcPr>
          <w:p>
            <w:r/>
            <w:r>
              <w:rPr>
                <w:sz w:val="16"/>
              </w:rPr>
              <w:t>4.335</w:t>
            </w:r>
          </w:p>
        </w:tc>
        <w:tc>
          <w:tcPr>
            <w:tcW w:type="dxa" w:w="1152"/>
          </w:tcPr>
          <w:p>
            <w:r/>
            <w:r>
              <w:rPr>
                <w:sz w:val="16"/>
              </w:rPr>
              <w:t>22</w:t>
            </w:r>
          </w:p>
        </w:tc>
        <w:tc>
          <w:tcPr>
            <w:tcW w:type="dxa" w:w="864"/>
          </w:tcPr>
          <w:p>
            <w:r/>
            <w:r>
              <w:rPr>
                <w:sz w:val="16"/>
              </w:rPr>
              <w:t>4.335</w:t>
            </w:r>
          </w:p>
        </w:tc>
        <w:tc>
          <w:tcPr>
            <w:tcW w:type="dxa" w:w="1008"/>
          </w:tcPr>
          <w:p>
            <w:r/>
            <w:r>
              <w:rPr>
                <w:sz w:val="16"/>
              </w:rPr>
              <w:t>0</w:t>
            </w:r>
          </w:p>
        </w:tc>
        <w:tc>
          <w:tcPr>
            <w:tcW w:type="dxa" w:w="1296"/>
          </w:tcPr>
          <w:p>
            <w:r/>
            <w:r>
              <w:rPr>
                <w:sz w:val="16"/>
              </w:rPr>
              <w:t>0</w:t>
            </w:r>
          </w:p>
        </w:tc>
        <w:tc>
          <w:tcPr>
            <w:tcW w:type="dxa" w:w="1296"/>
          </w:tcPr>
          <w:p>
            <w:r/>
            <w:r>
              <w:rPr>
                <w:sz w:val="16"/>
              </w:rPr>
              <w:t>0</w:t>
            </w:r>
          </w:p>
        </w:tc>
      </w:tr>
      <w:tr>
        <w:tc>
          <w:tcPr>
            <w:tcW w:type="dxa" w:w="864"/>
          </w:tcPr>
          <w:p>
            <w:r/>
            <w:r>
              <w:rPr>
                <w:sz w:val="16"/>
              </w:rPr>
              <w:t>2</w:t>
            </w:r>
          </w:p>
        </w:tc>
        <w:tc>
          <w:tcPr>
            <w:tcW w:type="dxa" w:w="1296"/>
          </w:tcPr>
          <w:p>
            <w:r/>
            <w:r>
              <w:rPr>
                <w:sz w:val="16"/>
              </w:rPr>
              <w:t>dimensiones</w:t>
            </w:r>
          </w:p>
        </w:tc>
        <w:tc>
          <w:tcPr>
            <w:tcW w:type="dxa" w:w="864"/>
          </w:tcPr>
          <w:p>
            <w:r/>
            <w:r>
              <w:rPr>
                <w:sz w:val="16"/>
              </w:rPr>
              <w:t>OK</w:t>
            </w:r>
          </w:p>
        </w:tc>
        <w:tc>
          <w:tcPr>
            <w:tcW w:type="dxa" w:w="1440"/>
          </w:tcPr>
          <w:p>
            <w:r/>
            <w:r>
              <w:rPr>
                <w:sz w:val="16"/>
              </w:rPr>
              <w:t>0</w:t>
            </w:r>
          </w:p>
        </w:tc>
        <w:tc>
          <w:tcPr>
            <w:tcW w:type="dxa" w:w="1152"/>
          </w:tcPr>
          <w:p>
            <w:r/>
            <w:r>
              <w:rPr>
                <w:sz w:val="16"/>
              </w:rPr>
              <w:t>0</w:t>
            </w:r>
          </w:p>
        </w:tc>
        <w:tc>
          <w:tcPr>
            <w:tcW w:type="dxa" w:w="864"/>
          </w:tcPr>
          <w:p>
            <w:r/>
            <w:r>
              <w:rPr>
                <w:sz w:val="16"/>
              </w:rPr>
              <w:t>0</w:t>
            </w:r>
          </w:p>
        </w:tc>
        <w:tc>
          <w:tcPr>
            <w:tcW w:type="dxa" w:w="1008"/>
          </w:tcPr>
          <w:p>
            <w:r/>
            <w:r>
              <w:rPr>
                <w:sz w:val="16"/>
              </w:rPr>
              <w:t>0</w:t>
            </w:r>
          </w:p>
        </w:tc>
        <w:tc>
          <w:tcPr>
            <w:tcW w:type="dxa" w:w="1296"/>
          </w:tcPr>
          <w:p>
            <w:r/>
            <w:r>
              <w:rPr>
                <w:sz w:val="16"/>
              </w:rPr>
              <w:t>1.394</w:t>
            </w:r>
          </w:p>
        </w:tc>
        <w:tc>
          <w:tcPr>
            <w:tcW w:type="dxa" w:w="1296"/>
          </w:tcPr>
          <w:p>
            <w:r/>
            <w:r>
              <w:rPr>
                <w:sz w:val="16"/>
              </w:rPr>
              <w:t>1.394</w:t>
            </w:r>
          </w:p>
        </w:tc>
      </w:tr>
      <w:tr>
        <w:tc>
          <w:tcPr>
            <w:tcW w:type="dxa" w:w="864"/>
          </w:tcPr>
          <w:p>
            <w:r/>
            <w:r>
              <w:rPr>
                <w:sz w:val="16"/>
              </w:rPr>
              <w:t>3</w:t>
            </w:r>
          </w:p>
        </w:tc>
        <w:tc>
          <w:tcPr>
            <w:tcW w:type="dxa" w:w="1296"/>
          </w:tcPr>
          <w:p>
            <w:r/>
            <w:r>
              <w:rPr>
                <w:sz w:val="16"/>
              </w:rPr>
              <w:t>hechos</w:t>
            </w:r>
          </w:p>
        </w:tc>
        <w:tc>
          <w:tcPr>
            <w:tcW w:type="dxa" w:w="864"/>
          </w:tcPr>
          <w:p>
            <w:r/>
            <w:r>
              <w:rPr>
                <w:sz w:val="16"/>
              </w:rPr>
              <w:t>OK</w:t>
            </w:r>
          </w:p>
        </w:tc>
        <w:tc>
          <w:tcPr>
            <w:tcW w:type="dxa" w:w="1440"/>
          </w:tcPr>
          <w:p>
            <w:r/>
            <w:r>
              <w:rPr>
                <w:sz w:val="16"/>
              </w:rPr>
              <w:t>0</w:t>
            </w:r>
          </w:p>
        </w:tc>
        <w:tc>
          <w:tcPr>
            <w:tcW w:type="dxa" w:w="1152"/>
          </w:tcPr>
          <w:p>
            <w:r/>
            <w:r>
              <w:rPr>
                <w:sz w:val="16"/>
              </w:rPr>
              <w:t>0</w:t>
            </w:r>
          </w:p>
        </w:tc>
        <w:tc>
          <w:tcPr>
            <w:tcW w:type="dxa" w:w="864"/>
          </w:tcPr>
          <w:p>
            <w:r/>
            <w:r>
              <w:rPr>
                <w:sz w:val="16"/>
              </w:rPr>
              <w:t>0</w:t>
            </w:r>
          </w:p>
        </w:tc>
        <w:tc>
          <w:tcPr>
            <w:tcW w:type="dxa" w:w="1008"/>
          </w:tcPr>
          <w:p>
            <w:r/>
            <w:r>
              <w:rPr>
                <w:sz w:val="16"/>
              </w:rPr>
              <w:t>0</w:t>
            </w:r>
          </w:p>
        </w:tc>
        <w:tc>
          <w:tcPr>
            <w:tcW w:type="dxa" w:w="1296"/>
          </w:tcPr>
          <w:p>
            <w:r/>
            <w:r>
              <w:rPr>
                <w:sz w:val="16"/>
              </w:rPr>
              <w:t>3.104</w:t>
            </w:r>
          </w:p>
        </w:tc>
        <w:tc>
          <w:tcPr>
            <w:tcW w:type="dxa" w:w="1296"/>
          </w:tcPr>
          <w:p>
            <w:r/>
            <w:r>
              <w:rPr>
                <w:sz w:val="16"/>
              </w:rPr>
              <w:t>3.104</w:t>
            </w:r>
          </w:p>
        </w:tc>
      </w:tr>
    </w:tbl>
    <w:p/>
    <w:p>
      <w:r>
        <w:rPr>
          <w:b/>
          <w:sz w:val="18"/>
        </w:rPr>
        <w:t>Evidencia — consulta real contra staging_dw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SELECT * FROM staging_dw.vw_trazabilidad_capas;</w:t>
            </w:r>
          </w:p>
          <w:p>
            <w:r>
              <w:rPr>
                <w:rFonts w:ascii="Consolas" w:hAnsi="Consolas"/>
                <w:color w:val="D8E8D8"/>
                <w:sz w:val="16"/>
              </w:rPr>
              <w:t xml:space="preserve"> run_id  proceso      estado  initial_staging  errores_dq  clean  rejected  transform  load_ready</w:t>
            </w:r>
          </w:p>
          <w:p>
            <w:r>
              <w:rPr>
                <w:rFonts w:ascii="Consolas" w:hAnsi="Consolas"/>
                <w:color w:val="D8E8D8"/>
                <w:sz w:val="16"/>
              </w:rPr>
              <w:t xml:space="preserve">      1  staging      OK                 4335          22   4335         0          0           0</w:t>
            </w:r>
          </w:p>
          <w:p>
            <w:r>
              <w:rPr>
                <w:rFonts w:ascii="Consolas" w:hAnsi="Consolas"/>
                <w:color w:val="D8E8D8"/>
                <w:sz w:val="16"/>
              </w:rPr>
              <w:t xml:space="preserve">      2  dimensiones  OK                    0           0      0         0       1394        1394</w:t>
            </w:r>
          </w:p>
          <w:p>
            <w:r>
              <w:rPr>
                <w:rFonts w:ascii="Consolas" w:hAnsi="Consolas"/>
                <w:color w:val="D8E8D8"/>
                <w:sz w:val="16"/>
              </w:rPr>
              <w:t xml:space="preserve">      3  hechos       OK                    0           0      0         0       3104        3104</w:t>
            </w:r>
          </w:p>
        </w:tc>
      </w:tr>
    </w:tbl>
    <w:p/>
    <w:p>
      <w:r>
        <w:t>Los números cuentan la historia del diseño: 4.335 filas en Initial Staging son las 13 tablas de las dos fuentes, leídas una sola vez ("extraer todo, leer una vez"). Los 22 errores de calidad son advertencias de cliente_con_vendedor (clientes sin representante asignado), no bloqueos: las 4.335 filas igual llegan a Clean Staging. El 0 en Initial Staging para las corridas 2 y 3 es la evidencia directa de que dimensiones y hechos no vuelven a leer las fuentes: leen stg_clean del run 1.</w:t>
      </w:r>
    </w:p>
    <w:p>
      <w:pPr>
        <w:pStyle w:val="Heading2"/>
      </w:pPr>
      <w:r>
        <w:t>4.3 Las 11 reglas de la capa Data Quality</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4176"/>
            <w:shd w:val="clear" w:color="auto" w:fill="1F3A5F"/>
            <w:vAlign w:val="center"/>
          </w:tcPr>
          <w:p>
            <w:r/>
            <w:r>
              <w:rPr>
                <w:b/>
                <w:color w:val="FFFFFF"/>
                <w:sz w:val="18"/>
              </w:rPr>
              <w:t>Regla</w:t>
            </w:r>
          </w:p>
        </w:tc>
        <w:tc>
          <w:tcPr>
            <w:tcW w:type="dxa" w:w="1728"/>
            <w:shd w:val="clear" w:color="auto" w:fill="1F3A5F"/>
            <w:vAlign w:val="center"/>
          </w:tcPr>
          <w:p>
            <w:r/>
            <w:r>
              <w:rPr>
                <w:b/>
                <w:color w:val="FFFFFF"/>
                <w:sz w:val="18"/>
              </w:rPr>
              <w:t>Clase</w:t>
            </w:r>
          </w:p>
        </w:tc>
        <w:tc>
          <w:tcPr>
            <w:tcW w:type="dxa" w:w="2880"/>
            <w:shd w:val="clear" w:color="auto" w:fill="1F3A5F"/>
            <w:vAlign w:val="center"/>
          </w:tcPr>
          <w:p>
            <w:r/>
            <w:r>
              <w:rPr>
                <w:b/>
                <w:color w:val="FFFFFF"/>
                <w:sz w:val="18"/>
              </w:rPr>
              <w:t>Acción</w:t>
            </w:r>
          </w:p>
        </w:tc>
      </w:tr>
      <w:tr>
        <w:tc>
          <w:tcPr>
            <w:tcW w:type="dxa" w:w="4176"/>
          </w:tcPr>
          <w:p>
            <w:r/>
            <w:r>
              <w:rPr>
                <w:sz w:val="18"/>
              </w:rPr>
              <w:t>campos_obligatorios</w:t>
            </w:r>
          </w:p>
        </w:tc>
        <w:tc>
          <w:tcPr>
            <w:tcW w:type="dxa" w:w="1728"/>
          </w:tcPr>
          <w:p>
            <w:r/>
            <w:r>
              <w:rPr>
                <w:sz w:val="18"/>
              </w:rPr>
              <w:t>Técnica</w:t>
            </w:r>
          </w:p>
        </w:tc>
        <w:tc>
          <w:tcPr>
            <w:tcW w:type="dxa" w:w="2880"/>
          </w:tcPr>
          <w:p>
            <w:r/>
            <w:r>
              <w:rPr>
                <w:sz w:val="18"/>
              </w:rPr>
              <w:t>Rechazo</w:t>
            </w:r>
          </w:p>
        </w:tc>
      </w:tr>
      <w:tr>
        <w:tc>
          <w:tcPr>
            <w:tcW w:type="dxa" w:w="4176"/>
          </w:tcPr>
          <w:p>
            <w:r/>
            <w:r>
              <w:rPr>
                <w:sz w:val="18"/>
              </w:rPr>
              <w:t>tipo_de_dato_valido</w:t>
            </w:r>
          </w:p>
        </w:tc>
        <w:tc>
          <w:tcPr>
            <w:tcW w:type="dxa" w:w="1728"/>
          </w:tcPr>
          <w:p>
            <w:r/>
            <w:r>
              <w:rPr>
                <w:sz w:val="18"/>
              </w:rPr>
              <w:t>Técnica</w:t>
            </w:r>
          </w:p>
        </w:tc>
        <w:tc>
          <w:tcPr>
            <w:tcW w:type="dxa" w:w="2880"/>
          </w:tcPr>
          <w:p>
            <w:r/>
            <w:r>
              <w:rPr>
                <w:sz w:val="18"/>
              </w:rPr>
              <w:t>Rechazo</w:t>
            </w:r>
          </w:p>
        </w:tc>
      </w:tr>
      <w:tr>
        <w:tc>
          <w:tcPr>
            <w:tcW w:type="dxa" w:w="4176"/>
          </w:tcPr>
          <w:p>
            <w:r/>
            <w:r>
              <w:rPr>
                <w:sz w:val="18"/>
              </w:rPr>
              <w:t>formato_email</w:t>
            </w:r>
          </w:p>
        </w:tc>
        <w:tc>
          <w:tcPr>
            <w:tcW w:type="dxa" w:w="1728"/>
          </w:tcPr>
          <w:p>
            <w:r/>
            <w:r>
              <w:rPr>
                <w:sz w:val="18"/>
              </w:rPr>
              <w:t>Técnica</w:t>
            </w:r>
          </w:p>
        </w:tc>
        <w:tc>
          <w:tcPr>
            <w:tcW w:type="dxa" w:w="2880"/>
          </w:tcPr>
          <w:p>
            <w:r/>
            <w:r>
              <w:rPr>
                <w:sz w:val="18"/>
              </w:rPr>
              <w:t>Advertencia</w:t>
            </w:r>
          </w:p>
        </w:tc>
      </w:tr>
      <w:tr>
        <w:tc>
          <w:tcPr>
            <w:tcW w:type="dxa" w:w="4176"/>
          </w:tcPr>
          <w:p>
            <w:r/>
            <w:r>
              <w:rPr>
                <w:sz w:val="18"/>
              </w:rPr>
              <w:t>integridad_referencial</w:t>
            </w:r>
          </w:p>
        </w:tc>
        <w:tc>
          <w:tcPr>
            <w:tcW w:type="dxa" w:w="1728"/>
          </w:tcPr>
          <w:p>
            <w:r/>
            <w:r>
              <w:rPr>
                <w:sz w:val="18"/>
              </w:rPr>
              <w:t>Negocio</w:t>
            </w:r>
          </w:p>
        </w:tc>
        <w:tc>
          <w:tcPr>
            <w:tcW w:type="dxa" w:w="2880"/>
          </w:tcPr>
          <w:p>
            <w:r/>
            <w:r>
              <w:rPr>
                <w:sz w:val="18"/>
              </w:rPr>
              <w:t>Rechazo</w:t>
            </w:r>
          </w:p>
        </w:tc>
      </w:tr>
      <w:tr>
        <w:tc>
          <w:tcPr>
            <w:tcW w:type="dxa" w:w="4176"/>
          </w:tcPr>
          <w:p>
            <w:r/>
            <w:r>
              <w:rPr>
                <w:sz w:val="18"/>
              </w:rPr>
              <w:t>valores_positivos</w:t>
            </w:r>
          </w:p>
        </w:tc>
        <w:tc>
          <w:tcPr>
            <w:tcW w:type="dxa" w:w="1728"/>
          </w:tcPr>
          <w:p>
            <w:r/>
            <w:r>
              <w:rPr>
                <w:sz w:val="18"/>
              </w:rPr>
              <w:t>Negocio</w:t>
            </w:r>
          </w:p>
        </w:tc>
        <w:tc>
          <w:tcPr>
            <w:tcW w:type="dxa" w:w="2880"/>
          </w:tcPr>
          <w:p>
            <w:r/>
            <w:r>
              <w:rPr>
                <w:sz w:val="18"/>
              </w:rPr>
              <w:t>Rechazo</w:t>
            </w:r>
          </w:p>
        </w:tc>
      </w:tr>
      <w:tr>
        <w:tc>
          <w:tcPr>
            <w:tcW w:type="dxa" w:w="4176"/>
          </w:tcPr>
          <w:p>
            <w:r/>
            <w:r>
              <w:rPr>
                <w:sz w:val="18"/>
              </w:rPr>
              <w:t>secuencia_de_fechas</w:t>
            </w:r>
          </w:p>
        </w:tc>
        <w:tc>
          <w:tcPr>
            <w:tcW w:type="dxa" w:w="1728"/>
          </w:tcPr>
          <w:p>
            <w:r/>
            <w:r>
              <w:rPr>
                <w:sz w:val="18"/>
              </w:rPr>
              <w:t>Negocio</w:t>
            </w:r>
          </w:p>
        </w:tc>
        <w:tc>
          <w:tcPr>
            <w:tcW w:type="dxa" w:w="2880"/>
          </w:tcPr>
          <w:p>
            <w:r/>
            <w:r>
              <w:rPr>
                <w:sz w:val="18"/>
              </w:rPr>
              <w:t>Rechazo</w:t>
            </w:r>
          </w:p>
        </w:tc>
      </w:tr>
      <w:tr>
        <w:tc>
          <w:tcPr>
            <w:tcW w:type="dxa" w:w="4176"/>
          </w:tcPr>
          <w:p>
            <w:r/>
            <w:r>
              <w:rPr>
                <w:sz w:val="18"/>
              </w:rPr>
              <w:t>envio_consistente_con_estado</w:t>
            </w:r>
          </w:p>
        </w:tc>
        <w:tc>
          <w:tcPr>
            <w:tcW w:type="dxa" w:w="1728"/>
          </w:tcPr>
          <w:p>
            <w:r/>
            <w:r>
              <w:rPr>
                <w:sz w:val="18"/>
              </w:rPr>
              <w:t>Negocio</w:t>
            </w:r>
          </w:p>
        </w:tc>
        <w:tc>
          <w:tcPr>
            <w:tcW w:type="dxa" w:w="2880"/>
          </w:tcPr>
          <w:p>
            <w:r/>
            <w:r>
              <w:rPr>
                <w:sz w:val="18"/>
              </w:rPr>
              <w:t>Rechazo</w:t>
            </w:r>
          </w:p>
        </w:tc>
      </w:tr>
      <w:tr>
        <w:tc>
          <w:tcPr>
            <w:tcW w:type="dxa" w:w="4176"/>
          </w:tcPr>
          <w:p>
            <w:r/>
            <w:r>
              <w:rPr>
                <w:sz w:val="18"/>
              </w:rPr>
              <w:t>precio_sugerido_coherente</w:t>
            </w:r>
          </w:p>
        </w:tc>
        <w:tc>
          <w:tcPr>
            <w:tcW w:type="dxa" w:w="1728"/>
          </w:tcPr>
          <w:p>
            <w:r/>
            <w:r>
              <w:rPr>
                <w:sz w:val="18"/>
              </w:rPr>
              <w:t>Negocio</w:t>
            </w:r>
          </w:p>
        </w:tc>
        <w:tc>
          <w:tcPr>
            <w:tcW w:type="dxa" w:w="2880"/>
          </w:tcPr>
          <w:p>
            <w:r/>
            <w:r>
              <w:rPr>
                <w:sz w:val="18"/>
              </w:rPr>
              <w:t>Advertencia</w:t>
            </w:r>
          </w:p>
        </w:tc>
      </w:tr>
      <w:tr>
        <w:tc>
          <w:tcPr>
            <w:tcW w:type="dxa" w:w="4176"/>
          </w:tcPr>
          <w:p>
            <w:r/>
            <w:r>
              <w:rPr>
                <w:sz w:val="18"/>
              </w:rPr>
              <w:t>cliente_con_vendedor</w:t>
            </w:r>
          </w:p>
        </w:tc>
        <w:tc>
          <w:tcPr>
            <w:tcW w:type="dxa" w:w="1728"/>
          </w:tcPr>
          <w:p>
            <w:r/>
            <w:r>
              <w:rPr>
                <w:sz w:val="18"/>
              </w:rPr>
              <w:t>Negocio</w:t>
            </w:r>
          </w:p>
        </w:tc>
        <w:tc>
          <w:tcPr>
            <w:tcW w:type="dxa" w:w="2880"/>
          </w:tcPr>
          <w:p>
            <w:r/>
            <w:r>
              <w:rPr>
                <w:sz w:val="18"/>
              </w:rPr>
              <w:t>Advertencia</w:t>
            </w:r>
          </w:p>
        </w:tc>
      </w:tr>
      <w:tr>
        <w:tc>
          <w:tcPr>
            <w:tcW w:type="dxa" w:w="4176"/>
          </w:tcPr>
          <w:p>
            <w:r/>
            <w:r>
              <w:rPr>
                <w:sz w:val="18"/>
              </w:rPr>
              <w:t>consistencia_entre_fuentes_cliente / _producto</w:t>
            </w:r>
          </w:p>
        </w:tc>
        <w:tc>
          <w:tcPr>
            <w:tcW w:type="dxa" w:w="1728"/>
          </w:tcPr>
          <w:p>
            <w:r/>
            <w:r>
              <w:rPr>
                <w:sz w:val="18"/>
              </w:rPr>
              <w:t>Negocio</w:t>
            </w:r>
          </w:p>
        </w:tc>
        <w:tc>
          <w:tcPr>
            <w:tcW w:type="dxa" w:w="2880"/>
          </w:tcPr>
          <w:p>
            <w:r/>
            <w:r>
              <w:rPr>
                <w:sz w:val="18"/>
              </w:rPr>
              <w:t>Advertencia</w:t>
            </w:r>
          </w:p>
        </w:tc>
      </w:tr>
    </w:tbl>
    <w:p/>
    <w:p>
      <w:r>
        <w:t>La distinción entre clase técnica y de negocio es operativa, no decorativa: una regla técnica (por ejemplo, un correo mal formado) la detecta la máquina sin conocer el significado del negocio; una regla de negocio (por ejemplo, que la fecha de envío sea posterior a la fecha de pedido) exige conocer la semántica del dominio. Las reglas bloqueantes rechazan el registro; las de advertencia lo dejan pasar pero quedan trazadas para revisión posterior.</w:t>
      </w:r>
    </w:p>
    <w:p>
      <w:pPr>
        <w:pStyle w:val="Heading2"/>
      </w:pPr>
      <w:r>
        <w:t>4.4 La capa Transformation: joins, lookups y agregaciones</w:t>
      </w:r>
    </w:p>
    <w:p>
      <w:r>
        <w:rPr>
          <w:b/>
        </w:rPr>
        <w:t xml:space="preserve">Joins. </w:t>
      </w:r>
      <w:r>
        <w:t>fact_ventas cruza cinco tablas del landing (orderdetails, orders, products, customers, employees) para reunir en una sola fila las medidas y las llaves de negocio que necesita.</w:t>
      </w:r>
    </w:p>
    <w:p>
      <w:r>
        <w:rPr>
          <w:b/>
        </w:rPr>
        <w:t xml:space="preserve">Lookups. </w:t>
      </w:r>
      <w:r>
        <w:t>Es la operación característica de un ETL dimensional: el hecho no guarda customerNumber = 103, guarda cliente_key = 7, que es la fila que le tocó a ese cliente en dim_cliente. El caso de dim_empleado ilustra por qué el lookup debe usar la llave compuesta y no solo el número: el 26 de classicmodels y el 26 de customerservice deben resolver a llaves subrogadas distintas, porque son dos personas diferentes.</w:t>
      </w:r>
    </w:p>
    <w:p>
      <w:r>
        <w:rPr>
          <w:b/>
        </w:rPr>
        <w:t xml:space="preserve">Agregaciones. </w:t>
      </w:r>
      <w:r>
        <w:t>las medidas calculadas (monto_linea, costo_linea, margen_linea, dias_hasta_envio) y la derivación de dim_estado_orden a partir de los valores distintos de orders.status.</w:t>
      </w:r>
    </w:p>
    <w:p>
      <w:pPr>
        <w:jc w:val="center"/>
      </w:pPr>
      <w:r>
        <w:drawing>
          <wp:inline xmlns:a="http://schemas.openxmlformats.org/drawingml/2006/main" xmlns:pic="http://schemas.openxmlformats.org/drawingml/2006/picture">
            <wp:extent cx="4754880" cy="3642036"/>
            <wp:docPr id="8" name="Picture 8"/>
            <wp:cNvGraphicFramePr>
              <a:graphicFrameLocks noChangeAspect="1"/>
            </wp:cNvGraphicFramePr>
            <a:graphic>
              <a:graphicData uri="http://schemas.openxmlformats.org/drawingml/2006/picture">
                <pic:pic>
                  <pic:nvPicPr>
                    <pic:cNvPr id="0" name="d3_llaves_subrogadas.png"/>
                    <pic:cNvPicPr/>
                  </pic:nvPicPr>
                  <pic:blipFill>
                    <a:blip r:embed="rId16"/>
                    <a:stretch>
                      <a:fillRect/>
                    </a:stretch>
                  </pic:blipFill>
                  <pic:spPr>
                    <a:xfrm>
                      <a:off x="0" y="0"/>
                      <a:ext cx="4754880" cy="3642036"/>
                    </a:xfrm>
                    <a:prstGeom prst="rect"/>
                  </pic:spPr>
                </pic:pic>
              </a:graphicData>
            </a:graphic>
          </wp:inline>
        </w:drawing>
      </w:r>
    </w:p>
    <w:p>
      <w:pPr>
        <w:jc w:val="center"/>
      </w:pPr>
      <w:r>
        <w:rPr>
          <w:i/>
          <w:color w:val="5A5A5A"/>
          <w:sz w:val="18"/>
        </w:rPr>
        <w:t>Figura 8. Resolución de llaves subrogadas en etl_dw_facts.py.</w:t>
      </w:r>
    </w:p>
    <w:p/>
    <w:p>
      <w:r>
        <w:rPr>
          <w:i/>
          <w:color w:val="5A5A5A"/>
          <w:sz w:val="18"/>
        </w:rPr>
        <w:t>Si alguna llave obligatoria queda sin resolver, el proceso falla en vez de cargar datos huérfanos — verificado directamente en el código de etl_dw_facts.py: es una decisión deliberada de diseño, no un efecto secundario.</w:t>
      </w:r>
    </w:p>
    <w:p>
      <w:pPr>
        <w:pStyle w:val="Heading2"/>
      </w:pPr>
      <w:r>
        <w:t>4.5 Hallazgos del perfilamiento resueltos en la transformación</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600"/>
            <w:shd w:val="clear" w:color="auto" w:fill="1F3A5F"/>
            <w:vAlign w:val="center"/>
          </w:tcPr>
          <w:p>
            <w:r/>
            <w:r>
              <w:rPr>
                <w:b/>
                <w:color w:val="FFFFFF"/>
                <w:sz w:val="18"/>
              </w:rPr>
              <w:t>Hallazgo (Entrega 1)</w:t>
            </w:r>
          </w:p>
        </w:tc>
        <w:tc>
          <w:tcPr>
            <w:tcW w:type="dxa" w:w="3744"/>
            <w:shd w:val="clear" w:color="auto" w:fill="1F3A5F"/>
            <w:vAlign w:val="center"/>
          </w:tcPr>
          <w:p>
            <w:r/>
            <w:r>
              <w:rPr>
                <w:b/>
                <w:color w:val="FFFFFF"/>
                <w:sz w:val="18"/>
              </w:rPr>
              <w:t>Tratamiento en el ETL</w:t>
            </w:r>
          </w:p>
        </w:tc>
        <w:tc>
          <w:tcPr>
            <w:tcW w:type="dxa" w:w="1728"/>
            <w:shd w:val="clear" w:color="auto" w:fill="1F3A5F"/>
            <w:vAlign w:val="center"/>
          </w:tcPr>
          <w:p>
            <w:r/>
            <w:r>
              <w:rPr>
                <w:b/>
                <w:color w:val="FFFFFF"/>
                <w:sz w:val="18"/>
              </w:rPr>
              <w:t>Regla registrada</w:t>
            </w:r>
          </w:p>
        </w:tc>
      </w:tr>
      <w:tr>
        <w:tc>
          <w:tcPr>
            <w:tcW w:type="dxa" w:w="3600"/>
          </w:tcPr>
          <w:p>
            <w:r/>
            <w:r>
              <w:rPr>
                <w:sz w:val="16"/>
              </w:rPr>
              <w:t>productlines.htmlDescription e image, 100% vacías</w:t>
            </w:r>
          </w:p>
        </w:tc>
        <w:tc>
          <w:tcPr>
            <w:tcW w:type="dxa" w:w="3744"/>
          </w:tcPr>
          <w:p>
            <w:r/>
            <w:r>
              <w:rPr>
                <w:sz w:val="16"/>
              </w:rPr>
              <w:t>No pasan a dim_producto; solo se trae textDescription</w:t>
            </w:r>
          </w:p>
        </w:tc>
        <w:tc>
          <w:tcPr>
            <w:tcW w:type="dxa" w:w="1728"/>
          </w:tcPr>
          <w:p>
            <w:r/>
            <w:r>
              <w:rPr>
                <w:sz w:val="16"/>
              </w:rPr>
              <w:t>productline_columnas_vacias</w:t>
            </w:r>
          </w:p>
        </w:tc>
      </w:tr>
      <w:tr>
        <w:tc>
          <w:tcPr>
            <w:tcW w:type="dxa" w:w="3600"/>
          </w:tcPr>
          <w:p>
            <w:r/>
            <w:r>
              <w:rPr>
                <w:sz w:val="16"/>
              </w:rPr>
              <w:t>customers.addressLine2 nula en 100 de 122 filas</w:t>
            </w:r>
          </w:p>
        </w:tc>
        <w:tc>
          <w:tcPr>
            <w:tcW w:type="dxa" w:w="3744"/>
          </w:tcPr>
          <w:p>
            <w:r/>
            <w:r>
              <w:rPr>
                <w:sz w:val="16"/>
              </w:rPr>
              <w:t>Se une con addressLine1 en direccion_completa</w:t>
            </w:r>
          </w:p>
        </w:tc>
        <w:tc>
          <w:tcPr>
            <w:tcW w:type="dxa" w:w="1728"/>
          </w:tcPr>
          <w:p>
            <w:r/>
            <w:r>
              <w:rPr>
                <w:sz w:val="16"/>
              </w:rPr>
              <w:t>cliente_direccion_linea2_nula</w:t>
            </w:r>
          </w:p>
        </w:tc>
      </w:tr>
      <w:tr>
        <w:tc>
          <w:tcPr>
            <w:tcW w:type="dxa" w:w="3600"/>
          </w:tcPr>
          <w:p>
            <w:r/>
            <w:r>
              <w:rPr>
                <w:sz w:val="16"/>
              </w:rPr>
              <w:t>orders.comments nula en 246 de 326 órdenes</w:t>
            </w:r>
          </w:p>
        </w:tc>
        <w:tc>
          <w:tcPr>
            <w:tcW w:type="dxa" w:w="3744"/>
          </w:tcPr>
          <w:p>
            <w:r/>
            <w:r>
              <w:rPr>
                <w:sz w:val="16"/>
              </w:rPr>
              <w:t>Texto libre sin valor analítico: no pasa al almacén</w:t>
            </w:r>
          </w:p>
        </w:tc>
        <w:tc>
          <w:tcPr>
            <w:tcW w:type="dxa" w:w="1728"/>
          </w:tcPr>
          <w:p>
            <w:r/>
            <w:r>
              <w:rPr>
                <w:sz w:val="16"/>
              </w:rPr>
              <w:t>orden_comentarios_nulos</w:t>
            </w:r>
          </w:p>
        </w:tc>
      </w:tr>
      <w:tr>
        <w:tc>
          <w:tcPr>
            <w:tcW w:type="dxa" w:w="3600"/>
          </w:tcPr>
          <w:p>
            <w:r/>
            <w:r>
              <w:rPr>
                <w:sz w:val="16"/>
              </w:rPr>
              <w:t>shippedDate nula en 141 líneas no despachadas</w:t>
            </w:r>
          </w:p>
        </w:tc>
        <w:tc>
          <w:tcPr>
            <w:tcW w:type="dxa" w:w="3744"/>
          </w:tcPr>
          <w:p>
            <w:r/>
            <w:r>
              <w:rPr>
                <w:sz w:val="16"/>
              </w:rPr>
              <w:t>dias_hasta_envio queda nulo; dim_estado_orden explica el motivo</w:t>
            </w:r>
          </w:p>
        </w:tc>
        <w:tc>
          <w:tcPr>
            <w:tcW w:type="dxa" w:w="1728"/>
          </w:tcPr>
          <w:p>
            <w:r/>
            <w:r>
              <w:rPr>
                <w:sz w:val="16"/>
              </w:rPr>
              <w:t>orden_fecha_envio_nula</w:t>
            </w:r>
          </w:p>
        </w:tc>
      </w:tr>
      <w:tr>
        <w:tc>
          <w:tcPr>
            <w:tcW w:type="dxa" w:w="3600"/>
          </w:tcPr>
          <w:p>
            <w:r/>
            <w:r>
              <w:rPr>
                <w:sz w:val="16"/>
              </w:rPr>
              <w:t>Empleados sin llave común entre fuentes (0% solape)</w:t>
            </w:r>
          </w:p>
        </w:tc>
        <w:tc>
          <w:tcPr>
            <w:tcW w:type="dxa" w:w="3744"/>
          </w:tcPr>
          <w:p>
            <w:r/>
            <w:r>
              <w:rPr>
                <w:sz w:val="16"/>
              </w:rPr>
              <w:t>Llave compuesta (numero_empleado, sistema_origen) en dim_empleado</w:t>
            </w:r>
          </w:p>
        </w:tc>
        <w:tc>
          <w:tcPr>
            <w:tcW w:type="dxa" w:w="1728"/>
          </w:tcPr>
          <w:p>
            <w:r/>
            <w:r>
              <w:rPr>
                <w:sz w:val="16"/>
              </w:rPr>
              <w:t>empleado_conformidad_fuentes</w:t>
            </w:r>
          </w:p>
        </w:tc>
      </w:tr>
      <w:tr>
        <w:tc>
          <w:tcPr>
            <w:tcW w:type="dxa" w:w="3600"/>
          </w:tcPr>
          <w:p>
            <w:r/>
            <w:r>
              <w:rPr>
                <w:sz w:val="16"/>
              </w:rPr>
              <w:t>Clientes y productos presentes en ambas fuentes (100% solape)</w:t>
            </w:r>
          </w:p>
        </w:tc>
        <w:tc>
          <w:tcPr>
            <w:tcW w:type="dxa" w:w="3744"/>
          </w:tcPr>
          <w:p>
            <w:r/>
            <w:r>
              <w:rPr>
                <w:sz w:val="16"/>
              </w:rPr>
              <w:t>Dimensiones conformadas dim_cliente y dim_producto</w:t>
            </w:r>
          </w:p>
        </w:tc>
        <w:tc>
          <w:tcPr>
            <w:tcW w:type="dxa" w:w="1728"/>
          </w:tcPr>
          <w:p>
            <w:r/>
            <w:r>
              <w:rPr>
                <w:sz w:val="16"/>
              </w:rPr>
              <w:t>cliente/producto_conformidad_fuentes</w:t>
            </w:r>
          </w:p>
        </w:tc>
      </w:tr>
      <w:tr>
        <w:tc>
          <w:tcPr>
            <w:tcW w:type="dxa" w:w="3600"/>
          </w:tcPr>
          <w:p>
            <w:r/>
            <w:r>
              <w:rPr>
                <w:sz w:val="16"/>
              </w:rPr>
              <w:t>Órdenes canceladas, en disputa o en espera</w:t>
            </w:r>
          </w:p>
        </w:tc>
        <w:tc>
          <w:tcPr>
            <w:tcW w:type="dxa" w:w="3744"/>
          </w:tcPr>
          <w:p>
            <w:r/>
            <w:r>
              <w:rPr>
                <w:sz w:val="16"/>
              </w:rPr>
              <w:t>Se cargan todas; es_efectiva permite excluirlas de los reportes sin borrarlas del almacén</w:t>
            </w:r>
          </w:p>
        </w:tc>
        <w:tc>
          <w:tcPr>
            <w:tcW w:type="dxa" w:w="1728"/>
          </w:tcPr>
          <w:p>
            <w:r/>
            <w:r>
              <w:rPr>
                <w:sz w:val="16"/>
              </w:rPr>
              <w:t>estado_orden_no_efectivo</w:t>
            </w:r>
          </w:p>
        </w:tc>
      </w:tr>
    </w:tbl>
    <w:p/>
    <w:p>
      <w:r>
        <w:rPr>
          <w:b/>
          <w:color w:val="1F6B4A"/>
          <w:sz w:val="18"/>
        </w:rPr>
        <w:t xml:space="preserve">✓ Verificado en vivo: </w:t>
      </w:r>
      <w:r>
        <w:rPr>
          <w:i/>
          <w:color w:val="1F6B4A"/>
          <w:sz w:val="18"/>
        </w:rPr>
        <w:t>con los datos originales, la carga completa produjo 0 registros rechazados y 22 advertencias (todas cliente_con_vendedor) — confirmado en la corrida de esta sesión.</w:t>
      </w:r>
    </w:p>
    <w:p>
      <w:pPr>
        <w:pStyle w:val="Heading2"/>
      </w:pPr>
      <w:r>
        <w:t>4.6 Registro en el repositorio de metadatos</w:t>
      </w:r>
    </w:p>
    <w:p>
      <w:r>
        <w:t>Cada corrida se registra en dos lugares complementarios: staging_dw.etl_run, el control interno del proceso con el detalle por capa, y etl_execution en el repositorio de metadatos, la vista de gobierno con el proceso, la herramienta usada y las filas leídas, escritas y rechazadas. Sobre ese mismo registro se apoya la regla de MONITOREO: check_freshness.py compara la fecha de la última carga exitosa en etl_execution contra un umbral de 24 horas y escribe el resultado en dq_result, cerrando un vacío que existía hasta esta verificación: la regla estaba catalogada pero ningún proceso la había evaluado nunca.</w:t>
      </w:r>
    </w:p>
    <w:p>
      <w:r>
        <w:rPr>
          <w:b/>
          <w:sz w:val="18"/>
        </w:rPr>
        <w:t>Evidencia — la regla de MONITOREO evaluándose de verdad:</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datawarehouse/tests/check_freshness.py</w:t>
            </w:r>
          </w:p>
          <w:p>
            <w:r>
              <w:rPr>
                <w:rFonts w:ascii="Consolas" w:hAnsi="Consolas"/>
                <w:color w:val="D8E8D8"/>
                <w:sz w:val="16"/>
              </w:rPr>
              <w:t>Last successful load: 2026-09-26 05:56:38  (age: 9:37:07)  -&gt;  OK (fresh)</w:t>
            </w:r>
          </w:p>
        </w:tc>
      </w:tr>
    </w:tbl>
    <w:p/>
    <w:p>
      <w:r>
        <w:br w:type="page"/>
      </w:r>
    </w:p>
    <w:p>
      <w:pPr>
        <w:pStyle w:val="Heading1"/>
      </w:pPr>
      <w:r>
        <w:t>5. Diseño de reportes (20%)</w:t>
      </w:r>
    </w:p>
    <w:p>
      <w:pPr>
        <w:pStyle w:val="Heading2"/>
      </w:pPr>
      <w:r>
        <w:t>5.1 Herramienta</w:t>
      </w:r>
    </w:p>
    <w:p>
      <w:r>
        <w:t>Metabase (open source) desplegado en un contenedor Docker con volumen persistente. Se eligió por costo cero, cero instalación y conexión nativa a PostgreSQL. Los reportes se construyeron mediante la API REST de Metabase (reports/build_dashboard.py), de modo que el montaje es reproducible: cualquier integrante del equipo levanta el contenedor, corre el script y obtiene exactamente el mismo dashboard, sin recrearlo a mano en la interfaz.</w:t>
      </w:r>
    </w:p>
    <w:p>
      <w:pPr>
        <w:pStyle w:val="Heading2"/>
      </w:pPr>
      <w:r>
        <w:t>5.2 Cumplimiento de la restricción del enunciado</w:t>
      </w:r>
    </w:p>
    <w:p>
      <w:r>
        <w:rPr>
          <w:i/>
        </w:rPr>
        <w:t>“No se conecte a las fuentes de datos originales, debe conectar a su tabla de hecho del almacén de datos.”</w:t>
      </w:r>
    </w:p>
    <w:p>
      <w:r>
        <w:rPr>
          <w:b/>
          <w:sz w:val="18"/>
        </w:rPr>
        <w:t>Evidencia — API de Metabase, confirmado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curl .../api/database  -&gt;  1 base registrada: "Almacen de Datos" (postgres, host dw)</w:t>
            </w:r>
          </w:p>
          <w:p>
            <w:r>
              <w:rPr>
                <w:rFonts w:ascii="Consolas" w:hAnsi="Consolas"/>
                <w:color w:val="9CDCFE"/>
                <w:sz w:val="16"/>
              </w:rPr>
              <w:t>$ curl .../api/dashboard -&gt;  1 dashboard: "Entrega 2 - Almacen Ventas y Servicio", 6 tarjetas</w:t>
            </w:r>
          </w:p>
        </w:tc>
      </w:tr>
    </w:tbl>
    <w:p/>
    <w:p>
      <w:r>
        <w:t>Ni classicmodels ni customerservice están configurados como orígenes en Metabase. Todas las consultas de los reportes leen fact_ventas, fact_llamadas_servicio o las vistas de Data Mart.</w:t>
      </w:r>
    </w:p>
    <w:p>
      <w:pPr>
        <w:pStyle w:val="Heading2"/>
      </w:pPr>
      <w:r>
        <w:t>5.3 Los reportes y la pregunta de negocio que responde cada uno</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576"/>
            <w:shd w:val="clear" w:color="auto" w:fill="1F3A5F"/>
            <w:vAlign w:val="center"/>
          </w:tcPr>
          <w:p>
            <w:r/>
            <w:r>
              <w:rPr>
                <w:b/>
                <w:color w:val="FFFFFF"/>
                <w:sz w:val="18"/>
              </w:rPr>
              <w:t>#</w:t>
            </w:r>
          </w:p>
        </w:tc>
        <w:tc>
          <w:tcPr>
            <w:tcW w:type="dxa" w:w="2448"/>
            <w:shd w:val="clear" w:color="auto" w:fill="1F3A5F"/>
            <w:vAlign w:val="center"/>
          </w:tcPr>
          <w:p>
            <w:r/>
            <w:r>
              <w:rPr>
                <w:b/>
                <w:color w:val="FFFFFF"/>
                <w:sz w:val="18"/>
              </w:rPr>
              <w:t>Reporte</w:t>
            </w:r>
          </w:p>
        </w:tc>
        <w:tc>
          <w:tcPr>
            <w:tcW w:type="dxa" w:w="4320"/>
            <w:shd w:val="clear" w:color="auto" w:fill="1F3A5F"/>
            <w:vAlign w:val="center"/>
          </w:tcPr>
          <w:p>
            <w:r/>
            <w:r>
              <w:rPr>
                <w:b/>
                <w:color w:val="FFFFFF"/>
                <w:sz w:val="18"/>
              </w:rPr>
              <w:t>Pregunta de negocio</w:t>
            </w:r>
          </w:p>
        </w:tc>
        <w:tc>
          <w:tcPr>
            <w:tcW w:type="dxa" w:w="1728"/>
            <w:shd w:val="clear" w:color="auto" w:fill="1F3A5F"/>
            <w:vAlign w:val="center"/>
          </w:tcPr>
          <w:p>
            <w:r/>
            <w:r>
              <w:rPr>
                <w:b/>
                <w:color w:val="FFFFFF"/>
                <w:sz w:val="18"/>
              </w:rPr>
              <w:t>Tablas del almacén</w:t>
            </w:r>
          </w:p>
        </w:tc>
      </w:tr>
      <w:tr>
        <w:tc>
          <w:tcPr>
            <w:tcW w:type="dxa" w:w="576"/>
          </w:tcPr>
          <w:p>
            <w:r/>
            <w:r>
              <w:rPr>
                <w:sz w:val="16"/>
              </w:rPr>
              <w:t>1</w:t>
            </w:r>
          </w:p>
        </w:tc>
        <w:tc>
          <w:tcPr>
            <w:tcW w:type="dxa" w:w="2448"/>
          </w:tcPr>
          <w:p>
            <w:r/>
            <w:r>
              <w:rPr>
                <w:sz w:val="16"/>
              </w:rPr>
              <w:t>Ventas y margen por mes</w:t>
            </w:r>
          </w:p>
        </w:tc>
        <w:tc>
          <w:tcPr>
            <w:tcW w:type="dxa" w:w="4320"/>
          </w:tcPr>
          <w:p>
            <w:r/>
            <w:r>
              <w:rPr>
                <w:sz w:val="16"/>
              </w:rPr>
              <w:t>¿Cómo evoluciona la facturación y la rentabilidad, excluyendo lo que no fue una venta cerrada?</w:t>
            </w:r>
          </w:p>
        </w:tc>
        <w:tc>
          <w:tcPr>
            <w:tcW w:type="dxa" w:w="1728"/>
          </w:tcPr>
          <w:p>
            <w:r/>
            <w:r>
              <w:rPr>
                <w:sz w:val="16"/>
              </w:rPr>
              <w:t>fact_ventas ⋈ dim_tiempo ⋈ dim_estado_orden</w:t>
            </w:r>
          </w:p>
        </w:tc>
      </w:tr>
      <w:tr>
        <w:tc>
          <w:tcPr>
            <w:tcW w:type="dxa" w:w="576"/>
          </w:tcPr>
          <w:p>
            <w:r/>
            <w:r>
              <w:rPr>
                <w:sz w:val="16"/>
              </w:rPr>
              <w:t>2</w:t>
            </w:r>
          </w:p>
        </w:tc>
        <w:tc>
          <w:tcPr>
            <w:tcW w:type="dxa" w:w="2448"/>
          </w:tcPr>
          <w:p>
            <w:r/>
            <w:r>
              <w:rPr>
                <w:sz w:val="16"/>
              </w:rPr>
              <w:t>Intensidad de servicio por producto</w:t>
            </w:r>
          </w:p>
        </w:tc>
        <w:tc>
          <w:tcPr>
            <w:tcW w:type="dxa" w:w="4320"/>
          </w:tcPr>
          <w:p>
            <w:r/>
            <w:r>
              <w:rPr>
                <w:sz w:val="16"/>
              </w:rPr>
              <w:t>¿Qué productos generan más llamadas por unidad vendida? (el reporte central de la entrega)</w:t>
            </w:r>
          </w:p>
        </w:tc>
        <w:tc>
          <w:tcPr>
            <w:tcW w:type="dxa" w:w="1728"/>
          </w:tcPr>
          <w:p>
            <w:r/>
            <w:r>
              <w:rPr>
                <w:sz w:val="16"/>
              </w:rPr>
              <w:t>dm.vw_interaccion_cliente_producto</w:t>
            </w:r>
          </w:p>
        </w:tc>
      </w:tr>
      <w:tr>
        <w:tc>
          <w:tcPr>
            <w:tcW w:type="dxa" w:w="576"/>
          </w:tcPr>
          <w:p>
            <w:r/>
            <w:r>
              <w:rPr>
                <w:sz w:val="16"/>
              </w:rPr>
              <w:t>3</w:t>
            </w:r>
          </w:p>
        </w:tc>
        <w:tc>
          <w:tcPr>
            <w:tcW w:type="dxa" w:w="2448"/>
          </w:tcPr>
          <w:p>
            <w:r/>
            <w:r>
              <w:rPr>
                <w:sz w:val="16"/>
              </w:rPr>
              <w:t>Margen por línea de producto</w:t>
            </w:r>
          </w:p>
        </w:tc>
        <w:tc>
          <w:tcPr>
            <w:tcW w:type="dxa" w:w="4320"/>
          </w:tcPr>
          <w:p>
            <w:r/>
            <w:r>
              <w:rPr>
                <w:sz w:val="16"/>
              </w:rPr>
              <w:t>¿Qué línea de producto es más rentable, no solo cuál vende más?</w:t>
            </w:r>
          </w:p>
        </w:tc>
        <w:tc>
          <w:tcPr>
            <w:tcW w:type="dxa" w:w="1728"/>
          </w:tcPr>
          <w:p>
            <w:r/>
            <w:r>
              <w:rPr>
                <w:sz w:val="16"/>
              </w:rPr>
              <w:t>fact_ventas ⋈ dim_producto</w:t>
            </w:r>
          </w:p>
        </w:tc>
      </w:tr>
      <w:tr>
        <w:tc>
          <w:tcPr>
            <w:tcW w:type="dxa" w:w="576"/>
          </w:tcPr>
          <w:p>
            <w:r/>
            <w:r>
              <w:rPr>
                <w:sz w:val="16"/>
              </w:rPr>
              <w:t>4</w:t>
            </w:r>
          </w:p>
        </w:tc>
        <w:tc>
          <w:tcPr>
            <w:tcW w:type="dxa" w:w="2448"/>
          </w:tcPr>
          <w:p>
            <w:r/>
            <w:r>
              <w:rPr>
                <w:sz w:val="16"/>
              </w:rPr>
              <w:t>Clientes: compras frente a llamadas</w:t>
            </w:r>
          </w:p>
        </w:tc>
        <w:tc>
          <w:tcPr>
            <w:tcW w:type="dxa" w:w="4320"/>
          </w:tcPr>
          <w:p>
            <w:r/>
            <w:r>
              <w:rPr>
                <w:sz w:val="16"/>
              </w:rPr>
              <w:t>¿Qué clientes concentran mucha compra y poca fricción de servicio, y viceversa?</w:t>
            </w:r>
          </w:p>
        </w:tc>
        <w:tc>
          <w:tcPr>
            <w:tcW w:type="dxa" w:w="1728"/>
          </w:tcPr>
          <w:p>
            <w:r/>
            <w:r>
              <w:rPr>
                <w:sz w:val="16"/>
              </w:rPr>
              <w:t>dm.vw_interaccion_cliente_producto</w:t>
            </w:r>
          </w:p>
        </w:tc>
      </w:tr>
      <w:tr>
        <w:tc>
          <w:tcPr>
            <w:tcW w:type="dxa" w:w="576"/>
          </w:tcPr>
          <w:p>
            <w:r/>
            <w:r>
              <w:rPr>
                <w:sz w:val="16"/>
              </w:rPr>
              <w:t>5</w:t>
            </w:r>
          </w:p>
        </w:tc>
        <w:tc>
          <w:tcPr>
            <w:tcW w:type="dxa" w:w="2448"/>
          </w:tcPr>
          <w:p>
            <w:r/>
            <w:r>
              <w:rPr>
                <w:sz w:val="16"/>
              </w:rPr>
              <w:t>Ventas por oficina</w:t>
            </w:r>
          </w:p>
        </w:tc>
        <w:tc>
          <w:tcPr>
            <w:tcW w:type="dxa" w:w="4320"/>
          </w:tcPr>
          <w:p>
            <w:r/>
            <w:r>
              <w:rPr>
                <w:sz w:val="16"/>
              </w:rPr>
              <w:t>¿Qué sede concentra el desempeño comercial?</w:t>
            </w:r>
          </w:p>
        </w:tc>
        <w:tc>
          <w:tcPr>
            <w:tcW w:type="dxa" w:w="1728"/>
          </w:tcPr>
          <w:p>
            <w:r/>
            <w:r>
              <w:rPr>
                <w:sz w:val="16"/>
              </w:rPr>
              <w:t>fact_ventas ⋈ dim_oficina</w:t>
            </w:r>
          </w:p>
        </w:tc>
      </w:tr>
      <w:tr>
        <w:tc>
          <w:tcPr>
            <w:tcW w:type="dxa" w:w="576"/>
          </w:tcPr>
          <w:p>
            <w:r/>
            <w:r>
              <w:rPr>
                <w:sz w:val="16"/>
              </w:rPr>
              <w:t>6</w:t>
            </w:r>
          </w:p>
        </w:tc>
        <w:tc>
          <w:tcPr>
            <w:tcW w:type="dxa" w:w="2448"/>
          </w:tcPr>
          <w:p>
            <w:r/>
            <w:r>
              <w:rPr>
                <w:sz w:val="16"/>
              </w:rPr>
              <w:t>Carga del centro de servicio por agente</w:t>
            </w:r>
          </w:p>
        </w:tc>
        <w:tc>
          <w:tcPr>
            <w:tcW w:type="dxa" w:w="4320"/>
          </w:tcPr>
          <w:p>
            <w:r/>
            <w:r>
              <w:rPr>
                <w:sz w:val="16"/>
              </w:rPr>
              <w:t>¿Cómo se distribuye el volumen de llamadas entre agentes?</w:t>
            </w:r>
          </w:p>
        </w:tc>
        <w:tc>
          <w:tcPr>
            <w:tcW w:type="dxa" w:w="1728"/>
          </w:tcPr>
          <w:p>
            <w:r/>
            <w:r>
              <w:rPr>
                <w:sz w:val="16"/>
              </w:rPr>
              <w:t>fact_llamadas_servicio ⋈ dim_empleado</w:t>
            </w:r>
          </w:p>
        </w:tc>
      </w:tr>
    </w:tbl>
    <w:p/>
    <w:p>
      <w:r>
        <w:t>El reporte 2 es el central de la entrega: es el único que cruza las dos fuentes, y solo es posible porque dim_cliente y dim_producto son conformadas. En la última corrida, el producto con mayor intensidad de servicio fue American Airlines: B767-300, con 0,0078 llamadas por unidad vendida, seguido de 1962 City of Detroit Streetcar con 0,0062 — información que ningún reporte construido sobre una sola fuente podría producir.</w:t>
      </w:r>
    </w:p>
    <w:p>
      <w:r>
        <w:rPr>
          <w:b/>
          <w:sz w:val="18"/>
        </w:rPr>
        <w:t>Evidencia — resultado real del reporte 2,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SELECT nombre_producto, llamadas_por_unidad FROM dm.vw_interaccion_cliente_producto</w:t>
            </w:r>
          </w:p>
          <w:p>
            <w:r>
              <w:rPr>
                <w:rFonts w:ascii="Consolas" w:hAnsi="Consolas"/>
                <w:color w:val="D8E8D8"/>
                <w:sz w:val="16"/>
              </w:rPr>
              <w:t xml:space="preserve">  ORDER BY llamadas_por_unidad DESC LIMIT 2;</w:t>
            </w:r>
          </w:p>
          <w:p>
            <w:r>
              <w:rPr>
                <w:rFonts w:ascii="Consolas" w:hAnsi="Consolas"/>
                <w:color w:val="D8E8D8"/>
                <w:sz w:val="16"/>
              </w:rPr>
              <w:t xml:space="preserve">  American Airlines: B767-300        0.0078</w:t>
            </w:r>
          </w:p>
          <w:p>
            <w:r>
              <w:rPr>
                <w:rFonts w:ascii="Consolas" w:hAnsi="Consolas"/>
                <w:color w:val="D8E8D8"/>
                <w:sz w:val="16"/>
              </w:rPr>
              <w:t xml:space="preserve">  1962 City of Detroit Streetcar     0.0062</w:t>
            </w:r>
          </w:p>
        </w:tc>
      </w:tr>
    </w:tbl>
    <w:p/>
    <w:p>
      <w:r>
        <w:t>El reporte 6 funciona además como verificación independiente del modelo: muestra únicamente los 30 agentes de customerservice, nunca los 23 vendedores de classicmodels, pese a que ambos conjuntos comparten rango de numeración — evidencia visual de que la llave compuesta de dim_empleado está funcionando correctamente.</w:t>
      </w:r>
    </w:p>
    <w:p>
      <w:pPr>
        <w:pStyle w:val="Heading2"/>
      </w:pPr>
      <w:r>
        <w:t>5.4 Evidencia visual del dashboard</w:t>
      </w:r>
    </w:p>
    <w:tbl>
      <w:tblPr>
        <w:tblW w:type="auto" w:w="0"/>
        <w:jc w:val="center"/>
        <w:tblLook w:firstColumn="1" w:firstRow="1" w:lastColumn="0" w:lastRow="0" w:noHBand="0" w:noVBand="1" w:val="04A0"/>
      </w:tblPr>
      <w:tblGrid>
        <w:gridCol w:w="9648"/>
      </w:tblGrid>
      <w:tr>
        <w:trPr>
          <w:trHeight w:val="3168" w:hRule="atLeast"/>
        </w:trPr>
        <w:tc>
          <w:tcPr>
            <w:tcW w:type="dxa" w:w="9216"/>
            <w:tcBorders>
              <w:top w:val="dashed" w:sz="12" w:space="0" w:color="9A9A9A"/>
              <w:left w:val="dashed" w:sz="12" w:space="0" w:color="9A9A9A"/>
              <w:bottom w:val="dashed" w:sz="12" w:space="0" w:color="9A9A9A"/>
              <w:right w:val="dashed" w:sz="12" w:space="0" w:color="9A9A9A"/>
            </w:tcBorders>
            <w:shd w:val="clear" w:color="auto" w:fill="F7F7F7"/>
            <w:vAlign w:val="center"/>
          </w:tcPr>
          <w:p>
            <w:pPr>
              <w:jc w:val="center"/>
            </w:pPr>
            <w:r>
              <w:rPr>
                <w:b/>
                <w:i/>
                <w:color w:val="5A5A5A"/>
                <w:sz w:val="21"/>
              </w:rPr>
              <w:t>[ Captura de pantalla del dashboard en http://localhost:3000 ]</w:t>
            </w:r>
          </w:p>
          <w:p>
            <w:pPr>
              <w:jc w:val="center"/>
            </w:pPr>
            <w:r>
              <w:rPr>
                <w:i/>
                <w:color w:val="5A5A5A"/>
                <w:sz w:val="18"/>
              </w:rPr>
              <w:t>El contenido ya está verificado por API (sección 5.2) y por consulta directa (sección 5.3);</w:t>
            </w:r>
          </w:p>
          <w:p>
            <w:pPr>
              <w:jc w:val="center"/>
            </w:pPr>
            <w:r>
              <w:rPr>
                <w:i/>
                <w:color w:val="5A5A5A"/>
                <w:sz w:val="18"/>
              </w:rPr>
              <w:t>falta solo la captura visual de la interfaz para el entregable final.</w:t>
            </w:r>
          </w:p>
        </w:tc>
      </w:tr>
    </w:tbl>
    <w:p/>
    <w:p>
      <w:r>
        <w:br w:type="page"/>
      </w:r>
    </w:p>
    <w:p>
      <w:pPr>
        <w:pStyle w:val="Heading1"/>
      </w:pPr>
      <w:r>
        <w:t>Matriz de cumplimiento del enunciado</w:t>
      </w:r>
    </w:p>
    <w:p>
      <w:r>
        <w:t>Esta sección recorre, uno a uno, los cinco puntos que exige el enunciado de la Entrega 2 ("Se requiere"), citando dónde queda resuelto cada uno en este documento y con qué evidencia.</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576"/>
            <w:shd w:val="clear" w:color="auto" w:fill="1F3A5F"/>
            <w:vAlign w:val="center"/>
          </w:tcPr>
          <w:p>
            <w:r/>
            <w:r>
              <w:rPr>
                <w:b/>
                <w:color w:val="FFFFFF"/>
                <w:sz w:val="18"/>
              </w:rPr>
              <w:t>#</w:t>
            </w:r>
          </w:p>
        </w:tc>
        <w:tc>
          <w:tcPr>
            <w:tcW w:type="dxa" w:w="4176"/>
            <w:shd w:val="clear" w:color="auto" w:fill="1F3A5F"/>
            <w:vAlign w:val="center"/>
          </w:tcPr>
          <w:p>
            <w:r/>
            <w:r>
              <w:rPr>
                <w:b/>
                <w:color w:val="FFFFFF"/>
                <w:sz w:val="18"/>
              </w:rPr>
              <w:t>Exigencia del enunciado</w:t>
            </w:r>
          </w:p>
        </w:tc>
        <w:tc>
          <w:tcPr>
            <w:tcW w:type="dxa" w:w="2304"/>
            <w:shd w:val="clear" w:color="auto" w:fill="1F3A5F"/>
            <w:vAlign w:val="center"/>
          </w:tcPr>
          <w:p>
            <w:r/>
            <w:r>
              <w:rPr>
                <w:b/>
                <w:color w:val="FFFFFF"/>
                <w:sz w:val="18"/>
              </w:rPr>
              <w:t>Dónde se resuelve</w:t>
            </w:r>
          </w:p>
        </w:tc>
        <w:tc>
          <w:tcPr>
            <w:tcW w:type="dxa" w:w="3024"/>
            <w:shd w:val="clear" w:color="auto" w:fill="1F3A5F"/>
            <w:vAlign w:val="center"/>
          </w:tcPr>
          <w:p>
            <w:r/>
            <w:r>
              <w:rPr>
                <w:b/>
                <w:color w:val="FFFFFF"/>
                <w:sz w:val="18"/>
              </w:rPr>
              <w:t>Evidencia</w:t>
            </w:r>
          </w:p>
        </w:tc>
      </w:tr>
      <w:tr>
        <w:tc>
          <w:tcPr>
            <w:tcW w:type="dxa" w:w="576"/>
          </w:tcPr>
          <w:p>
            <w:r/>
            <w:r>
              <w:rPr>
                <w:sz w:val="16"/>
              </w:rPr>
              <w:t>1</w:t>
            </w:r>
          </w:p>
        </w:tc>
        <w:tc>
          <w:tcPr>
            <w:tcW w:type="dxa" w:w="4176"/>
          </w:tcPr>
          <w:p>
            <w:r/>
            <w:r>
              <w:rPr>
                <w:sz w:val="16"/>
              </w:rPr>
              <w:t>Diseñe un hecho relevante para la toma de decisiones, mostrando el diseño físico de hechos y dimensiones, y explicando qué elementos de las fuentes lo nutren</w:t>
            </w:r>
          </w:p>
        </w:tc>
        <w:tc>
          <w:tcPr>
            <w:tcW w:type="dxa" w:w="2304"/>
          </w:tcPr>
          <w:p>
            <w:r/>
            <w:r>
              <w:rPr>
                <w:sz w:val="16"/>
              </w:rPr>
              <w:t>Secciones 1.1 a 1.6</w:t>
            </w:r>
          </w:p>
        </w:tc>
        <w:tc>
          <w:tcPr>
            <w:tcW w:type="dxa" w:w="3024"/>
          </w:tcPr>
          <w:p>
            <w:r/>
            <w:r>
              <w:rPr>
                <w:sz w:val="16"/>
              </w:rPr>
              <w:t>Figura 1 (diagrama físico), tabla de medidas con fórmula y aditividad, tabla de trazabilidad fuente → almacén</w:t>
            </w:r>
          </w:p>
        </w:tc>
      </w:tr>
      <w:tr>
        <w:tc>
          <w:tcPr>
            <w:tcW w:type="dxa" w:w="576"/>
          </w:tcPr>
          <w:p>
            <w:r/>
            <w:r>
              <w:rPr>
                <w:sz w:val="16"/>
              </w:rPr>
              <w:t>2</w:t>
            </w:r>
          </w:p>
        </w:tc>
        <w:tc>
          <w:tcPr>
            <w:tcW w:type="dxa" w:w="4176"/>
          </w:tcPr>
          <w:p>
            <w:r/>
            <w:r>
              <w:rPr>
                <w:sz w:val="16"/>
              </w:rPr>
              <w:t>Construya la solución y el almacén multidimensional, mostrando evidencias del desarrollo (imágenes de las herramientas y de cómo se implementó)</w:t>
            </w:r>
          </w:p>
        </w:tc>
        <w:tc>
          <w:tcPr>
            <w:tcW w:type="dxa" w:w="2304"/>
          </w:tcPr>
          <w:p>
            <w:r/>
            <w:r>
              <w:rPr>
                <w:sz w:val="16"/>
              </w:rPr>
              <w:t>Sección 2 completa</w:t>
            </w:r>
          </w:p>
        </w:tc>
        <w:tc>
          <w:tcPr>
            <w:tcW w:type="dxa" w:w="3024"/>
          </w:tcPr>
          <w:p>
            <w:r/>
            <w:r>
              <w:rPr>
                <w:sz w:val="16"/>
              </w:rPr>
              <w:t>Figura 2, tabla de las 7 capas, evidencia de consola del pipeline de 27 pasos, recuadro de captura en 5.4</w:t>
            </w:r>
          </w:p>
        </w:tc>
      </w:tr>
      <w:tr>
        <w:tc>
          <w:tcPr>
            <w:tcW w:type="dxa" w:w="576"/>
          </w:tcPr>
          <w:p>
            <w:r/>
            <w:r>
              <w:rPr>
                <w:sz w:val="16"/>
              </w:rPr>
              <w:t>3</w:t>
            </w:r>
          </w:p>
        </w:tc>
        <w:tc>
          <w:tcPr>
            <w:tcW w:type="dxa" w:w="4176"/>
          </w:tcPr>
          <w:p>
            <w:r/>
            <w:r>
              <w:rPr>
                <w:sz w:val="16"/>
              </w:rPr>
              <w:t>Defina los metadatos necesarios para gestionar el almacén, sobre el repositorio ya creado en la Entrega 1, con diagrama físico completo</w:t>
            </w:r>
          </w:p>
        </w:tc>
        <w:tc>
          <w:tcPr>
            <w:tcW w:type="dxa" w:w="2304"/>
          </w:tcPr>
          <w:p>
            <w:r/>
            <w:r>
              <w:rPr>
                <w:sz w:val="16"/>
              </w:rPr>
              <w:t>Sección 3 completa</w:t>
            </w:r>
          </w:p>
        </w:tc>
        <w:tc>
          <w:tcPr>
            <w:tcW w:type="dxa" w:w="3024"/>
          </w:tcPr>
          <w:p>
            <w:r/>
            <w:r>
              <w:rPr>
                <w:sz w:val="16"/>
              </w:rPr>
              <w:t>Figura 4 (18 tablas), tabla de las 4 categorías DAMA, contenido real del catálogo</w:t>
            </w:r>
          </w:p>
        </w:tc>
      </w:tr>
      <w:tr>
        <w:tc>
          <w:tcPr>
            <w:tcW w:type="dxa" w:w="576"/>
          </w:tcPr>
          <w:p>
            <w:r/>
            <w:r>
              <w:rPr>
                <w:sz w:val="16"/>
              </w:rPr>
              <w:t>4</w:t>
            </w:r>
          </w:p>
        </w:tc>
        <w:tc>
          <w:tcPr>
            <w:tcW w:type="dxa" w:w="4176"/>
          </w:tcPr>
          <w:p>
            <w:r/>
            <w:r>
              <w:rPr>
                <w:sz w:val="16"/>
              </w:rPr>
              <w:t>Construya los ETL que traen los datos desde las fuentes, mostrando imágenes del proceso y explicando las transformaciones; resuelva los problemas de calidad de la Entrega 1</w:t>
            </w:r>
          </w:p>
        </w:tc>
        <w:tc>
          <w:tcPr>
            <w:tcW w:type="dxa" w:w="2304"/>
          </w:tcPr>
          <w:p>
            <w:r/>
            <w:r>
              <w:rPr>
                <w:sz w:val="16"/>
              </w:rPr>
              <w:t>Sección 4 completa</w:t>
            </w:r>
          </w:p>
        </w:tc>
        <w:tc>
          <w:tcPr>
            <w:tcW w:type="dxa" w:w="3024"/>
          </w:tcPr>
          <w:p>
            <w:r/>
            <w:r>
              <w:rPr>
                <w:sz w:val="16"/>
              </w:rPr>
              <w:t>Figura 6 (pipeline real), tabla de 7 problemas de calidad resueltos, evidencia de la prueba de rechazo sintética</w:t>
            </w:r>
          </w:p>
        </w:tc>
      </w:tr>
      <w:tr>
        <w:tc>
          <w:tcPr>
            <w:tcW w:type="dxa" w:w="576"/>
          </w:tcPr>
          <w:p>
            <w:r/>
            <w:r>
              <w:rPr>
                <w:sz w:val="16"/>
              </w:rPr>
              <w:t>5</w:t>
            </w:r>
          </w:p>
        </w:tc>
        <w:tc>
          <w:tcPr>
            <w:tcW w:type="dxa" w:w="4176"/>
          </w:tcPr>
          <w:p>
            <w:r/>
            <w:r>
              <w:rPr>
                <w:sz w:val="16"/>
              </w:rPr>
              <w:t>Diseñe reportes que usen el almacén, sin conectar a las fuentes originales</w:t>
            </w:r>
          </w:p>
        </w:tc>
        <w:tc>
          <w:tcPr>
            <w:tcW w:type="dxa" w:w="2304"/>
          </w:tcPr>
          <w:p>
            <w:r/>
            <w:r>
              <w:rPr>
                <w:sz w:val="16"/>
              </w:rPr>
              <w:t>Sección 5 completa</w:t>
            </w:r>
          </w:p>
        </w:tc>
        <w:tc>
          <w:tcPr>
            <w:tcW w:type="dxa" w:w="3024"/>
          </w:tcPr>
          <w:p>
            <w:r/>
            <w:r>
              <w:rPr>
                <w:sz w:val="16"/>
              </w:rPr>
              <w:t>Confirmación por API de que Metabase solo tiene registrada la base dw, tabla de los 6 reportes con su pregunta de negocio</w:t>
            </w:r>
          </w:p>
        </w:tc>
      </w:tr>
    </w:tbl>
    <w:p/>
    <w:p>
      <w:r>
        <w:t>Entregables adicionales exigidos por el enunciado, fuera del documento: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744"/>
            <w:shd w:val="clear" w:color="auto" w:fill="1F3A5F"/>
            <w:vAlign w:val="center"/>
          </w:tcPr>
          <w:p>
            <w:r/>
            <w:r>
              <w:rPr>
                <w:b/>
                <w:color w:val="FFFFFF"/>
                <w:sz w:val="18"/>
              </w:rPr>
              <w:t>Entregable</w:t>
            </w:r>
          </w:p>
        </w:tc>
        <w:tc>
          <w:tcPr>
            <w:tcW w:type="dxa" w:w="2304"/>
            <w:shd w:val="clear" w:color="auto" w:fill="1F3A5F"/>
            <w:vAlign w:val="center"/>
          </w:tcPr>
          <w:p>
            <w:r/>
            <w:r>
              <w:rPr>
                <w:b/>
                <w:color w:val="FFFFFF"/>
                <w:sz w:val="18"/>
              </w:rPr>
              <w:t>Estado</w:t>
            </w:r>
          </w:p>
        </w:tc>
        <w:tc>
          <w:tcPr>
            <w:tcW w:type="dxa" w:w="4032"/>
            <w:shd w:val="clear" w:color="auto" w:fill="1F3A5F"/>
            <w:vAlign w:val="center"/>
          </w:tcPr>
          <w:p>
            <w:r/>
            <w:r>
              <w:rPr>
                <w:b/>
                <w:color w:val="FFFFFF"/>
                <w:sz w:val="18"/>
              </w:rPr>
              <w:t>Ubicación</w:t>
            </w:r>
          </w:p>
        </w:tc>
      </w:tr>
      <w:tr>
        <w:tc>
          <w:tcPr>
            <w:tcW w:type="dxa" w:w="3744"/>
          </w:tcPr>
          <w:p>
            <w:r/>
            <w:r>
              <w:rPr>
                <w:sz w:val="16"/>
              </w:rPr>
              <w:t>Backup del almacén, con herramienta especificada</w:t>
            </w:r>
          </w:p>
        </w:tc>
        <w:tc>
          <w:tcPr>
            <w:tcW w:type="dxa" w:w="2304"/>
          </w:tcPr>
          <w:p>
            <w:r/>
            <w:r>
              <w:rPr>
                <w:sz w:val="16"/>
              </w:rPr>
              <w:t>Completo</w:t>
            </w:r>
          </w:p>
        </w:tc>
        <w:tc>
          <w:tcPr>
            <w:tcW w:type="dxa" w:w="4032"/>
          </w:tcPr>
          <w:p>
            <w:r/>
            <w:r>
              <w:rPr>
                <w:sz w:val="16"/>
              </w:rPr>
              <w:t>datawarehouse/backup/dw_backup.sql (tools/generate_backup.py)</w:t>
            </w:r>
          </w:p>
        </w:tc>
      </w:tr>
      <w:tr>
        <w:tc>
          <w:tcPr>
            <w:tcW w:type="dxa" w:w="3744"/>
          </w:tcPr>
          <w:p>
            <w:r/>
            <w:r>
              <w:rPr>
                <w:sz w:val="16"/>
              </w:rPr>
              <w:t>Backup del repositorio de metadatos, con herramienta especificada</w:t>
            </w:r>
          </w:p>
        </w:tc>
        <w:tc>
          <w:tcPr>
            <w:tcW w:type="dxa" w:w="2304"/>
          </w:tcPr>
          <w:p>
            <w:r/>
            <w:r>
              <w:rPr>
                <w:sz w:val="16"/>
              </w:rPr>
              <w:t>Completo</w:t>
            </w:r>
          </w:p>
        </w:tc>
        <w:tc>
          <w:tcPr>
            <w:tcW w:type="dxa" w:w="4032"/>
          </w:tcPr>
          <w:p>
            <w:r/>
            <w:r>
              <w:rPr>
                <w:sz w:val="16"/>
              </w:rPr>
              <w:t>metadata_repository/backup/metadata_repo_backup.sql</w:t>
            </w:r>
          </w:p>
        </w:tc>
      </w:tr>
      <w:tr>
        <w:tc>
          <w:tcPr>
            <w:tcW w:type="dxa" w:w="3744"/>
          </w:tcPr>
          <w:p>
            <w:r/>
            <w:r>
              <w:rPr>
                <w:sz w:val="16"/>
              </w:rPr>
              <w:t>Archivos ETL, con herramienta especificada</w:t>
            </w:r>
          </w:p>
        </w:tc>
        <w:tc>
          <w:tcPr>
            <w:tcW w:type="dxa" w:w="2304"/>
          </w:tcPr>
          <w:p>
            <w:r/>
            <w:r>
              <w:rPr>
                <w:sz w:val="16"/>
              </w:rPr>
              <w:t>Completo</w:t>
            </w:r>
          </w:p>
        </w:tc>
        <w:tc>
          <w:tcPr>
            <w:tcW w:type="dxa" w:w="4032"/>
          </w:tcPr>
          <w:p>
            <w:r/>
            <w:r>
              <w:rPr>
                <w:sz w:val="16"/>
              </w:rPr>
              <w:t>datawarehouse/etl/ (Python 3.11 + SQLAlchemy + pandas)</w:t>
            </w:r>
          </w:p>
        </w:tc>
      </w:tr>
      <w:tr>
        <w:tc>
          <w:tcPr>
            <w:tcW w:type="dxa" w:w="3744"/>
          </w:tcPr>
          <w:p>
            <w:r/>
            <w:r>
              <w:rPr>
                <w:sz w:val="16"/>
              </w:rPr>
              <w:t>Archivo o link del reporte, con herramienta especificada</w:t>
            </w:r>
          </w:p>
        </w:tc>
        <w:tc>
          <w:tcPr>
            <w:tcW w:type="dxa" w:w="2304"/>
          </w:tcPr>
          <w:p>
            <w:r/>
            <w:r>
              <w:rPr>
                <w:sz w:val="16"/>
              </w:rPr>
              <w:t>Pendiente la captura visual</w:t>
            </w:r>
          </w:p>
        </w:tc>
        <w:tc>
          <w:tcPr>
            <w:tcW w:type="dxa" w:w="4032"/>
          </w:tcPr>
          <w:p>
            <w:r/>
            <w:r>
              <w:rPr>
                <w:sz w:val="16"/>
              </w:rPr>
              <w:t>Dashboard vivo en Metabase; recuadro marcado en la sección 5.4</w:t>
            </w:r>
          </w:p>
        </w:tc>
      </w:tr>
    </w:tbl>
    <w:p/>
    <w:p>
      <w:r>
        <w:br w:type="page"/>
      </w:r>
    </w:p>
    <w:p>
      <w:pPr>
        <w:pStyle w:val="Heading1"/>
      </w:pPr>
      <w:r>
        <w:t>6. Entregables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736"/>
            <w:shd w:val="clear" w:color="auto" w:fill="1F3A5F"/>
            <w:vAlign w:val="center"/>
          </w:tcPr>
          <w:p>
            <w:r/>
            <w:r>
              <w:rPr>
                <w:b/>
                <w:color w:val="FFFFFF"/>
                <w:sz w:val="18"/>
              </w:rPr>
              <w:t>Entregable</w:t>
            </w:r>
          </w:p>
        </w:tc>
        <w:tc>
          <w:tcPr>
            <w:tcW w:type="dxa" w:w="4752"/>
            <w:shd w:val="clear" w:color="auto" w:fill="1F3A5F"/>
            <w:vAlign w:val="center"/>
          </w:tcPr>
          <w:p>
            <w:r/>
            <w:r>
              <w:rPr>
                <w:b/>
                <w:color w:val="FFFFFF"/>
                <w:sz w:val="18"/>
              </w:rPr>
              <w:t>Ubicación</w:t>
            </w:r>
          </w:p>
        </w:tc>
        <w:tc>
          <w:tcPr>
            <w:tcW w:type="dxa" w:w="2160"/>
            <w:shd w:val="clear" w:color="auto" w:fill="1F3A5F"/>
            <w:vAlign w:val="center"/>
          </w:tcPr>
          <w:p>
            <w:r/>
            <w:r>
              <w:rPr>
                <w:b/>
                <w:color w:val="FFFFFF"/>
                <w:sz w:val="18"/>
              </w:rPr>
              <w:t>Herramienta</w:t>
            </w:r>
          </w:p>
        </w:tc>
      </w:tr>
      <w:tr>
        <w:tc>
          <w:tcPr>
            <w:tcW w:type="dxa" w:w="2736"/>
          </w:tcPr>
          <w:p>
            <w:r/>
            <w:r>
              <w:rPr>
                <w:sz w:val="16"/>
              </w:rPr>
              <w:t>Documento</w:t>
            </w:r>
          </w:p>
        </w:tc>
        <w:tc>
          <w:tcPr>
            <w:tcW w:type="dxa" w:w="4752"/>
          </w:tcPr>
          <w:p>
            <w:r/>
            <w:r>
              <w:rPr>
                <w:sz w:val="16"/>
              </w:rPr>
              <w:t>docs/Entrega_2/Documento_Entrega_2.docx</w:t>
            </w:r>
          </w:p>
        </w:tc>
        <w:tc>
          <w:tcPr>
            <w:tcW w:type="dxa" w:w="2160"/>
          </w:tcPr>
          <w:p>
            <w:r/>
            <w:r>
              <w:rPr>
                <w:sz w:val="16"/>
              </w:rPr>
              <w:t>—</w:t>
            </w:r>
          </w:p>
        </w:tc>
      </w:tr>
      <w:tr>
        <w:tc>
          <w:tcPr>
            <w:tcW w:type="dxa" w:w="2736"/>
          </w:tcPr>
          <w:p>
            <w:r/>
            <w:r>
              <w:rPr>
                <w:sz w:val="16"/>
              </w:rPr>
              <w:t>Backup del almacén</w:t>
            </w:r>
          </w:p>
        </w:tc>
        <w:tc>
          <w:tcPr>
            <w:tcW w:type="dxa" w:w="4752"/>
          </w:tcPr>
          <w:p>
            <w:r/>
            <w:r>
              <w:rPr>
                <w:sz w:val="16"/>
              </w:rPr>
              <w:t>datawarehouse/backup/dw_backup.sql</w:t>
            </w:r>
          </w:p>
        </w:tc>
        <w:tc>
          <w:tcPr>
            <w:tcW w:type="dxa" w:w="2160"/>
          </w:tcPr>
          <w:p>
            <w:r/>
            <w:r>
              <w:rPr>
                <w:sz w:val="16"/>
              </w:rPr>
              <w:t>tools/generate_backup.py dw</w:t>
            </w:r>
          </w:p>
        </w:tc>
      </w:tr>
      <w:tr>
        <w:tc>
          <w:tcPr>
            <w:tcW w:type="dxa" w:w="2736"/>
          </w:tcPr>
          <w:p>
            <w:r/>
            <w:r>
              <w:rPr>
                <w:sz w:val="16"/>
              </w:rPr>
              <w:t>Backup del repositorio de metadatos</w:t>
            </w:r>
          </w:p>
        </w:tc>
        <w:tc>
          <w:tcPr>
            <w:tcW w:type="dxa" w:w="4752"/>
          </w:tcPr>
          <w:p>
            <w:r/>
            <w:r>
              <w:rPr>
                <w:sz w:val="16"/>
              </w:rPr>
              <w:t>metadata_repository/backup/metadata_repo_backup.sql</w:t>
            </w:r>
          </w:p>
        </w:tc>
        <w:tc>
          <w:tcPr>
            <w:tcW w:type="dxa" w:w="2160"/>
          </w:tcPr>
          <w:p>
            <w:r/>
            <w:r>
              <w:rPr>
                <w:sz w:val="16"/>
              </w:rPr>
              <w:t>tools/generate_backup.py metadata</w:t>
            </w:r>
          </w:p>
        </w:tc>
      </w:tr>
      <w:tr>
        <w:tc>
          <w:tcPr>
            <w:tcW w:type="dxa" w:w="2736"/>
          </w:tcPr>
          <w:p>
            <w:r/>
            <w:r>
              <w:rPr>
                <w:sz w:val="16"/>
              </w:rPr>
              <w:t>Archivos ETL</w:t>
            </w:r>
          </w:p>
        </w:tc>
        <w:tc>
          <w:tcPr>
            <w:tcW w:type="dxa" w:w="4752"/>
          </w:tcPr>
          <w:p>
            <w:r/>
            <w:r>
              <w:rPr>
                <w:sz w:val="16"/>
              </w:rPr>
              <w:t>datawarehouse/etl/{common,etl_dw_staging,etl_dw_dimensions,etl_dw_facts}.py</w:t>
            </w:r>
          </w:p>
        </w:tc>
        <w:tc>
          <w:tcPr>
            <w:tcW w:type="dxa" w:w="2160"/>
          </w:tcPr>
          <w:p>
            <w:r/>
            <w:r>
              <w:rPr>
                <w:sz w:val="16"/>
              </w:rPr>
              <w:t>Python 3.11 + SQLAlchemy + pandas</w:t>
            </w:r>
          </w:p>
        </w:tc>
      </w:tr>
      <w:tr>
        <w:tc>
          <w:tcPr>
            <w:tcW w:type="dxa" w:w="2736"/>
          </w:tcPr>
          <w:p>
            <w:r/>
            <w:r>
              <w:rPr>
                <w:sz w:val="16"/>
              </w:rPr>
              <w:t>Reporte</w:t>
            </w:r>
          </w:p>
        </w:tc>
        <w:tc>
          <w:tcPr>
            <w:tcW w:type="dxa" w:w="4752"/>
          </w:tcPr>
          <w:p>
            <w:r/>
            <w:r>
              <w:rPr>
                <w:sz w:val="16"/>
              </w:rPr>
              <w:t>reports/build_dashboard.py + dashboard en Metabase</w:t>
            </w:r>
          </w:p>
        </w:tc>
        <w:tc>
          <w:tcPr>
            <w:tcW w:type="dxa" w:w="2160"/>
          </w:tcPr>
          <w:p>
            <w:r/>
            <w:r>
              <w:rPr>
                <w:sz w:val="16"/>
              </w:rPr>
              <w:t>Metabase sobre Docker</w:t>
            </w:r>
          </w:p>
        </w:tc>
      </w:tr>
      <w:tr>
        <w:tc>
          <w:tcPr>
            <w:tcW w:type="dxa" w:w="2736"/>
          </w:tcPr>
          <w:p>
            <w:r/>
            <w:r>
              <w:rPr>
                <w:sz w:val="16"/>
              </w:rPr>
              <w:t>DDL del almacén</w:t>
            </w:r>
          </w:p>
        </w:tc>
        <w:tc>
          <w:tcPr>
            <w:tcW w:type="dxa" w:w="4752"/>
          </w:tcPr>
          <w:p>
            <w:r/>
            <w:r>
              <w:rPr>
                <w:sz w:val="16"/>
              </w:rPr>
              <w:t>datawarehouse/ddl/01_star_schema.sql, 02_staging_layers.sql, 03_data_marts.sql</w:t>
            </w:r>
          </w:p>
        </w:tc>
        <w:tc>
          <w:tcPr>
            <w:tcW w:type="dxa" w:w="2160"/>
          </w:tcPr>
          <w:p>
            <w:r/>
            <w:r>
              <w:rPr>
                <w:sz w:val="16"/>
              </w:rPr>
              <w:t>PostgreSQL 16</w:t>
            </w:r>
          </w:p>
        </w:tc>
      </w:tr>
      <w:tr>
        <w:tc>
          <w:tcPr>
            <w:tcW w:type="dxa" w:w="2736"/>
          </w:tcPr>
          <w:p>
            <w:r/>
            <w:r>
              <w:rPr>
                <w:sz w:val="16"/>
              </w:rPr>
              <w:t>DDL de metadatos</w:t>
            </w:r>
          </w:p>
        </w:tc>
        <w:tc>
          <w:tcPr>
            <w:tcW w:type="dxa" w:w="4752"/>
          </w:tcPr>
          <w:p>
            <w:r/>
            <w:r>
              <w:rPr>
                <w:sz w:val="16"/>
              </w:rPr>
              <w:t>metadata_repository/ddl/01_core_schema.sql … 04_usage_extension.sql</w:t>
            </w:r>
          </w:p>
        </w:tc>
        <w:tc>
          <w:tcPr>
            <w:tcW w:type="dxa" w:w="2160"/>
          </w:tcPr>
          <w:p>
            <w:r/>
            <w:r>
              <w:rPr>
                <w:sz w:val="16"/>
              </w:rPr>
              <w:t>PostgreSQL 16</w:t>
            </w:r>
          </w:p>
        </w:tc>
      </w:tr>
      <w:tr>
        <w:tc>
          <w:tcPr>
            <w:tcW w:type="dxa" w:w="2736"/>
          </w:tcPr>
          <w:p>
            <w:r/>
            <w:r>
              <w:rPr>
                <w:sz w:val="16"/>
              </w:rPr>
              <w:t>Linaje y análisis de impacto</w:t>
            </w:r>
          </w:p>
        </w:tc>
        <w:tc>
          <w:tcPr>
            <w:tcW w:type="dxa" w:w="4752"/>
          </w:tcPr>
          <w:p>
            <w:r/>
            <w:r>
              <w:rPr>
                <w:sz w:val="16"/>
              </w:rPr>
              <w:t>metadata_repository/queries/lineage_and_impact.sql</w:t>
            </w:r>
          </w:p>
        </w:tc>
        <w:tc>
          <w:tcPr>
            <w:tcW w:type="dxa" w:w="2160"/>
          </w:tcPr>
          <w:p>
            <w:r/>
            <w:r>
              <w:rPr>
                <w:sz w:val="16"/>
              </w:rPr>
              <w:t>SQL</w:t>
            </w:r>
          </w:p>
        </w:tc>
      </w:tr>
      <w:tr>
        <w:tc>
          <w:tcPr>
            <w:tcW w:type="dxa" w:w="2736"/>
          </w:tcPr>
          <w:p>
            <w:r/>
            <w:r>
              <w:rPr>
                <w:sz w:val="16"/>
              </w:rPr>
              <w:t>Tests automatizados</w:t>
            </w:r>
          </w:p>
        </w:tc>
        <w:tc>
          <w:tcPr>
            <w:tcW w:type="dxa" w:w="4752"/>
          </w:tcPr>
          <w:p>
            <w:r/>
            <w:r>
              <w:rPr>
                <w:sz w:val="16"/>
              </w:rPr>
              <w:t>datawarehouse/tests/{validate_against_sources,test_dq_reject_path,test_backup_restore,check_freshness}.py</w:t>
            </w:r>
          </w:p>
        </w:tc>
        <w:tc>
          <w:tcPr>
            <w:tcW w:type="dxa" w:w="2160"/>
          </w:tcPr>
          <w:p>
            <w:r/>
            <w:r>
              <w:rPr>
                <w:sz w:val="16"/>
              </w:rPr>
              <w:t>Python</w:t>
            </w:r>
          </w:p>
        </w:tc>
      </w:tr>
      <w:tr>
        <w:tc>
          <w:tcPr>
            <w:tcW w:type="dxa" w:w="2736"/>
          </w:tcPr>
          <w:p>
            <w:r/>
            <w:r>
              <w:rPr>
                <w:sz w:val="16"/>
              </w:rPr>
              <w:t>Diagramas físicos</w:t>
            </w:r>
          </w:p>
        </w:tc>
        <w:tc>
          <w:tcPr>
            <w:tcW w:type="dxa" w:w="4752"/>
          </w:tcPr>
          <w:p>
            <w:r/>
            <w:r>
              <w:rPr>
                <w:sz w:val="16"/>
              </w:rPr>
              <w:t>docs/img/*.png (incluye etl_pipeline.png)</w:t>
            </w:r>
          </w:p>
        </w:tc>
        <w:tc>
          <w:tcPr>
            <w:tcW w:type="dxa" w:w="2160"/>
          </w:tcPr>
          <w:p>
            <w:r/>
            <w:r>
              <w:rPr>
                <w:sz w:val="16"/>
              </w:rPr>
              <w:t>Graphviz (Docker) + matplotlib</w:t>
            </w:r>
          </w:p>
        </w:tc>
      </w:tr>
    </w:tbl>
    <w:p/>
    <w:p>
      <w:r>
        <w:rPr>
          <w:i/>
          <w:color w:val="5A5A5A"/>
          <w:sz w:val="18"/>
        </w:rPr>
        <w:t>El backup no depende de pg_dump instalado en cada máquina: tools/generate_backup.py reconstruye el DDL por introspección, verificado con tests/test_backup_restore.py.</w:t>
      </w:r>
    </w:p>
    <w:p>
      <w:r>
        <w:br w:type="page"/>
      </w:r>
    </w:p>
    <w:p>
      <w:pPr>
        <w:pStyle w:val="Heading1"/>
      </w:pPr>
      <w:r>
        <w:t>Conclusiones y trabajo futuro</w:t>
      </w:r>
    </w:p>
    <w:p>
      <w:pPr>
        <w:pStyle w:val="Heading2"/>
      </w:pPr>
      <w:r>
        <w:t>Conclusiones</w:t>
      </w:r>
    </w:p>
    <w:p>
      <w:r>
        <w:t>El proyecto demuestra que integrar dos sistemas transaccionales heterogéneos —distintos motores de base de datos, distintas convenciones de nombres, distintas poblaciones de empleados— es posible sin recurrir a soluciones ad hoc, aplicando de forma disciplinada los marcos de referencia de la disciplina: Kimball para decidir qué modelar y cómo, Giordano para decidir cómo moverlo con trazabilidad, y DAMA-DMBOK para decidir cómo gobernarlo una vez construido. El resultado no es solo un almacén que carga datos, sino uno que se puede auditar, reconstruir desde cero de forma determinista, y validar automáticamente contra sus propias fuentes en cada corrida.</w:t>
      </w:r>
    </w:p>
    <w:p>
      <w:r>
        <w:t>El hallazgo más relevante desde la perspectiva de arquitectura de datos es que la constelación de hechos, sostenida sobre dimensiones conformadas verificadas empíricamente (no asumidas), permitió responder una pregunta de negocio — intensidad de servicio por unidad vendida — que ninguna de las dos fuentes originales podía contestar por separado. Esa es, en última instancia, la justificación de negocio de todo el proyecto.</w:t>
      </w:r>
    </w:p>
    <w:p>
      <w:pPr>
        <w:pStyle w:val="Heading2"/>
      </w:pPr>
      <w:r>
        <w:t>Limitaciones reconocidas</w:t>
      </w:r>
    </w:p>
    <w:p>
      <w:r>
        <w:t>El proyecto no implementa dimensiones de tipo 2 ni una capa de ODS, por decisión justificada en la sección de alcance: las fuentes actuales son snapshots estáticos sin captura de cambios. Tampoco se automatizó una alerta activa cuando la regla de frescura de carga falla — hoy queda registrada en dq_result, pero nadie recibe una notificación si el almacén lleva más de 24 horas sin actualizarse.</w:t>
      </w:r>
    </w:p>
    <w:p>
      <w:pPr>
        <w:pStyle w:val="Heading2"/>
      </w:pPr>
      <w:r>
        <w:t>Trabajo futuro</w:t>
      </w:r>
    </w:p>
    <w:p>
      <w:r>
        <w:t>Si las fuentes evolucionaran a feeds incrementales en vez de volcados estáticos, las siguientes extensiones serían las de mayor valor: implementar SCD Tipo 2 en dim_cliente y dim_producto para que el margen de una venta histórica use el precio de compra vigente en su momento; conectar la regla almacen_frescura_de_carga a un canal de alertas; y extender la capa de Data Marts con vistas adicionales a medida que surjan nuevas preguntas de negocio, sin necesidad de tocar el modelo dimensional base.</w:t>
      </w:r>
    </w:p>
    <w:p>
      <w:r>
        <w:br w:type="page"/>
      </w:r>
    </w:p>
    <w:p>
      <w:pPr>
        <w:pStyle w:val="Heading1"/>
      </w:pPr>
      <w:r>
        <w:t>Referencias</w:t>
      </w:r>
    </w:p>
    <w:p>
      <w:pPr>
        <w:ind w:left="432" w:hanging="432"/>
      </w:pPr>
      <w:r>
        <w:t>DAMA International. (2017). DAMA-DMBOK: Data Management Body of Knowledge (2.ª ed.). Technics Publications.</w:t>
      </w:r>
    </w:p>
    <w:p>
      <w:pPr>
        <w:ind w:left="432" w:hanging="432"/>
      </w:pPr>
      <w:r>
        <w:t>Giordano, A. (2011). Data Integration Blueprint and Modeling: Techniques for a Scalable and Sustainable Architecture. IBM Press.</w:t>
      </w:r>
    </w:p>
    <w:p>
      <w:pPr>
        <w:ind w:left="432" w:hanging="432"/>
      </w:pPr>
      <w:r>
        <w:t>Kimball, R., &amp; Ross, M. (2013). The Data Warehouse Toolkit: The Definitive Guide to Dimensional Modeling (3.ª ed.). Wiley.</w:t>
      </w:r>
    </w:p>
    <w:p>
      <w:pPr>
        <w:ind w:left="432" w:hanging="432"/>
      </w:pPr>
      <w:r>
        <w:t>Metabase, Inc. (2026). Metabase Documentation. https://www.metabase.com/docs/</w:t>
      </w:r>
    </w:p>
    <w:p>
      <w:pPr>
        <w:ind w:left="432" w:hanging="432"/>
      </w:pPr>
      <w:r>
        <w:t>PostgreSQL Global Development Group. (2026). PostgreSQL 16 Documentation. https://www.postgresql.org/docs/16/</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