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left="-964" w:right="-964"/>
      </w:pPr>
      <w:r>
        <w:drawing>
          <wp:inline xmlns:a="http://schemas.openxmlformats.org/drawingml/2006/main" xmlns:pic="http://schemas.openxmlformats.org/drawingml/2006/picture">
            <wp:extent cx="7560000" cy="2261903"/>
            <wp:docPr id="1" name="Picture 1"/>
            <wp:cNvGraphicFramePr>
              <a:graphicFrameLocks noChangeAspect="1"/>
            </wp:cNvGraphicFramePr>
            <a:graphic>
              <a:graphicData uri="http://schemas.openxmlformats.org/drawingml/2006/picture">
                <pic:pic>
                  <pic:nvPicPr>
                    <pic:cNvPr id="0" name="header-playbook.jpg"/>
                    <pic:cNvPicPr/>
                  </pic:nvPicPr>
                  <pic:blipFill>
                    <a:blip r:embed="rId9"/>
                    <a:stretch>
                      <a:fillRect/>
                    </a:stretch>
                  </pic:blipFill>
                  <pic:spPr>
                    <a:xfrm>
                      <a:off x="0" y="0"/>
                      <a:ext cx="7560000" cy="2261903"/>
                    </a:xfrm>
                    <a:prstGeom prst="rect"/>
                  </pic:spPr>
                </pic:pic>
              </a:graphicData>
            </a:graphic>
          </wp:inline>
        </w:drawing>
      </w:r>
    </w:p>
    <w:p>
      <w:pPr>
        <w:spacing w:before="260" w:after="160" w:line="331" w:lineRule="auto"/>
      </w:pPr>
      <w:r>
        <w:rPr>
          <w:rFonts w:ascii="Arial" w:hAnsi="Arial"/>
          <w:b w:val="0"/>
          <w:i w:val="0"/>
          <w:color w:val="3A3A46"/>
          <w:sz w:val="20"/>
        </w:rPr>
        <w:t>This is the operating manual for the pilot, not the proposal. It exists so that four weeks from now nobody is inventing a form, chasing a name, or arguing about what was supposed to be measured. Everything in it is agreed before week one starts.</w:t>
      </w:r>
    </w:p>
    <w:p>
      <w:pPr>
        <w:spacing w:before="220" w:after="40" w:line="317" w:lineRule="auto"/>
      </w:pPr>
      <w:r>
        <w:rPr>
          <w:rFonts w:ascii="Arial" w:hAnsi="Arial"/>
          <w:b/>
          <w:i w:val="0"/>
          <w:color w:val="4A32DC"/>
          <w:sz w:val="15"/>
          <w:spacing w:val="30"/>
        </w:rPr>
        <w:t>01</w:t>
      </w:r>
    </w:p>
    <w:p>
      <w:pPr>
        <w:spacing w:before="0" w:after="100" w:line="264" w:lineRule="auto"/>
        <w:pBdr>
          <w:bottom w:val="single" w:sz="10" w:space="4" w:color="4A32DC"/>
        </w:pBdr>
        <w:keepNext/>
      </w:pPr>
      <w:r>
        <w:rPr>
          <w:rFonts w:ascii="Arial" w:hAnsi="Arial"/>
          <w:b/>
          <w:i w:val="0"/>
          <w:color w:val="2B1F5E"/>
          <w:sz w:val="30"/>
        </w:rPr>
        <w:t>Named roles — fill these in before day one</w:t>
      </w:r>
    </w:p>
    <w:p>
      <w:pPr>
        <w:spacing w:before="0" w:after="160" w:line="331" w:lineRule="auto"/>
      </w:pPr>
      <w:r>
        <w:rPr>
          <w:rFonts w:ascii="Arial" w:hAnsi="Arial"/>
          <w:b w:val="0"/>
          <w:i w:val="0"/>
          <w:color w:val="3A3A46"/>
          <w:sz w:val="20"/>
        </w:rPr>
        <w:t>A pilot fails when a task belongs to an organisation rather than to a person. Four names, agreed in writing:</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2395"/>
        <w:gridCol w:w="2594"/>
        <w:gridCol w:w="4989"/>
      </w:tblGrid>
      <w:tr>
        <w:tc>
          <w:tcPr>
            <w:tcW w:w="1200" w:type="pct"/>
            <w:shd w:val="clear" w:fill="2B1F5E"/>
            <w:tcMar>
              <w:top w:w="100" w:type="dxa"/>
              <w:start w:w="150" w:type="dxa"/>
              <w:bottom w:w="100" w:type="dxa"/>
              <w:end w:w="150" w:type="dxa"/>
            </w:tcMar>
          </w:tcPr>
          <w:p>
            <w:pPr>
              <w:spacing w:before="0" w:after="0"/>
            </w:pPr>
            <w:r/>
            <w:r>
              <w:rPr>
                <w:rFonts w:ascii="Arial" w:hAnsi="Arial"/>
                <w:b/>
                <w:color w:val="FFFFFF"/>
                <w:sz w:val="15"/>
                <w:spacing w:val="26"/>
              </w:rPr>
              <w:t>ROLE</w:t>
            </w:r>
          </w:p>
        </w:tc>
        <w:tc>
          <w:tcPr>
            <w:tcW w:w="1300" w:type="pct"/>
            <w:shd w:val="clear" w:fill="2B1F5E"/>
            <w:tcMar>
              <w:top w:w="100" w:type="dxa"/>
              <w:start w:w="150" w:type="dxa"/>
              <w:bottom w:w="100" w:type="dxa"/>
              <w:end w:w="150" w:type="dxa"/>
            </w:tcMar>
          </w:tcPr>
          <w:p>
            <w:pPr>
              <w:spacing w:before="0" w:after="0"/>
            </w:pPr>
            <w:r/>
            <w:r>
              <w:rPr>
                <w:rFonts w:ascii="Arial" w:hAnsi="Arial"/>
                <w:b/>
                <w:color w:val="FFFFFF"/>
                <w:sz w:val="15"/>
                <w:spacing w:val="26"/>
              </w:rPr>
              <w:t>WHO</w:t>
            </w:r>
          </w:p>
        </w:tc>
        <w:tc>
          <w:tcPr>
            <w:tcW w:w="2500" w:type="pct"/>
            <w:shd w:val="clear" w:fill="2B1F5E"/>
            <w:tcMar>
              <w:top w:w="100" w:type="dxa"/>
              <w:start w:w="150" w:type="dxa"/>
              <w:bottom w:w="100" w:type="dxa"/>
              <w:end w:w="150" w:type="dxa"/>
            </w:tcMar>
          </w:tcPr>
          <w:p>
            <w:pPr>
              <w:spacing w:before="0" w:after="0"/>
            </w:pPr>
            <w:r/>
            <w:r>
              <w:rPr>
                <w:rFonts w:ascii="Arial" w:hAnsi="Arial"/>
                <w:b/>
                <w:color w:val="FFFFFF"/>
                <w:sz w:val="15"/>
                <w:spacing w:val="26"/>
              </w:rPr>
              <w:t>WHAT THEY ARE ON THE HOOK FOR</w:t>
            </w:r>
          </w:p>
        </w:tc>
      </w:tr>
      <w:tr>
        <w:tc>
          <w:tcPr>
            <w:tcW w:w="12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color w:val="2B1F5E"/>
                <w:sz w:val="19"/>
              </w:rPr>
              <w:t>Academy sponsor</w:t>
            </w:r>
          </w:p>
        </w:tc>
        <w:tc>
          <w:tcPr>
            <w:tcW w:w="13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____________________</w:t>
            </w:r>
          </w:p>
        </w:tc>
        <w:tc>
          <w:tcPr>
            <w:tcW w:w="25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Says yes, unblocks things, approves the final report before anyone sees it</w:t>
            </w:r>
          </w:p>
        </w:tc>
      </w:tr>
      <w:tr>
        <w:tc>
          <w:tcPr>
            <w:tcW w:w="12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color w:val="2B1F5E"/>
                <w:sz w:val="19"/>
              </w:rPr>
              <w:t>Cohort instructor</w:t>
            </w:r>
          </w:p>
        </w:tc>
        <w:tc>
          <w:tcPr>
            <w:tcW w:w="13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____________________</w:t>
            </w:r>
          </w:p>
        </w:tc>
        <w:tc>
          <w:tcPr>
            <w:tcW w:w="25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Knows the learners, gives 10 minutes in week 2 and week 4 for observations</w:t>
            </w:r>
          </w:p>
        </w:tc>
      </w:tr>
      <w:tr>
        <w:tc>
          <w:tcPr>
            <w:tcW w:w="12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color w:val="2B1F5E"/>
                <w:sz w:val="19"/>
              </w:rPr>
              <w:t>Pilot lead (Lomonec)</w:t>
            </w:r>
          </w:p>
        </w:tc>
        <w:tc>
          <w:tcPr>
            <w:tcW w:w="13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____________________</w:t>
            </w:r>
          </w:p>
        </w:tc>
        <w:tc>
          <w:tcPr>
            <w:tcW w:w="25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Onboarding, weekly figures, the closing report, all learner support</w:t>
            </w:r>
          </w:p>
        </w:tc>
      </w:tr>
      <w:tr>
        <w:tc>
          <w:tcPr>
            <w:tcW w:w="12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color w:val="2B1F5E"/>
                <w:sz w:val="19"/>
              </w:rPr>
              <w:t>Learner contact</w:t>
            </w:r>
          </w:p>
        </w:tc>
        <w:tc>
          <w:tcPr>
            <w:tcW w:w="13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____________________</w:t>
            </w:r>
          </w:p>
        </w:tc>
        <w:tc>
          <w:tcPr>
            <w:tcW w:w="25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One learner who will tell the truth about what is confusing</w:t>
            </w:r>
          </w:p>
        </w:tc>
      </w:tr>
    </w:tbl>
    <w:p>
      <w:pPr>
        <w:spacing w:before="0" w:after="0"/>
      </w:pPr>
      <w:r>
        <w:rPr>
          <w:sz w:val="18"/>
        </w:rPr>
      </w:r>
    </w:p>
    <w:p>
      <w:pPr>
        <w:spacing w:before="0" w:after="140" w:line="288" w:lineRule="auto"/>
      </w:pPr>
      <w:r>
        <w:rPr>
          <w:rFonts w:ascii="Arial" w:hAnsi="Arial"/>
          <w:b/>
          <w:i w:val="0"/>
          <w:color w:val="2B1F5E"/>
          <w:sz w:val="24"/>
        </w:rPr>
        <w:t>Before day one — six things that must be true</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4893"/>
        <w:gridCol w:w="193"/>
        <w:gridCol w:w="4893"/>
      </w:tblGrid>
      <w:tr>
        <w:tc>
          <w:tcPr>
            <w:tcW w:w="2452" w:type="pct"/>
            <w:tcBorders>
              <w:top w:val="single" w:sz="6" w:space="0" w:color="DDD9F5"/>
              <w:left w:val="single" w:sz="6" w:space="0" w:color="DDD9F5"/>
              <w:bottom w:val="single" w:sz="6" w:space="0" w:color="DDD9F5"/>
              <w:right w:val="single" w:sz="6" w:space="0" w:color="DDD9F5"/>
            </w:tcBorders>
            <w:shd w:val="clear" w:fill="F6F5FD"/>
            <w:tcMar>
              <w:top w:w="140" w:type="dxa"/>
              <w:start w:w="160" w:type="dxa"/>
              <w:bottom w:w="140" w:type="dxa"/>
              <w:end w:w="160" w:type="dxa"/>
            </w:tcMar>
            <w:vAlign w:val="top"/>
          </w:tcPr>
          <w:p>
            <w:pPr>
              <w:spacing w:before="0" w:after="60" w:line="283" w:lineRule="auto"/>
            </w:pPr>
            <w:r/>
            <w:r>
              <w:rPr>
                <w:rFonts w:ascii="Arial" w:hAnsi="Arial"/>
                <w:b/>
                <w:color w:val="2B1F5E"/>
                <w:sz w:val="21"/>
              </w:rPr>
              <w:t>Cohort list agreed</w:t>
            </w:r>
          </w:p>
          <w:p>
            <w:pPr>
              <w:spacing w:before="0" w:after="0" w:line="317" w:lineRule="auto"/>
            </w:pPr>
            <w:r>
              <w:rPr>
                <w:rFonts w:ascii="Arial" w:hAnsi="Arial"/>
                <w:color w:val="3A3A46"/>
                <w:sz w:val="18"/>
              </w:rPr>
              <w:t>20–30 names from the boilermaking, piping or welding supervision programmes.</w:t>
            </w:r>
          </w:p>
        </w:tc>
        <w:tc>
          <w:tcPr>
            <w:tcW w:w="97" w:type="pct"/>
          </w:tcPr>
          <w:p/>
        </w:tc>
        <w:tc>
          <w:tcPr>
            <w:tcW w:w="2452" w:type="pct"/>
            <w:tcBorders>
              <w:top w:val="single" w:sz="6" w:space="0" w:color="DDD9F5"/>
              <w:left w:val="single" w:sz="6" w:space="0" w:color="DDD9F5"/>
              <w:bottom w:val="single" w:sz="6" w:space="0" w:color="DDD9F5"/>
              <w:right w:val="single" w:sz="6" w:space="0" w:color="DDD9F5"/>
            </w:tcBorders>
            <w:shd w:val="clear" w:fill="F6F5FD"/>
            <w:tcMar>
              <w:top w:w="140" w:type="dxa"/>
              <w:start w:w="160" w:type="dxa"/>
              <w:bottom w:w="140" w:type="dxa"/>
              <w:end w:w="160" w:type="dxa"/>
            </w:tcMar>
            <w:vAlign w:val="top"/>
          </w:tcPr>
          <w:p>
            <w:pPr>
              <w:spacing w:before="0" w:after="60" w:line="283" w:lineRule="auto"/>
            </w:pPr>
            <w:r/>
            <w:r>
              <w:rPr>
                <w:rFonts w:ascii="Arial" w:hAnsi="Arial"/>
                <w:b/>
                <w:color w:val="2B1F5E"/>
                <w:sz w:val="21"/>
              </w:rPr>
              <w:t>Four roles named</w:t>
            </w:r>
          </w:p>
          <w:p>
            <w:pPr>
              <w:spacing w:before="0" w:after="0" w:line="317" w:lineRule="auto"/>
            </w:pPr>
            <w:r>
              <w:rPr>
                <w:rFonts w:ascii="Arial" w:hAnsi="Arial"/>
                <w:color w:val="3A3A46"/>
                <w:sz w:val="18"/>
              </w:rPr>
              <w:t>Written down, with an email for each. A role without a name does not get done.</w:t>
            </w:r>
          </w:p>
        </w:tc>
      </w:tr>
      <w:tr>
        <w:trPr>
          <w:trHeight w:val="193"/>
        </w:trPr>
        <w:tc>
          <w:tcPr>
            <w:tcW w:w="2452" w:type="pct"/>
            <w:tcMar>
              <w:top w:w="0" w:type="dxa"/>
              <w:start w:w="0" w:type="dxa"/>
              <w:bottom w:w="0" w:type="dxa"/>
              <w:end w:w="0" w:type="dxa"/>
            </w:tcMar>
          </w:tcPr>
          <w:p>
            <w:pPr>
              <w:spacing w:after="0"/>
            </w:pPr>
            <w:r>
              <w:rPr>
                <w:sz w:val="2"/>
              </w:rPr>
            </w:r>
          </w:p>
        </w:tc>
        <w:tc>
          <w:tcPr>
            <w:tcW w:w="97" w:type="pct"/>
            <w:tcMar>
              <w:top w:w="0" w:type="dxa"/>
              <w:start w:w="0" w:type="dxa"/>
              <w:bottom w:w="0" w:type="dxa"/>
              <w:end w:w="0" w:type="dxa"/>
            </w:tcMar>
          </w:tcPr>
          <w:p>
            <w:pPr>
              <w:spacing w:after="0"/>
            </w:pPr>
            <w:r>
              <w:rPr>
                <w:sz w:val="2"/>
              </w:rPr>
            </w:r>
          </w:p>
        </w:tc>
        <w:tc>
          <w:tcPr>
            <w:tcW w:w="2452" w:type="pct"/>
            <w:tcMar>
              <w:top w:w="0" w:type="dxa"/>
              <w:start w:w="0" w:type="dxa"/>
              <w:bottom w:w="0" w:type="dxa"/>
              <w:end w:w="0" w:type="dxa"/>
            </w:tcMar>
          </w:tcPr>
          <w:p>
            <w:pPr>
              <w:spacing w:after="0"/>
            </w:pPr>
            <w:r>
              <w:rPr>
                <w:sz w:val="2"/>
              </w:rPr>
            </w:r>
          </w:p>
        </w:tc>
      </w:tr>
      <w:tr>
        <w:tc>
          <w:tcPr>
            <w:tcW w:w="2452" w:type="pct"/>
            <w:tcBorders>
              <w:top w:val="single" w:sz="6" w:space="0" w:color="DDD9F5"/>
              <w:left w:val="single" w:sz="6" w:space="0" w:color="DDD9F5"/>
              <w:bottom w:val="single" w:sz="6" w:space="0" w:color="DDD9F5"/>
              <w:right w:val="single" w:sz="6" w:space="0" w:color="DDD9F5"/>
            </w:tcBorders>
            <w:shd w:val="clear" w:fill="F6F5FD"/>
            <w:tcMar>
              <w:top w:w="140" w:type="dxa"/>
              <w:start w:w="160" w:type="dxa"/>
              <w:bottom w:w="140" w:type="dxa"/>
              <w:end w:w="160" w:type="dxa"/>
            </w:tcMar>
            <w:vAlign w:val="top"/>
          </w:tcPr>
          <w:p>
            <w:pPr>
              <w:spacing w:before="0" w:after="60" w:line="283" w:lineRule="auto"/>
            </w:pPr>
            <w:r/>
            <w:r>
              <w:rPr>
                <w:rFonts w:ascii="Arial" w:hAnsi="Arial"/>
                <w:b/>
                <w:color w:val="2B1F5E"/>
                <w:sz w:val="21"/>
              </w:rPr>
              <w:t>Induction slot booked</w:t>
            </w:r>
          </w:p>
          <w:p>
            <w:pPr>
              <w:spacing w:before="0" w:after="0" w:line="317" w:lineRule="auto"/>
            </w:pPr>
            <w:r>
              <w:rPr>
                <w:rFonts w:ascii="Arial" w:hAnsi="Arial"/>
                <w:color w:val="3A3A46"/>
                <w:sz w:val="18"/>
              </w:rPr>
              <w:t>20 minutes, with the learners in one place if possible. Everyone installs together.</w:t>
            </w:r>
          </w:p>
        </w:tc>
        <w:tc>
          <w:tcPr>
            <w:tcW w:w="97" w:type="pct"/>
          </w:tcPr>
          <w:p/>
        </w:tc>
        <w:tc>
          <w:tcPr>
            <w:tcW w:w="2452" w:type="pct"/>
            <w:tcBorders>
              <w:top w:val="single" w:sz="6" w:space="0" w:color="DDD9F5"/>
              <w:left w:val="single" w:sz="6" w:space="0" w:color="DDD9F5"/>
              <w:bottom w:val="single" w:sz="6" w:space="0" w:color="DDD9F5"/>
              <w:right w:val="single" w:sz="6" w:space="0" w:color="DDD9F5"/>
            </w:tcBorders>
            <w:shd w:val="clear" w:fill="F6F5FD"/>
            <w:tcMar>
              <w:top w:w="140" w:type="dxa"/>
              <w:start w:w="160" w:type="dxa"/>
              <w:bottom w:w="140" w:type="dxa"/>
              <w:end w:w="160" w:type="dxa"/>
            </w:tcMar>
            <w:vAlign w:val="top"/>
          </w:tcPr>
          <w:p>
            <w:pPr>
              <w:spacing w:before="0" w:after="60" w:line="283" w:lineRule="auto"/>
            </w:pPr>
            <w:r/>
            <w:r>
              <w:rPr>
                <w:rFonts w:ascii="Arial" w:hAnsi="Arial"/>
                <w:b/>
                <w:color w:val="2B1F5E"/>
                <w:sz w:val="21"/>
              </w:rPr>
              <w:t>Course-page wording checked</w:t>
            </w:r>
          </w:p>
          <w:p>
            <w:pPr>
              <w:spacing w:before="0" w:after="0" w:line="317" w:lineRule="auto"/>
            </w:pPr>
            <w:r>
              <w:rPr>
                <w:rFonts w:ascii="Arial" w:hAnsi="Arial"/>
                <w:color w:val="3A3A46"/>
                <w:sz w:val="18"/>
              </w:rPr>
              <w:t>The English promise on the site matches what the app actually does.</w:t>
            </w:r>
          </w:p>
        </w:tc>
      </w:tr>
      <w:tr>
        <w:trPr>
          <w:trHeight w:val="193"/>
        </w:trPr>
        <w:tc>
          <w:tcPr>
            <w:tcW w:w="2452" w:type="pct"/>
            <w:tcMar>
              <w:top w:w="0" w:type="dxa"/>
              <w:start w:w="0" w:type="dxa"/>
              <w:bottom w:w="0" w:type="dxa"/>
              <w:end w:w="0" w:type="dxa"/>
            </w:tcMar>
          </w:tcPr>
          <w:p>
            <w:pPr>
              <w:spacing w:after="0"/>
            </w:pPr>
            <w:r>
              <w:rPr>
                <w:sz w:val="2"/>
              </w:rPr>
            </w:r>
          </w:p>
        </w:tc>
        <w:tc>
          <w:tcPr>
            <w:tcW w:w="97" w:type="pct"/>
            <w:tcMar>
              <w:top w:w="0" w:type="dxa"/>
              <w:start w:w="0" w:type="dxa"/>
              <w:bottom w:w="0" w:type="dxa"/>
              <w:end w:w="0" w:type="dxa"/>
            </w:tcMar>
          </w:tcPr>
          <w:p>
            <w:pPr>
              <w:spacing w:after="0"/>
            </w:pPr>
            <w:r>
              <w:rPr>
                <w:sz w:val="2"/>
              </w:rPr>
            </w:r>
          </w:p>
        </w:tc>
        <w:tc>
          <w:tcPr>
            <w:tcW w:w="2452" w:type="pct"/>
            <w:tcMar>
              <w:top w:w="0" w:type="dxa"/>
              <w:start w:w="0" w:type="dxa"/>
              <w:bottom w:w="0" w:type="dxa"/>
              <w:end w:w="0" w:type="dxa"/>
            </w:tcMar>
          </w:tcPr>
          <w:p>
            <w:pPr>
              <w:spacing w:after="0"/>
            </w:pPr>
            <w:r>
              <w:rPr>
                <w:sz w:val="2"/>
              </w:rPr>
            </w:r>
          </w:p>
        </w:tc>
      </w:tr>
      <w:tr>
        <w:tc>
          <w:tcPr>
            <w:tcW w:w="2452" w:type="pct"/>
            <w:tcBorders>
              <w:top w:val="single" w:sz="6" w:space="0" w:color="DDD9F5"/>
              <w:left w:val="single" w:sz="6" w:space="0" w:color="DDD9F5"/>
              <w:bottom w:val="single" w:sz="6" w:space="0" w:color="DDD9F5"/>
              <w:right w:val="single" w:sz="6" w:space="0" w:color="DDD9F5"/>
            </w:tcBorders>
            <w:shd w:val="clear" w:fill="F6F5FD"/>
            <w:tcMar>
              <w:top w:w="140" w:type="dxa"/>
              <w:start w:w="160" w:type="dxa"/>
              <w:bottom w:w="140" w:type="dxa"/>
              <w:end w:w="160" w:type="dxa"/>
            </w:tcMar>
            <w:vAlign w:val="top"/>
          </w:tcPr>
          <w:p>
            <w:pPr>
              <w:spacing w:before="0" w:after="60" w:line="283" w:lineRule="auto"/>
            </w:pPr>
            <w:r/>
            <w:r>
              <w:rPr>
                <w:rFonts w:ascii="Arial" w:hAnsi="Arial"/>
                <w:b/>
                <w:color w:val="2B1F5E"/>
                <w:sz w:val="21"/>
              </w:rPr>
              <w:t>Learner guide sent</w:t>
            </w:r>
          </w:p>
          <w:p>
            <w:pPr>
              <w:spacing w:before="0" w:after="0" w:line="317" w:lineRule="auto"/>
            </w:pPr>
            <w:r>
              <w:rPr>
                <w:rFonts w:ascii="Arial" w:hAnsi="Arial"/>
                <w:color w:val="3A3A46"/>
                <w:sz w:val="18"/>
              </w:rPr>
              <w:t>In French and English, with the induction invitation, not after it.</w:t>
            </w:r>
          </w:p>
        </w:tc>
        <w:tc>
          <w:tcPr>
            <w:tcW w:w="97" w:type="pct"/>
          </w:tcPr>
          <w:p/>
        </w:tc>
        <w:tc>
          <w:tcPr>
            <w:tcW w:w="2452" w:type="pct"/>
            <w:tcBorders>
              <w:top w:val="single" w:sz="6" w:space="0" w:color="DDD9F5"/>
              <w:left w:val="single" w:sz="6" w:space="0" w:color="DDD9F5"/>
              <w:bottom w:val="single" w:sz="6" w:space="0" w:color="DDD9F5"/>
              <w:right w:val="single" w:sz="6" w:space="0" w:color="DDD9F5"/>
            </w:tcBorders>
            <w:shd w:val="clear" w:fill="F6F5FD"/>
            <w:tcMar>
              <w:top w:w="140" w:type="dxa"/>
              <w:start w:w="160" w:type="dxa"/>
              <w:bottom w:w="140" w:type="dxa"/>
              <w:end w:w="160" w:type="dxa"/>
            </w:tcMar>
            <w:vAlign w:val="top"/>
          </w:tcPr>
          <w:p>
            <w:pPr>
              <w:spacing w:before="0" w:after="60" w:line="283" w:lineRule="auto"/>
            </w:pPr>
            <w:r/>
            <w:r>
              <w:rPr>
                <w:rFonts w:ascii="Arial" w:hAnsi="Arial"/>
                <w:b/>
                <w:color w:val="2B1F5E"/>
                <w:sz w:val="21"/>
              </w:rPr>
              <w:t>Report approval agreed</w:t>
            </w:r>
          </w:p>
          <w:p>
            <w:pPr>
              <w:spacing w:before="0" w:after="0" w:line="317" w:lineRule="auto"/>
            </w:pPr>
            <w:r>
              <w:rPr>
                <w:rFonts w:ascii="Arial" w:hAnsi="Arial"/>
                <w:color w:val="3A3A46"/>
                <w:sz w:val="18"/>
              </w:rPr>
              <w:t>Who signs off the closing report, and how long they need.</w:t>
            </w:r>
          </w:p>
        </w:tc>
      </w:tr>
    </w:tbl>
    <w:p>
      <w:r>
        <w:br w:type="page"/>
      </w:r>
    </w:p>
    <w:p>
      <w:pPr>
        <w:spacing w:before="0" w:after="0"/>
      </w:pPr>
      <w:r>
        <w:rPr>
          <w:sz w:val="20"/>
        </w:rPr>
      </w:r>
    </w:p>
    <w:p>
      <w:pPr>
        <w:spacing w:before="220" w:after="40" w:line="317" w:lineRule="auto"/>
      </w:pPr>
      <w:r>
        <w:rPr>
          <w:rFonts w:ascii="Arial" w:hAnsi="Arial"/>
          <w:b/>
          <w:i w:val="0"/>
          <w:color w:val="4A32DC"/>
          <w:sz w:val="15"/>
          <w:spacing w:val="30"/>
        </w:rPr>
        <w:t>02</w:t>
      </w:r>
    </w:p>
    <w:p>
      <w:pPr>
        <w:spacing w:before="0" w:after="100" w:line="264" w:lineRule="auto"/>
        <w:pBdr>
          <w:bottom w:val="single" w:sz="10" w:space="4" w:color="4A32DC"/>
        </w:pBdr>
        <w:keepNext/>
      </w:pPr>
      <w:r>
        <w:rPr>
          <w:rFonts w:ascii="Arial" w:hAnsi="Arial"/>
          <w:b/>
          <w:i w:val="0"/>
          <w:color w:val="2B1F5E"/>
          <w:sz w:val="30"/>
        </w:rPr>
        <w:t>The four weeks</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1996"/>
        <w:gridCol w:w="1596"/>
        <w:gridCol w:w="6386"/>
      </w:tblGrid>
      <w:tr>
        <w:tc>
          <w:tcPr>
            <w:tcW w:w="1000" w:type="pct"/>
            <w:shd w:val="clear" w:fill="2B1F5E"/>
            <w:tcMar>
              <w:top w:w="100" w:type="dxa"/>
              <w:start w:w="150" w:type="dxa"/>
              <w:bottom w:w="100" w:type="dxa"/>
              <w:end w:w="150" w:type="dxa"/>
            </w:tcMar>
          </w:tcPr>
          <w:p>
            <w:pPr>
              <w:spacing w:before="0" w:after="0"/>
            </w:pPr>
            <w:r/>
            <w:r>
              <w:rPr>
                <w:rFonts w:ascii="Arial" w:hAnsi="Arial"/>
                <w:b/>
                <w:color w:val="FFFFFF"/>
                <w:sz w:val="15"/>
                <w:spacing w:val="26"/>
              </w:rPr>
              <w:t>WHEN</w:t>
            </w:r>
          </w:p>
        </w:tc>
        <w:tc>
          <w:tcPr>
            <w:tcW w:w="800" w:type="pct"/>
            <w:shd w:val="clear" w:fill="2B1F5E"/>
            <w:tcMar>
              <w:top w:w="100" w:type="dxa"/>
              <w:start w:w="150" w:type="dxa"/>
              <w:bottom w:w="100" w:type="dxa"/>
              <w:end w:w="150" w:type="dxa"/>
            </w:tcMar>
          </w:tcPr>
          <w:p>
            <w:pPr>
              <w:spacing w:before="0" w:after="0"/>
            </w:pPr>
            <w:r/>
            <w:r>
              <w:rPr>
                <w:rFonts w:ascii="Arial" w:hAnsi="Arial"/>
                <w:b/>
                <w:color w:val="FFFFFF"/>
                <w:sz w:val="15"/>
                <w:spacing w:val="26"/>
              </w:rPr>
              <w:t>WHO</w:t>
            </w:r>
          </w:p>
        </w:tc>
        <w:tc>
          <w:tcPr>
            <w:tcW w:w="3200" w:type="pct"/>
            <w:shd w:val="clear" w:fill="2B1F5E"/>
            <w:tcMar>
              <w:top w:w="100" w:type="dxa"/>
              <w:start w:w="150" w:type="dxa"/>
              <w:bottom w:w="100" w:type="dxa"/>
              <w:end w:w="150" w:type="dxa"/>
            </w:tcMar>
          </w:tcPr>
          <w:p>
            <w:pPr>
              <w:spacing w:before="0" w:after="0"/>
            </w:pPr>
            <w:r/>
            <w:r>
              <w:rPr>
                <w:rFonts w:ascii="Arial" w:hAnsi="Arial"/>
                <w:b/>
                <w:color w:val="FFFFFF"/>
                <w:sz w:val="15"/>
                <w:spacing w:val="26"/>
              </w:rPr>
              <w:t>WHAT HAPPENS</w:t>
            </w:r>
          </w:p>
        </w:tc>
      </w:tr>
      <w:tr>
        <w:tc>
          <w:tcPr>
            <w:tcW w:w="10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color w:val="2B1F5E"/>
                <w:sz w:val="19"/>
              </w:rPr>
              <w:t>Week 0 · setup</w:t>
            </w:r>
          </w:p>
        </w:tc>
        <w:tc>
          <w:tcPr>
            <w:tcW w:w="8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Both</w:t>
            </w:r>
          </w:p>
        </w:tc>
        <w:tc>
          <w:tcPr>
            <w:tcW w:w="32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Cohort list agreed. Roles named. Course-page wording checked. Learner guide sent.</w:t>
            </w:r>
          </w:p>
        </w:tc>
      </w:tr>
      <w:tr>
        <w:tc>
          <w:tcPr>
            <w:tcW w:w="10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color w:val="2B1F5E"/>
                <w:sz w:val="19"/>
              </w:rPr>
              <w:t>Week 1 · day 1</w:t>
            </w:r>
          </w:p>
        </w:tc>
        <w:tc>
          <w:tcPr>
            <w:tcW w:w="8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Lomonec</w:t>
            </w:r>
          </w:p>
        </w:tc>
        <w:tc>
          <w:tcPr>
            <w:tcW w:w="32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20-minute induction, in person or on a call. Everyone installs and signs in together.</w:t>
            </w:r>
          </w:p>
        </w:tc>
      </w:tr>
      <w:tr>
        <w:tc>
          <w:tcPr>
            <w:tcW w:w="10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color w:val="2B1F5E"/>
                <w:sz w:val="19"/>
              </w:rPr>
              <w:t>Week 1 · days 2–5</w:t>
            </w:r>
          </w:p>
        </w:tc>
        <w:tc>
          <w:tcPr>
            <w:tcW w:w="8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Learners</w:t>
            </w:r>
          </w:p>
        </w:tc>
        <w:tc>
          <w:tcPr>
            <w:tcW w:w="32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Each learner records ONE workplace answer before practising. This is the baseline.</w:t>
            </w:r>
          </w:p>
        </w:tc>
      </w:tr>
      <w:tr>
        <w:tc>
          <w:tcPr>
            <w:tcW w:w="10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color w:val="2B1F5E"/>
                <w:sz w:val="19"/>
              </w:rPr>
              <w:t>Weeks 2–3</w:t>
            </w:r>
          </w:p>
        </w:tc>
        <w:tc>
          <w:tcPr>
            <w:tcW w:w="8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Learners</w:t>
            </w:r>
          </w:p>
        </w:tc>
        <w:tc>
          <w:tcPr>
            <w:tcW w:w="32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Daily practice in their own time. A weekly figure goes to the sponsor every Monday.</w:t>
            </w:r>
          </w:p>
        </w:tc>
      </w:tr>
      <w:tr>
        <w:tc>
          <w:tcPr>
            <w:tcW w:w="10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color w:val="2B1F5E"/>
                <w:sz w:val="19"/>
              </w:rPr>
              <w:t>Week 2 · midpoint</w:t>
            </w:r>
          </w:p>
        </w:tc>
        <w:tc>
          <w:tcPr>
            <w:tcW w:w="8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Instructor</w:t>
            </w:r>
          </w:p>
        </w:tc>
        <w:tc>
          <w:tcPr>
            <w:tcW w:w="32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Ten minutes: what have you noticed, and who has gone quiet?</w:t>
            </w:r>
          </w:p>
        </w:tc>
      </w:tr>
      <w:tr>
        <w:tc>
          <w:tcPr>
            <w:tcW w:w="10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color w:val="2B1F5E"/>
                <w:sz w:val="19"/>
              </w:rPr>
              <w:t>Week 4 · days 1–3</w:t>
            </w:r>
          </w:p>
        </w:tc>
        <w:tc>
          <w:tcPr>
            <w:tcW w:w="8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Learners</w:t>
            </w:r>
          </w:p>
        </w:tc>
        <w:tc>
          <w:tcPr>
            <w:tcW w:w="32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Interview simulations, then the closing measurement — the same task as the baseline.</w:t>
            </w:r>
          </w:p>
        </w:tc>
      </w:tr>
      <w:tr>
        <w:tc>
          <w:tcPr>
            <w:tcW w:w="10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color w:val="2B1F5E"/>
                <w:sz w:val="19"/>
              </w:rPr>
              <w:t>Week 4 · day 5</w:t>
            </w:r>
          </w:p>
        </w:tc>
        <w:tc>
          <w:tcPr>
            <w:tcW w:w="8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Both</w:t>
            </w:r>
          </w:p>
        </w:tc>
        <w:tc>
          <w:tcPr>
            <w:tcW w:w="32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Learner survey and instructor observations collected.</w:t>
            </w:r>
          </w:p>
        </w:tc>
      </w:tr>
      <w:tr>
        <w:tc>
          <w:tcPr>
            <w:tcW w:w="10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color w:val="2B1F5E"/>
                <w:sz w:val="19"/>
              </w:rPr>
              <w:t>Week 5</w:t>
            </w:r>
          </w:p>
        </w:tc>
        <w:tc>
          <w:tcPr>
            <w:tcW w:w="8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Lomonec</w:t>
            </w:r>
          </w:p>
        </w:tc>
        <w:tc>
          <w:tcPr>
            <w:tcW w:w="32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Draft report to the sponsor. Nothing is published without written approval.</w:t>
            </w:r>
          </w:p>
        </w:tc>
      </w:tr>
    </w:tbl>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9978"/>
      </w:tblGrid>
      <w:tr>
        <w:tc>
          <w:tcPr>
            <w:tcW w:w="5000" w:type="pct"/>
            <w:tcBorders>
              <w:top w:val="single" w:sz="6" w:space="0" w:color="BFE0CE"/>
              <w:left w:val="single" w:sz="6" w:space="0" w:color="BFE0CE"/>
              <w:bottom w:val="single" w:sz="6" w:space="0" w:color="BFE0CE"/>
              <w:right w:val="single" w:sz="6" w:space="0" w:color="BFE0CE"/>
            </w:tcBorders>
            <w:shd w:val="clear" w:fill="EAF6F0"/>
            <w:tcMar>
              <w:top w:w="140" w:type="dxa"/>
              <w:start w:w="170" w:type="dxa"/>
              <w:bottom w:w="140" w:type="dxa"/>
              <w:end w:w="170" w:type="dxa"/>
            </w:tcMar>
          </w:tcPr>
          <w:p>
            <w:pPr>
              <w:spacing w:after="80"/>
            </w:pPr>
            <w:r/>
            <w:r>
              <w:rPr>
                <w:rFonts w:ascii="Arial" w:hAnsi="Arial"/>
                <w:b/>
                <w:color w:val="1D6B46"/>
                <w:sz w:val="15"/>
                <w:spacing w:val="30"/>
              </w:rPr>
              <w:t>THE ONE THING THAT CANNOT SLIP</w:t>
            </w:r>
          </w:p>
          <w:p>
            <w:pPr>
              <w:spacing w:before="0" w:after="0" w:line="331" w:lineRule="auto"/>
            </w:pPr>
            <w:r>
              <w:rPr>
                <w:rFonts w:ascii="Arial" w:hAnsi="Arial"/>
                <w:b/>
                <w:color w:val="2B1F5E"/>
                <w:sz w:val="19"/>
              </w:rPr>
              <w:t xml:space="preserve">The week-1 baseline. </w:t>
            </w:r>
            <w:r>
              <w:rPr>
                <w:rFonts w:ascii="Arial" w:hAnsi="Arial"/>
                <w:b w:val="0"/>
                <w:color w:val="3A3A46"/>
                <w:sz w:val="19"/>
              </w:rPr>
              <w:t>Without a recorded answer from before any practice, there is no before-and-after and the pilot proves nothing. If a learner joins late, they still record a baseline first.</w:t>
            </w:r>
          </w:p>
        </w:tc>
      </w:tr>
    </w:tbl>
    <w:p>
      <w:r>
        <w:br w:type="page"/>
      </w:r>
    </w:p>
    <w:p>
      <w:pPr>
        <w:spacing w:before="0" w:after="0"/>
      </w:pPr>
      <w:r>
        <w:rPr>
          <w:sz w:val="20"/>
        </w:rPr>
      </w:r>
    </w:p>
    <w:p>
      <w:pPr>
        <w:spacing w:before="220" w:after="40" w:line="317" w:lineRule="auto"/>
      </w:pPr>
      <w:r>
        <w:rPr>
          <w:rFonts w:ascii="Arial" w:hAnsi="Arial"/>
          <w:b/>
          <w:i w:val="0"/>
          <w:color w:val="4A32DC"/>
          <w:sz w:val="15"/>
          <w:spacing w:val="30"/>
        </w:rPr>
        <w:t>03</w:t>
      </w:r>
    </w:p>
    <w:p>
      <w:pPr>
        <w:spacing w:before="0" w:after="100" w:line="264" w:lineRule="auto"/>
        <w:pBdr>
          <w:bottom w:val="single" w:sz="10" w:space="4" w:color="4A32DC"/>
        </w:pBdr>
        <w:keepNext/>
      </w:pPr>
      <w:r>
        <w:rPr>
          <w:rFonts w:ascii="Arial" w:hAnsi="Arial"/>
          <w:b/>
          <w:i w:val="0"/>
          <w:color w:val="2B1F5E"/>
          <w:sz w:val="30"/>
        </w:rPr>
        <w:t>What a learner does</w:t>
      </w:r>
    </w:p>
    <w:p>
      <w:pPr>
        <w:spacing w:before="0" w:after="160" w:line="331" w:lineRule="auto"/>
      </w:pPr>
      <w:r>
        <w:rPr>
          <w:rFonts w:ascii="Arial" w:hAnsi="Arial"/>
          <w:b w:val="0"/>
          <w:i w:val="0"/>
          <w:color w:val="3A3A46"/>
          <w:sz w:val="20"/>
        </w:rPr>
        <w:t>Twenty-five minutes a day, in their own time, on their own phone. No classroom, no timetable, nothing for the academy to schedule.</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1297"/>
        <w:gridCol w:w="3093"/>
        <w:gridCol w:w="5588"/>
      </w:tblGrid>
      <w:tr>
        <w:tc>
          <w:tcPr>
            <w:tcW w:w="650" w:type="pct"/>
            <w:shd w:val="clear" w:fill="2B1F5E"/>
            <w:tcMar>
              <w:top w:w="100" w:type="dxa"/>
              <w:start w:w="150" w:type="dxa"/>
              <w:bottom w:w="100" w:type="dxa"/>
              <w:end w:w="150" w:type="dxa"/>
            </w:tcMar>
          </w:tcPr>
          <w:p>
            <w:pPr>
              <w:spacing w:before="0" w:after="0"/>
            </w:pPr>
            <w:r/>
            <w:r>
              <w:rPr>
                <w:rFonts w:ascii="Arial" w:hAnsi="Arial"/>
                <w:b/>
                <w:color w:val="FFFFFF"/>
                <w:sz w:val="15"/>
                <w:spacing w:val="26"/>
              </w:rPr>
              <w:t>TIME</w:t>
            </w:r>
          </w:p>
        </w:tc>
        <w:tc>
          <w:tcPr>
            <w:tcW w:w="1550" w:type="pct"/>
            <w:shd w:val="clear" w:fill="2B1F5E"/>
            <w:tcMar>
              <w:top w:w="100" w:type="dxa"/>
              <w:start w:w="150" w:type="dxa"/>
              <w:bottom w:w="100" w:type="dxa"/>
              <w:end w:w="150" w:type="dxa"/>
            </w:tcMar>
          </w:tcPr>
          <w:p>
            <w:pPr>
              <w:spacing w:before="0" w:after="0"/>
            </w:pPr>
            <w:r/>
            <w:r>
              <w:rPr>
                <w:rFonts w:ascii="Arial" w:hAnsi="Arial"/>
                <w:b/>
                <w:color w:val="FFFFFF"/>
                <w:sz w:val="15"/>
                <w:spacing w:val="26"/>
              </w:rPr>
              <w:t>ACTIVITY</w:t>
            </w:r>
          </w:p>
        </w:tc>
        <w:tc>
          <w:tcPr>
            <w:tcW w:w="2800" w:type="pct"/>
            <w:shd w:val="clear" w:fill="2B1F5E"/>
            <w:tcMar>
              <w:top w:w="100" w:type="dxa"/>
              <w:start w:w="150" w:type="dxa"/>
              <w:bottom w:w="100" w:type="dxa"/>
              <w:end w:w="150" w:type="dxa"/>
            </w:tcMar>
          </w:tcPr>
          <w:p>
            <w:pPr>
              <w:spacing w:before="0" w:after="0"/>
            </w:pPr>
            <w:r/>
            <w:r>
              <w:rPr>
                <w:rFonts w:ascii="Arial" w:hAnsi="Arial"/>
                <w:b/>
                <w:color w:val="FFFFFF"/>
                <w:sz w:val="15"/>
                <w:spacing w:val="26"/>
              </w:rPr>
              <w:t>WHAT IT BUILDS</w:t>
            </w:r>
          </w:p>
        </w:tc>
      </w:tr>
      <w:tr>
        <w:tc>
          <w:tcPr>
            <w:tcW w:w="65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color w:val="2B1F5E"/>
                <w:sz w:val="19"/>
              </w:rPr>
              <w:t>5 min</w:t>
            </w:r>
          </w:p>
        </w:tc>
        <w:tc>
          <w:tcPr>
            <w:tcW w:w="155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Shadowing</w:t>
            </w:r>
          </w:p>
        </w:tc>
        <w:tc>
          <w:tcPr>
            <w:tcW w:w="28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Loop a short clip of a real speaker and copy the rhythm out loud</w:t>
            </w:r>
          </w:p>
        </w:tc>
      </w:tr>
      <w:tr>
        <w:tc>
          <w:tcPr>
            <w:tcW w:w="65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color w:val="2B1F5E"/>
                <w:sz w:val="19"/>
              </w:rPr>
              <w:t>10 min</w:t>
            </w:r>
          </w:p>
        </w:tc>
        <w:tc>
          <w:tcPr>
            <w:tcW w:w="155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The day's session</w:t>
            </w:r>
          </w:p>
        </w:tc>
        <w:tc>
          <w:tcPr>
            <w:tcW w:w="28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The prepared daily session — pronunciation, a speaking drill, or a meeting simulation</w:t>
            </w:r>
          </w:p>
        </w:tc>
      </w:tr>
      <w:tr>
        <w:tc>
          <w:tcPr>
            <w:tcW w:w="65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color w:val="2B1F5E"/>
                <w:sz w:val="19"/>
              </w:rPr>
              <w:t>7 min</w:t>
            </w:r>
          </w:p>
        </w:tc>
        <w:tc>
          <w:tcPr>
            <w:tcW w:w="155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One workplace conversation</w:t>
            </w:r>
          </w:p>
        </w:tc>
        <w:tc>
          <w:tcPr>
            <w:tcW w:w="28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Speak with the supervisor, the QA inspector or HR, and answer out loud</w:t>
            </w:r>
          </w:p>
        </w:tc>
      </w:tr>
      <w:tr>
        <w:tc>
          <w:tcPr>
            <w:tcW w:w="65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color w:val="2B1F5E"/>
                <w:sz w:val="19"/>
              </w:rPr>
              <w:t>3 min</w:t>
            </w:r>
          </w:p>
        </w:tc>
        <w:tc>
          <w:tcPr>
            <w:tcW w:w="155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Read the report</w:t>
            </w:r>
          </w:p>
        </w:tc>
        <w:tc>
          <w:tcPr>
            <w:tcW w:w="28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What was covered, what was missed, and the sentence that would have carried it</w:t>
            </w:r>
          </w:p>
        </w:tc>
      </w:tr>
    </w:tbl>
    <w:p>
      <w:pPr>
        <w:spacing w:before="120" w:after="180" w:line="331" w:lineRule="auto"/>
      </w:pPr>
      <w:r>
        <w:rPr>
          <w:rFonts w:ascii="Arial" w:hAnsi="Arial"/>
          <w:b w:val="0"/>
          <w:i w:val="0"/>
          <w:color w:val="6B7083"/>
          <w:sz w:val="19"/>
        </w:rPr>
        <w:t>About ten hours across the four weeks. Once a week they should also run one interview coach — that is the activity closest to what they are actually preparing for.</w:t>
      </w:r>
    </w:p>
    <w:p>
      <w:pPr>
        <w:spacing w:before="220" w:after="40" w:line="317" w:lineRule="auto"/>
      </w:pPr>
      <w:r>
        <w:rPr>
          <w:rFonts w:ascii="Arial" w:hAnsi="Arial"/>
          <w:b/>
          <w:i w:val="0"/>
          <w:color w:val="4A32DC"/>
          <w:sz w:val="15"/>
          <w:spacing w:val="30"/>
        </w:rPr>
        <w:t>04</w:t>
      </w:r>
    </w:p>
    <w:p>
      <w:pPr>
        <w:spacing w:before="0" w:after="100" w:line="264" w:lineRule="auto"/>
        <w:pBdr>
          <w:bottom w:val="single" w:sz="10" w:space="4" w:color="4A32DC"/>
        </w:pBdr>
        <w:keepNext/>
      </w:pPr>
      <w:r>
        <w:rPr>
          <w:rFonts w:ascii="Arial" w:hAnsi="Arial"/>
          <w:b/>
          <w:i w:val="0"/>
          <w:color w:val="2B1F5E"/>
          <w:sz w:val="30"/>
        </w:rPr>
        <w:t>Tools and documents — who gets what, and when</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3792"/>
        <w:gridCol w:w="3193"/>
        <w:gridCol w:w="2993"/>
      </w:tblGrid>
      <w:tr>
        <w:tc>
          <w:tcPr>
            <w:tcW w:w="1900" w:type="pct"/>
            <w:shd w:val="clear" w:fill="2B1F5E"/>
            <w:tcMar>
              <w:top w:w="100" w:type="dxa"/>
              <w:start w:w="150" w:type="dxa"/>
              <w:bottom w:w="100" w:type="dxa"/>
              <w:end w:w="150" w:type="dxa"/>
            </w:tcMar>
          </w:tcPr>
          <w:p>
            <w:pPr>
              <w:spacing w:before="0" w:after="0"/>
            </w:pPr>
            <w:r/>
            <w:r>
              <w:rPr>
                <w:rFonts w:ascii="Arial" w:hAnsi="Arial"/>
                <w:b/>
                <w:color w:val="FFFFFF"/>
                <w:sz w:val="15"/>
                <w:spacing w:val="26"/>
              </w:rPr>
              <w:t>DOCUMENT OR TOOL</w:t>
            </w:r>
          </w:p>
        </w:tc>
        <w:tc>
          <w:tcPr>
            <w:tcW w:w="1600" w:type="pct"/>
            <w:shd w:val="clear" w:fill="2B1F5E"/>
            <w:tcMar>
              <w:top w:w="100" w:type="dxa"/>
              <w:start w:w="150" w:type="dxa"/>
              <w:bottom w:w="100" w:type="dxa"/>
              <w:end w:w="150" w:type="dxa"/>
            </w:tcMar>
          </w:tcPr>
          <w:p>
            <w:pPr>
              <w:spacing w:before="0" w:after="0"/>
            </w:pPr>
            <w:r/>
            <w:r>
              <w:rPr>
                <w:rFonts w:ascii="Arial" w:hAnsi="Arial"/>
                <w:b/>
                <w:color w:val="FFFFFF"/>
                <w:sz w:val="15"/>
                <w:spacing w:val="26"/>
              </w:rPr>
              <w:t>GOES TO</w:t>
            </w:r>
          </w:p>
        </w:tc>
        <w:tc>
          <w:tcPr>
            <w:tcW w:w="1500" w:type="pct"/>
            <w:shd w:val="clear" w:fill="2B1F5E"/>
            <w:tcMar>
              <w:top w:w="100" w:type="dxa"/>
              <w:start w:w="150" w:type="dxa"/>
              <w:bottom w:w="100" w:type="dxa"/>
              <w:end w:w="150" w:type="dxa"/>
            </w:tcMar>
          </w:tcPr>
          <w:p>
            <w:pPr>
              <w:spacing w:before="0" w:after="0"/>
            </w:pPr>
            <w:r/>
            <w:r>
              <w:rPr>
                <w:rFonts w:ascii="Arial" w:hAnsi="Arial"/>
                <w:b/>
                <w:color w:val="FFFFFF"/>
                <w:sz w:val="15"/>
                <w:spacing w:val="26"/>
              </w:rPr>
              <w:t>WHEN</w:t>
            </w:r>
          </w:p>
        </w:tc>
      </w:tr>
      <w:tr>
        <w:tc>
          <w:tcPr>
            <w:tcW w:w="19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color w:val="2B1F5E"/>
                <w:sz w:val="19"/>
              </w:rPr>
              <w:t>Pilot proposal</w:t>
            </w:r>
          </w:p>
        </w:tc>
        <w:tc>
          <w:tcPr>
            <w:tcW w:w="16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Sponsor and partners</w:t>
            </w:r>
          </w:p>
        </w:tc>
        <w:tc>
          <w:tcPr>
            <w:tcW w:w="15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Before the decision</w:t>
            </w:r>
          </w:p>
        </w:tc>
      </w:tr>
      <w:tr>
        <w:tc>
          <w:tcPr>
            <w:tcW w:w="19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color w:val="2B1F5E"/>
                <w:sz w:val="19"/>
              </w:rPr>
              <w:t>This playbook</w:t>
            </w:r>
          </w:p>
        </w:tc>
        <w:tc>
          <w:tcPr>
            <w:tcW w:w="16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Sponsor and instructor</w:t>
            </w:r>
          </w:p>
        </w:tc>
        <w:tc>
          <w:tcPr>
            <w:tcW w:w="15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Week 0, once they say yes</w:t>
            </w:r>
          </w:p>
        </w:tc>
      </w:tr>
      <w:tr>
        <w:tc>
          <w:tcPr>
            <w:tcW w:w="19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color w:val="2B1F5E"/>
                <w:sz w:val="19"/>
              </w:rPr>
              <w:t>Learner guide (EN / FR)</w:t>
            </w:r>
          </w:p>
        </w:tc>
        <w:tc>
          <w:tcPr>
            <w:tcW w:w="16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Every learner</w:t>
            </w:r>
          </w:p>
        </w:tc>
        <w:tc>
          <w:tcPr>
            <w:tcW w:w="15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Week 0, with the induction invite</w:t>
            </w:r>
          </w:p>
        </w:tc>
      </w:tr>
      <w:tr>
        <w:tc>
          <w:tcPr>
            <w:tcW w:w="19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color w:val="2B1F5E"/>
                <w:sz w:val="19"/>
              </w:rPr>
              <w:t>The app — app.lomonec.com</w:t>
            </w:r>
          </w:p>
        </w:tc>
        <w:tc>
          <w:tcPr>
            <w:tcW w:w="16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Every learner</w:t>
            </w:r>
          </w:p>
        </w:tc>
        <w:tc>
          <w:tcPr>
            <w:tcW w:w="15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Week 1 induction, installed together</w:t>
            </w:r>
          </w:p>
        </w:tc>
      </w:tr>
      <w:tr>
        <w:tc>
          <w:tcPr>
            <w:tcW w:w="19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color w:val="2B1F5E"/>
                <w:sz w:val="19"/>
              </w:rPr>
              <w:t>Instructor observation sheet</w:t>
            </w:r>
          </w:p>
        </w:tc>
        <w:tc>
          <w:tcPr>
            <w:tcW w:w="16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Cohort instructor</w:t>
            </w:r>
          </w:p>
        </w:tc>
        <w:tc>
          <w:tcPr>
            <w:tcW w:w="15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Week 2 and week 4</w:t>
            </w:r>
          </w:p>
        </w:tc>
      </w:tr>
      <w:tr>
        <w:tc>
          <w:tcPr>
            <w:tcW w:w="19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color w:val="2B1F5E"/>
                <w:sz w:val="19"/>
              </w:rPr>
              <w:t>Learner feedback survey</w:t>
            </w:r>
          </w:p>
        </w:tc>
        <w:tc>
          <w:tcPr>
            <w:tcW w:w="16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Every learner</w:t>
            </w:r>
          </w:p>
        </w:tc>
        <w:tc>
          <w:tcPr>
            <w:tcW w:w="15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Week 4, day 5</w:t>
            </w:r>
          </w:p>
        </w:tc>
      </w:tr>
      <w:tr>
        <w:tc>
          <w:tcPr>
            <w:tcW w:w="19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color w:val="2B1F5E"/>
                <w:sz w:val="19"/>
              </w:rPr>
              <w:t>Weekly figure (one short email)</w:t>
            </w:r>
          </w:p>
        </w:tc>
        <w:tc>
          <w:tcPr>
            <w:tcW w:w="16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Sponsor</w:t>
            </w:r>
          </w:p>
        </w:tc>
        <w:tc>
          <w:tcPr>
            <w:tcW w:w="15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Every Monday, weeks 2–5</w:t>
            </w:r>
          </w:p>
        </w:tc>
      </w:tr>
      <w:tr>
        <w:tc>
          <w:tcPr>
            <w:tcW w:w="19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color w:val="2B1F5E"/>
                <w:sz w:val="19"/>
              </w:rPr>
              <w:t>Closing report</w:t>
            </w:r>
          </w:p>
        </w:tc>
        <w:tc>
          <w:tcPr>
            <w:tcW w:w="16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Sponsor first, then anyone they allow</w:t>
            </w:r>
          </w:p>
        </w:tc>
        <w:tc>
          <w:tcPr>
            <w:tcW w:w="15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Week 5</w:t>
            </w:r>
          </w:p>
        </w:tc>
      </w:tr>
    </w:tbl>
    <w:p>
      <w:r>
        <w:br w:type="page"/>
      </w:r>
    </w:p>
    <w:p>
      <w:pPr>
        <w:spacing w:before="0" w:after="0"/>
      </w:pPr>
      <w:r>
        <w:rPr>
          <w:sz w:val="20"/>
        </w:rPr>
      </w:r>
    </w:p>
    <w:p>
      <w:pPr>
        <w:spacing w:before="220" w:after="40" w:line="317" w:lineRule="auto"/>
      </w:pPr>
      <w:r>
        <w:rPr>
          <w:rFonts w:ascii="Arial" w:hAnsi="Arial"/>
          <w:b/>
          <w:i w:val="0"/>
          <w:color w:val="4A32DC"/>
          <w:sz w:val="15"/>
          <w:spacing w:val="30"/>
        </w:rPr>
        <w:t>05</w:t>
      </w:r>
    </w:p>
    <w:p>
      <w:pPr>
        <w:spacing w:before="0" w:after="100" w:line="264" w:lineRule="auto"/>
        <w:pBdr>
          <w:bottom w:val="single" w:sz="10" w:space="4" w:color="4A32DC"/>
        </w:pBdr>
        <w:keepNext/>
      </w:pPr>
      <w:r>
        <w:rPr>
          <w:rFonts w:ascii="Arial" w:hAnsi="Arial"/>
          <w:b/>
          <w:i w:val="0"/>
          <w:color w:val="2B1F5E"/>
          <w:sz w:val="30"/>
        </w:rPr>
        <w:t>What we measure, and how</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2993"/>
        <w:gridCol w:w="6985"/>
      </w:tblGrid>
      <w:tr>
        <w:tc>
          <w:tcPr>
            <w:tcW w:w="1500" w:type="pct"/>
            <w:shd w:val="clear" w:fill="2B1F5E"/>
            <w:tcMar>
              <w:top w:w="100" w:type="dxa"/>
              <w:start w:w="150" w:type="dxa"/>
              <w:bottom w:w="100" w:type="dxa"/>
              <w:end w:w="150" w:type="dxa"/>
            </w:tcMar>
          </w:tcPr>
          <w:p>
            <w:pPr>
              <w:spacing w:before="0" w:after="0"/>
            </w:pPr>
            <w:r/>
            <w:r>
              <w:rPr>
                <w:rFonts w:ascii="Arial" w:hAnsi="Arial"/>
                <w:b/>
                <w:color w:val="FFFFFF"/>
                <w:sz w:val="15"/>
                <w:spacing w:val="26"/>
              </w:rPr>
              <w:t>MEASURE</w:t>
            </w:r>
          </w:p>
        </w:tc>
        <w:tc>
          <w:tcPr>
            <w:tcW w:w="3500" w:type="pct"/>
            <w:shd w:val="clear" w:fill="2B1F5E"/>
            <w:tcMar>
              <w:top w:w="100" w:type="dxa"/>
              <w:start w:w="150" w:type="dxa"/>
              <w:bottom w:w="100" w:type="dxa"/>
              <w:end w:w="150" w:type="dxa"/>
            </w:tcMar>
          </w:tcPr>
          <w:p>
            <w:pPr>
              <w:spacing w:before="0" w:after="0"/>
            </w:pPr>
            <w:r/>
            <w:r>
              <w:rPr>
                <w:rFonts w:ascii="Arial" w:hAnsi="Arial"/>
                <w:b/>
                <w:color w:val="FFFFFF"/>
                <w:sz w:val="15"/>
                <w:spacing w:val="26"/>
              </w:rPr>
              <w:t>HOW IT IS CAPTURED</w:t>
            </w:r>
          </w:p>
        </w:tc>
      </w:tr>
      <w:tr>
        <w:tc>
          <w:tcPr>
            <w:tcW w:w="15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color w:val="2B1F5E"/>
                <w:sz w:val="19"/>
              </w:rPr>
              <w:t>Activation</w:t>
            </w:r>
          </w:p>
        </w:tc>
        <w:tc>
          <w:tcPr>
            <w:tcW w:w="35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Learners who complete setup and record at least one answer</w:t>
            </w:r>
          </w:p>
        </w:tc>
      </w:tr>
      <w:tr>
        <w:tc>
          <w:tcPr>
            <w:tcW w:w="15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color w:val="2B1F5E"/>
                <w:sz w:val="19"/>
              </w:rPr>
              <w:t>Participation</w:t>
            </w:r>
          </w:p>
        </w:tc>
        <w:tc>
          <w:tcPr>
            <w:tcW w:w="35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Learners active in each of the four weeks</w:t>
            </w:r>
          </w:p>
        </w:tc>
      </w:tr>
      <w:tr>
        <w:tc>
          <w:tcPr>
            <w:tcW w:w="15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color w:val="2B1F5E"/>
                <w:sz w:val="19"/>
              </w:rPr>
              <w:t>Speaking activities</w:t>
            </w:r>
          </w:p>
        </w:tc>
        <w:tc>
          <w:tcPr>
            <w:tcW w:w="35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Count of workplace scenarios and interview coaches completed</w:t>
            </w:r>
          </w:p>
        </w:tc>
      </w:tr>
      <w:tr>
        <w:tc>
          <w:tcPr>
            <w:tcW w:w="15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color w:val="2B1F5E"/>
                <w:sz w:val="19"/>
              </w:rPr>
              <w:t>Recurring usage</w:t>
            </w:r>
          </w:p>
        </w:tc>
        <w:tc>
          <w:tcPr>
            <w:tcW w:w="35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Learners returning in week 2, 3 and 4 — the honest retention number</w:t>
            </w:r>
          </w:p>
        </w:tc>
      </w:tr>
      <w:tr>
        <w:tc>
          <w:tcPr>
            <w:tcW w:w="15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color w:val="2B1F5E"/>
                <w:sz w:val="19"/>
              </w:rPr>
              <w:t>Coverage change</w:t>
            </w:r>
          </w:p>
        </w:tc>
        <w:tc>
          <w:tcPr>
            <w:tcW w:w="35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Baseline answer versus closing answer on the same task</w:t>
            </w:r>
          </w:p>
        </w:tc>
      </w:tr>
      <w:tr>
        <w:tc>
          <w:tcPr>
            <w:tcW w:w="15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color w:val="2B1F5E"/>
                <w:sz w:val="19"/>
              </w:rPr>
              <w:t>Learner feedback</w:t>
            </w:r>
          </w:p>
        </w:tc>
        <w:tc>
          <w:tcPr>
            <w:tcW w:w="35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The week-4 survey in Appendix B</w:t>
            </w:r>
          </w:p>
        </w:tc>
      </w:tr>
      <w:tr>
        <w:tc>
          <w:tcPr>
            <w:tcW w:w="15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color w:val="2B1F5E"/>
                <w:sz w:val="19"/>
              </w:rPr>
              <w:t>Instructor observations</w:t>
            </w:r>
          </w:p>
        </w:tc>
        <w:tc>
          <w:tcPr>
            <w:tcW w:w="35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The sheet in Appendix A, at midpoint and at the end</w:t>
            </w:r>
          </w:p>
        </w:tc>
      </w:tr>
    </w:tbl>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9978"/>
      </w:tblGrid>
      <w:tr>
        <w:tc>
          <w:tcPr>
            <w:tcW w:w="5000" w:type="pct"/>
            <w:tcBorders>
              <w:top w:val="single" w:sz="6" w:space="0" w:color="F2C9C9"/>
              <w:left w:val="single" w:sz="6" w:space="0" w:color="F2C9C9"/>
              <w:bottom w:val="single" w:sz="6" w:space="0" w:color="F2C9C9"/>
              <w:right w:val="single" w:sz="6" w:space="0" w:color="F2C9C9"/>
            </w:tcBorders>
            <w:shd w:val="clear" w:fill="FDEEEE"/>
            <w:tcMar>
              <w:top w:w="140" w:type="dxa"/>
              <w:start w:w="170" w:type="dxa"/>
              <w:bottom w:w="140" w:type="dxa"/>
              <w:end w:w="170" w:type="dxa"/>
            </w:tcMar>
          </w:tcPr>
          <w:p>
            <w:pPr>
              <w:spacing w:after="80"/>
            </w:pPr>
            <w:r/>
            <w:r>
              <w:rPr>
                <w:rFonts w:ascii="Arial" w:hAnsi="Arial"/>
                <w:b/>
                <w:color w:val="A32B2B"/>
                <w:sz w:val="15"/>
                <w:spacing w:val="30"/>
              </w:rPr>
              <w:t>READ BEFORE THE NUMBERS ARRIVE</w:t>
            </w:r>
          </w:p>
          <w:p>
            <w:pPr>
              <w:spacing w:before="0" w:after="0" w:line="331" w:lineRule="auto"/>
            </w:pPr>
            <w:r>
              <w:rPr>
                <w:rFonts w:ascii="Arial" w:hAnsi="Arial"/>
                <w:b/>
                <w:color w:val="2B1F5E"/>
                <w:sz w:val="19"/>
              </w:rPr>
              <w:t xml:space="preserve">Some learners will not finish, and the report will say so. </w:t>
            </w:r>
            <w:r>
              <w:rPr>
                <w:rFonts w:ascii="Arial" w:hAnsi="Arial"/>
                <w:b w:val="0"/>
                <w:color w:val="3A3A46"/>
                <w:sz w:val="19"/>
              </w:rPr>
              <w:t>A pilot that reports honest attrition is worth more to both sides than one that quietly counts only the people who stayed — and it is the only kind either of us can show to a third party without being caught out.</w:t>
            </w:r>
          </w:p>
        </w:tc>
      </w:tr>
    </w:tbl>
    <w:p>
      <w:pPr>
        <w:spacing w:before="220" w:after="40" w:line="317" w:lineRule="auto"/>
      </w:pPr>
      <w:r>
        <w:rPr>
          <w:rFonts w:ascii="Arial" w:hAnsi="Arial"/>
          <w:b/>
          <w:i w:val="0"/>
          <w:color w:val="4A32DC"/>
          <w:sz w:val="15"/>
          <w:spacing w:val="30"/>
        </w:rPr>
        <w:t>06</w:t>
      </w:r>
    </w:p>
    <w:p>
      <w:pPr>
        <w:spacing w:before="0" w:after="100" w:line="264" w:lineRule="auto"/>
        <w:pBdr>
          <w:bottom w:val="single" w:sz="10" w:space="4" w:color="4A32DC"/>
        </w:pBdr>
        <w:keepNext/>
      </w:pPr>
      <w:r>
        <w:rPr>
          <w:rFonts w:ascii="Arial" w:hAnsi="Arial"/>
          <w:b/>
          <w:i w:val="0"/>
          <w:color w:val="2B1F5E"/>
          <w:sz w:val="30"/>
        </w:rPr>
        <w:t>Ground rules</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4893"/>
        <w:gridCol w:w="193"/>
        <w:gridCol w:w="4893"/>
      </w:tblGrid>
      <w:tr>
        <w:tc>
          <w:tcPr>
            <w:tcW w:w="2452" w:type="pct"/>
            <w:tcBorders>
              <w:top w:val="single" w:sz="6" w:space="0" w:color="DDD9F5"/>
              <w:left w:val="single" w:sz="6" w:space="0" w:color="DDD9F5"/>
              <w:bottom w:val="single" w:sz="6" w:space="0" w:color="DDD9F5"/>
              <w:right w:val="single" w:sz="6" w:space="0" w:color="DDD9F5"/>
            </w:tcBorders>
            <w:shd w:val="clear" w:fill="F6F5FD"/>
            <w:tcMar>
              <w:top w:w="140" w:type="dxa"/>
              <w:start w:w="160" w:type="dxa"/>
              <w:bottom w:w="140" w:type="dxa"/>
              <w:end w:w="160" w:type="dxa"/>
            </w:tcMar>
            <w:vAlign w:val="top"/>
          </w:tcPr>
          <w:p>
            <w:pPr>
              <w:spacing w:before="0" w:after="60" w:line="283" w:lineRule="auto"/>
            </w:pPr>
            <w:r/>
            <w:r>
              <w:rPr>
                <w:rFonts w:ascii="Arial" w:hAnsi="Arial"/>
                <w:b/>
                <w:color w:val="2B1F5E"/>
                <w:sz w:val="21"/>
              </w:rPr>
              <w:t>Privacy</w:t>
            </w:r>
          </w:p>
          <w:p>
            <w:pPr>
              <w:spacing w:before="0" w:after="0" w:line="317" w:lineRule="auto"/>
            </w:pPr>
            <w:r>
              <w:rPr>
                <w:rFonts w:ascii="Arial" w:hAnsi="Arial"/>
                <w:color w:val="3A3A46"/>
                <w:sz w:val="18"/>
              </w:rPr>
              <w:t>Recordings stay on the learner's own device. Only the clip being scored is sent for transcription. No learner personal data is shared with any third party, and no recording is ever sent to the academy.</w:t>
            </w:r>
          </w:p>
        </w:tc>
        <w:tc>
          <w:tcPr>
            <w:tcW w:w="97" w:type="pct"/>
          </w:tcPr>
          <w:p/>
        </w:tc>
        <w:tc>
          <w:tcPr>
            <w:tcW w:w="2452" w:type="pct"/>
            <w:tcBorders>
              <w:top w:val="single" w:sz="6" w:space="0" w:color="DDD9F5"/>
              <w:left w:val="single" w:sz="6" w:space="0" w:color="DDD9F5"/>
              <w:bottom w:val="single" w:sz="6" w:space="0" w:color="DDD9F5"/>
              <w:right w:val="single" w:sz="6" w:space="0" w:color="DDD9F5"/>
            </w:tcBorders>
            <w:shd w:val="clear" w:fill="F6F5FD"/>
            <w:tcMar>
              <w:top w:w="140" w:type="dxa"/>
              <w:start w:w="160" w:type="dxa"/>
              <w:bottom w:w="140" w:type="dxa"/>
              <w:end w:w="160" w:type="dxa"/>
            </w:tcMar>
            <w:vAlign w:val="top"/>
          </w:tcPr>
          <w:p>
            <w:pPr>
              <w:spacing w:before="0" w:after="60" w:line="283" w:lineRule="auto"/>
            </w:pPr>
            <w:r/>
            <w:r>
              <w:rPr>
                <w:rFonts w:ascii="Arial" w:hAnsi="Arial"/>
                <w:b/>
                <w:color w:val="2B1F5E"/>
                <w:sz w:val="21"/>
              </w:rPr>
              <w:t>Publication</w:t>
            </w:r>
          </w:p>
          <w:p>
            <w:pPr>
              <w:spacing w:before="0" w:after="0" w:line="317" w:lineRule="auto"/>
            </w:pPr>
            <w:r>
              <w:rPr>
                <w:rFonts w:ascii="Arial" w:hAnsi="Arial"/>
                <w:color w:val="3A3A46"/>
                <w:sz w:val="18"/>
              </w:rPr>
              <w:t>Nothing is published, quoted or shown to another organisation without the sponsor's written approval — including the academy's name.</w:t>
            </w:r>
          </w:p>
        </w:tc>
      </w:tr>
      <w:tr>
        <w:trPr>
          <w:trHeight w:val="193"/>
        </w:trPr>
        <w:tc>
          <w:tcPr>
            <w:tcW w:w="2452" w:type="pct"/>
            <w:tcMar>
              <w:top w:w="0" w:type="dxa"/>
              <w:start w:w="0" w:type="dxa"/>
              <w:bottom w:w="0" w:type="dxa"/>
              <w:end w:w="0" w:type="dxa"/>
            </w:tcMar>
          </w:tcPr>
          <w:p>
            <w:pPr>
              <w:spacing w:after="0"/>
            </w:pPr>
            <w:r>
              <w:rPr>
                <w:sz w:val="2"/>
              </w:rPr>
            </w:r>
          </w:p>
        </w:tc>
        <w:tc>
          <w:tcPr>
            <w:tcW w:w="97" w:type="pct"/>
            <w:tcMar>
              <w:top w:w="0" w:type="dxa"/>
              <w:start w:w="0" w:type="dxa"/>
              <w:bottom w:w="0" w:type="dxa"/>
              <w:end w:w="0" w:type="dxa"/>
            </w:tcMar>
          </w:tcPr>
          <w:p>
            <w:pPr>
              <w:spacing w:after="0"/>
            </w:pPr>
            <w:r>
              <w:rPr>
                <w:sz w:val="2"/>
              </w:rPr>
            </w:r>
          </w:p>
        </w:tc>
        <w:tc>
          <w:tcPr>
            <w:tcW w:w="2452" w:type="pct"/>
            <w:tcMar>
              <w:top w:w="0" w:type="dxa"/>
              <w:start w:w="0" w:type="dxa"/>
              <w:bottom w:w="0" w:type="dxa"/>
              <w:end w:w="0" w:type="dxa"/>
            </w:tcMar>
          </w:tcPr>
          <w:p>
            <w:pPr>
              <w:spacing w:after="0"/>
            </w:pPr>
            <w:r>
              <w:rPr>
                <w:sz w:val="2"/>
              </w:rPr>
            </w:r>
          </w:p>
        </w:tc>
      </w:tr>
      <w:tr>
        <w:tc>
          <w:tcPr>
            <w:tcW w:w="2452" w:type="pct"/>
            <w:tcBorders>
              <w:top w:val="single" w:sz="6" w:space="0" w:color="DDD9F5"/>
              <w:left w:val="single" w:sz="6" w:space="0" w:color="DDD9F5"/>
              <w:bottom w:val="single" w:sz="6" w:space="0" w:color="DDD9F5"/>
              <w:right w:val="single" w:sz="6" w:space="0" w:color="DDD9F5"/>
            </w:tcBorders>
            <w:shd w:val="clear" w:fill="F6F5FD"/>
            <w:tcMar>
              <w:top w:w="140" w:type="dxa"/>
              <w:start w:w="160" w:type="dxa"/>
              <w:bottom w:w="140" w:type="dxa"/>
              <w:end w:w="160" w:type="dxa"/>
            </w:tcMar>
            <w:vAlign w:val="top"/>
          </w:tcPr>
          <w:p>
            <w:pPr>
              <w:spacing w:before="0" w:after="60" w:line="283" w:lineRule="auto"/>
            </w:pPr>
            <w:r/>
            <w:r>
              <w:rPr>
                <w:rFonts w:ascii="Arial" w:hAnsi="Arial"/>
                <w:b/>
                <w:color w:val="2B1F5E"/>
                <w:sz w:val="21"/>
              </w:rPr>
              <w:t>Support</w:t>
            </w:r>
          </w:p>
          <w:p>
            <w:pPr>
              <w:spacing w:before="0" w:after="0" w:line="317" w:lineRule="auto"/>
            </w:pPr>
            <w:r>
              <w:rPr>
                <w:rFonts w:ascii="Arial" w:hAnsi="Arial"/>
                <w:color w:val="3A3A46"/>
                <w:sz w:val="18"/>
              </w:rPr>
              <w:t>All learner support runs through the Lomonec pilot lead, not through academy staff. Instructors are asked for observations, not for help-desk duty.</w:t>
            </w:r>
          </w:p>
        </w:tc>
        <w:tc>
          <w:tcPr>
            <w:tcW w:w="97" w:type="pct"/>
          </w:tcPr>
          <w:p/>
        </w:tc>
        <w:tc>
          <w:tcPr>
            <w:tcW w:w="2452" w:type="pct"/>
            <w:tcBorders>
              <w:top w:val="single" w:sz="6" w:space="0" w:color="DDD9F5"/>
              <w:left w:val="single" w:sz="6" w:space="0" w:color="DDD9F5"/>
              <w:bottom w:val="single" w:sz="6" w:space="0" w:color="DDD9F5"/>
              <w:right w:val="single" w:sz="6" w:space="0" w:color="DDD9F5"/>
            </w:tcBorders>
            <w:shd w:val="clear" w:fill="F6F5FD"/>
            <w:tcMar>
              <w:top w:w="140" w:type="dxa"/>
              <w:start w:w="160" w:type="dxa"/>
              <w:bottom w:w="140" w:type="dxa"/>
              <w:end w:w="160" w:type="dxa"/>
            </w:tcMar>
            <w:vAlign w:val="top"/>
          </w:tcPr>
          <w:p>
            <w:pPr>
              <w:spacing w:before="0" w:after="60" w:line="283" w:lineRule="auto"/>
            </w:pPr>
            <w:r/>
            <w:r>
              <w:rPr>
                <w:rFonts w:ascii="Arial" w:hAnsi="Arial"/>
                <w:b/>
                <w:color w:val="2B1F5E"/>
                <w:sz w:val="21"/>
              </w:rPr>
              <w:t>Ending early</w:t>
            </w:r>
          </w:p>
          <w:p>
            <w:pPr>
              <w:spacing w:before="0" w:after="0" w:line="317" w:lineRule="auto"/>
            </w:pPr>
            <w:r>
              <w:rPr>
                <w:rFonts w:ascii="Arial" w:hAnsi="Arial"/>
                <w:color w:val="3A3A46"/>
                <w:sz w:val="18"/>
              </w:rPr>
              <w:t>Either side can stop the pilot at any point, for any reason, with no cost and no obligation. Learners keep their access for 30 days afterwards regardless.</w:t>
            </w:r>
          </w:p>
        </w:tc>
      </w:tr>
    </w:tbl>
    <w:p>
      <w:r>
        <w:br w:type="page"/>
      </w:r>
    </w:p>
    <w:p>
      <w:pPr>
        <w:spacing w:before="0" w:after="0"/>
      </w:pPr>
      <w:r>
        <w:rPr>
          <w:sz w:val="20"/>
        </w:rPr>
      </w:r>
    </w:p>
    <w:p>
      <w:pPr>
        <w:spacing w:before="220" w:after="40" w:line="317" w:lineRule="auto"/>
      </w:pPr>
      <w:r>
        <w:rPr>
          <w:rFonts w:ascii="Arial" w:hAnsi="Arial"/>
          <w:b/>
          <w:i w:val="0"/>
          <w:color w:val="4A32DC"/>
          <w:sz w:val="15"/>
          <w:spacing w:val="30"/>
        </w:rPr>
        <w:t>A</w:t>
      </w:r>
    </w:p>
    <w:p>
      <w:pPr>
        <w:spacing w:before="0" w:after="100" w:line="264" w:lineRule="auto"/>
        <w:pBdr>
          <w:bottom w:val="single" w:sz="10" w:space="4" w:color="4A32DC"/>
        </w:pBdr>
        <w:keepNext/>
      </w:pPr>
      <w:r>
        <w:rPr>
          <w:rFonts w:ascii="Arial" w:hAnsi="Arial"/>
          <w:b/>
          <w:i w:val="0"/>
          <w:color w:val="2B1F5E"/>
          <w:sz w:val="30"/>
        </w:rPr>
        <w:t>Appendix A · Instructor observation sheet</w:t>
      </w:r>
    </w:p>
    <w:p>
      <w:pPr>
        <w:spacing w:before="0" w:after="160" w:line="324" w:lineRule="auto"/>
      </w:pPr>
      <w:r>
        <w:rPr>
          <w:rFonts w:ascii="Arial" w:hAnsi="Arial"/>
          <w:b w:val="0"/>
          <w:i w:val="0"/>
          <w:color w:val="6B7083"/>
          <w:sz w:val="19"/>
        </w:rPr>
        <w:t>Ten minutes, twice: once at the midpoint of week 2, once at the end of week 4. Written by the cohort instructor, in whichever language they prefer.</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5189"/>
        <w:gridCol w:w="4789"/>
      </w:tblGrid>
      <w:tr>
        <w:tc>
          <w:tcPr>
            <w:tcW w:w="2600" w:type="pct"/>
            <w:tcBorders>
              <w:top w:val="single" w:sz="4" w:space="0" w:color="E4E1F6"/>
              <w:left w:val="single" w:sz="4" w:space="0" w:color="E4E1F6"/>
              <w:bottom w:val="single" w:sz="4" w:space="0" w:color="E4E1F6"/>
              <w:right w:val="single" w:sz="4" w:space="0" w:color="E4E1F6"/>
            </w:tcBorders>
            <w:shd w:val="clear" w:fill="F6F5FD"/>
            <w:tcMar>
              <w:top w:w="110" w:type="dxa"/>
              <w:start w:w="150" w:type="dxa"/>
              <w:bottom w:w="110" w:type="dxa"/>
              <w:end w:w="150" w:type="dxa"/>
            </w:tcMar>
          </w:tcPr>
          <w:p>
            <w:pPr>
              <w:spacing w:before="0" w:after="0" w:line="298" w:lineRule="auto"/>
            </w:pPr>
            <w:r/>
            <w:r>
              <w:rPr>
                <w:rFonts w:ascii="Arial" w:hAnsi="Arial"/>
                <w:color w:val="2B1F5E"/>
                <w:sz w:val="19"/>
              </w:rPr>
              <w:t>Cohort / programme, and date of this observation</w:t>
            </w:r>
          </w:p>
        </w:tc>
        <w:tc>
          <w:tcPr>
            <w:tcW w:w="2400" w:type="pct"/>
            <w:tcBorders>
              <w:top w:val="single" w:sz="4" w:space="0" w:color="E4E1F6"/>
              <w:left w:val="single" w:sz="4" w:space="0" w:color="E4E1F6"/>
              <w:bottom w:val="single" w:sz="4" w:space="0" w:color="E4E1F6"/>
              <w:right w:val="single" w:sz="4" w:space="0" w:color="E4E1F6"/>
            </w:tcBorders>
            <w:shd w:val="clear" w:fill="F6F5FD"/>
            <w:tcMar>
              <w:top w:w="110" w:type="dxa"/>
              <w:start w:w="150" w:type="dxa"/>
              <w:bottom w:w="110" w:type="dxa"/>
              <w:end w:w="150" w:type="dxa"/>
            </w:tcMar>
          </w:tcPr>
          <w:p>
            <w:pPr>
              <w:spacing w:before="0" w:after="60" w:line="384" w:lineRule="auto"/>
            </w:pPr>
            <w:r/>
            <w:r>
              <w:rPr>
                <w:rFonts w:ascii="Arial" w:hAnsi="Arial"/>
                <w:sz w:val="20"/>
              </w:rPr>
              <w:t xml:space="preserve"> </w:t>
            </w:r>
          </w:p>
          <w:p>
            <w:pPr>
              <w:spacing w:before="0" w:after="60" w:line="384" w:lineRule="auto"/>
            </w:pPr>
            <w:r>
              <w:rPr>
                <w:rFonts w:ascii="Arial" w:hAnsi="Arial"/>
                <w:sz w:val="20"/>
              </w:rPr>
              <w:t xml:space="preserve"> </w:t>
            </w:r>
          </w:p>
          <w:p>
            <w:pPr>
              <w:spacing w:before="0" w:after="60" w:line="384" w:lineRule="auto"/>
            </w:pPr>
            <w:r>
              <w:rPr>
                <w:rFonts w:ascii="Arial" w:hAnsi="Arial"/>
                <w:sz w:val="20"/>
              </w:rPr>
              <w:t xml:space="preserve"> </w:t>
            </w:r>
          </w:p>
          <w:p>
            <w:pPr>
              <w:spacing w:before="0" w:after="60" w:line="384" w:lineRule="auto"/>
            </w:pPr>
            <w:r>
              <w:rPr>
                <w:rFonts w:ascii="Arial" w:hAnsi="Arial"/>
                <w:sz w:val="20"/>
              </w:rPr>
              <w:t xml:space="preserve"> </w:t>
            </w:r>
          </w:p>
        </w:tc>
      </w:tr>
      <w:tr>
        <w:tc>
          <w:tcPr>
            <w:tcW w:w="2600" w:type="pct"/>
            <w:tcBorders>
              <w:top w:val="single" w:sz="4" w:space="0" w:color="E4E1F6"/>
              <w:left w:val="single" w:sz="4" w:space="0" w:color="E4E1F6"/>
              <w:bottom w:val="single" w:sz="4" w:space="0" w:color="E4E1F6"/>
              <w:right w:val="single" w:sz="4" w:space="0" w:color="E4E1F6"/>
            </w:tcBorders>
            <w:shd w:val="clear" w:fill="FFFFFF"/>
            <w:tcMar>
              <w:top w:w="110" w:type="dxa"/>
              <w:start w:w="150" w:type="dxa"/>
              <w:bottom w:w="110" w:type="dxa"/>
              <w:end w:w="150" w:type="dxa"/>
            </w:tcMar>
          </w:tcPr>
          <w:p>
            <w:pPr>
              <w:spacing w:before="0" w:after="0" w:line="298" w:lineRule="auto"/>
            </w:pPr>
            <w:r/>
            <w:r>
              <w:rPr>
                <w:rFonts w:ascii="Arial" w:hAnsi="Arial"/>
                <w:color w:val="2B1F5E"/>
                <w:sz w:val="19"/>
              </w:rPr>
              <w:t>Have you heard any learner mention the app unprompted? What did they say?</w:t>
            </w:r>
          </w:p>
        </w:tc>
        <w:tc>
          <w:tcPr>
            <w:tcW w:w="2400" w:type="pct"/>
            <w:tcBorders>
              <w:top w:val="single" w:sz="4" w:space="0" w:color="E4E1F6"/>
              <w:left w:val="single" w:sz="4" w:space="0" w:color="E4E1F6"/>
              <w:bottom w:val="single" w:sz="4" w:space="0" w:color="E4E1F6"/>
              <w:right w:val="single" w:sz="4" w:space="0" w:color="E4E1F6"/>
            </w:tcBorders>
            <w:shd w:val="clear" w:fill="FFFFFF"/>
            <w:tcMar>
              <w:top w:w="110" w:type="dxa"/>
              <w:start w:w="150" w:type="dxa"/>
              <w:bottom w:w="110" w:type="dxa"/>
              <w:end w:w="150" w:type="dxa"/>
            </w:tcMar>
          </w:tcPr>
          <w:p>
            <w:pPr>
              <w:spacing w:before="0" w:after="60" w:line="384" w:lineRule="auto"/>
            </w:pPr>
            <w:r/>
            <w:r>
              <w:rPr>
                <w:rFonts w:ascii="Arial" w:hAnsi="Arial"/>
                <w:sz w:val="20"/>
              </w:rPr>
              <w:t xml:space="preserve"> </w:t>
            </w:r>
          </w:p>
          <w:p>
            <w:pPr>
              <w:spacing w:before="0" w:after="60" w:line="384" w:lineRule="auto"/>
            </w:pPr>
            <w:r>
              <w:rPr>
                <w:rFonts w:ascii="Arial" w:hAnsi="Arial"/>
                <w:sz w:val="20"/>
              </w:rPr>
              <w:t xml:space="preserve"> </w:t>
            </w:r>
          </w:p>
          <w:p>
            <w:pPr>
              <w:spacing w:before="0" w:after="60" w:line="384" w:lineRule="auto"/>
            </w:pPr>
            <w:r>
              <w:rPr>
                <w:rFonts w:ascii="Arial" w:hAnsi="Arial"/>
                <w:sz w:val="20"/>
              </w:rPr>
              <w:t xml:space="preserve"> </w:t>
            </w:r>
          </w:p>
          <w:p>
            <w:pPr>
              <w:spacing w:before="0" w:after="60" w:line="384" w:lineRule="auto"/>
            </w:pPr>
            <w:r>
              <w:rPr>
                <w:rFonts w:ascii="Arial" w:hAnsi="Arial"/>
                <w:sz w:val="20"/>
              </w:rPr>
              <w:t xml:space="preserve"> </w:t>
            </w:r>
          </w:p>
        </w:tc>
      </w:tr>
      <w:tr>
        <w:tc>
          <w:tcPr>
            <w:tcW w:w="2600" w:type="pct"/>
            <w:tcBorders>
              <w:top w:val="single" w:sz="4" w:space="0" w:color="E4E1F6"/>
              <w:left w:val="single" w:sz="4" w:space="0" w:color="E4E1F6"/>
              <w:bottom w:val="single" w:sz="4" w:space="0" w:color="E4E1F6"/>
              <w:right w:val="single" w:sz="4" w:space="0" w:color="E4E1F6"/>
            </w:tcBorders>
            <w:shd w:val="clear" w:fill="F6F5FD"/>
            <w:tcMar>
              <w:top w:w="110" w:type="dxa"/>
              <w:start w:w="150" w:type="dxa"/>
              <w:bottom w:w="110" w:type="dxa"/>
              <w:end w:w="150" w:type="dxa"/>
            </w:tcMar>
          </w:tcPr>
          <w:p>
            <w:pPr>
              <w:spacing w:before="0" w:after="0" w:line="298" w:lineRule="auto"/>
            </w:pPr>
            <w:r/>
            <w:r>
              <w:rPr>
                <w:rFonts w:ascii="Arial" w:hAnsi="Arial"/>
                <w:color w:val="2B1F5E"/>
                <w:sz w:val="19"/>
              </w:rPr>
              <w:t>Has anyone's spoken English noticeably changed in class? Who, and how?</w:t>
            </w:r>
          </w:p>
        </w:tc>
        <w:tc>
          <w:tcPr>
            <w:tcW w:w="2400" w:type="pct"/>
            <w:tcBorders>
              <w:top w:val="single" w:sz="4" w:space="0" w:color="E4E1F6"/>
              <w:left w:val="single" w:sz="4" w:space="0" w:color="E4E1F6"/>
              <w:bottom w:val="single" w:sz="4" w:space="0" w:color="E4E1F6"/>
              <w:right w:val="single" w:sz="4" w:space="0" w:color="E4E1F6"/>
            </w:tcBorders>
            <w:shd w:val="clear" w:fill="F6F5FD"/>
            <w:tcMar>
              <w:top w:w="110" w:type="dxa"/>
              <w:start w:w="150" w:type="dxa"/>
              <w:bottom w:w="110" w:type="dxa"/>
              <w:end w:w="150" w:type="dxa"/>
            </w:tcMar>
          </w:tcPr>
          <w:p>
            <w:pPr>
              <w:spacing w:before="0" w:after="60" w:line="384" w:lineRule="auto"/>
            </w:pPr>
            <w:r/>
            <w:r>
              <w:rPr>
                <w:rFonts w:ascii="Arial" w:hAnsi="Arial"/>
                <w:sz w:val="20"/>
              </w:rPr>
              <w:t xml:space="preserve"> </w:t>
            </w:r>
          </w:p>
          <w:p>
            <w:pPr>
              <w:spacing w:before="0" w:after="60" w:line="384" w:lineRule="auto"/>
            </w:pPr>
            <w:r>
              <w:rPr>
                <w:rFonts w:ascii="Arial" w:hAnsi="Arial"/>
                <w:sz w:val="20"/>
              </w:rPr>
              <w:t xml:space="preserve"> </w:t>
            </w:r>
          </w:p>
          <w:p>
            <w:pPr>
              <w:spacing w:before="0" w:after="60" w:line="384" w:lineRule="auto"/>
            </w:pPr>
            <w:r>
              <w:rPr>
                <w:rFonts w:ascii="Arial" w:hAnsi="Arial"/>
                <w:sz w:val="20"/>
              </w:rPr>
              <w:t xml:space="preserve"> </w:t>
            </w:r>
          </w:p>
          <w:p>
            <w:pPr>
              <w:spacing w:before="0" w:after="60" w:line="384" w:lineRule="auto"/>
            </w:pPr>
            <w:r>
              <w:rPr>
                <w:rFonts w:ascii="Arial" w:hAnsi="Arial"/>
                <w:sz w:val="20"/>
              </w:rPr>
              <w:t xml:space="preserve"> </w:t>
            </w:r>
          </w:p>
        </w:tc>
      </w:tr>
      <w:tr>
        <w:tc>
          <w:tcPr>
            <w:tcW w:w="2600" w:type="pct"/>
            <w:tcBorders>
              <w:top w:val="single" w:sz="4" w:space="0" w:color="E4E1F6"/>
              <w:left w:val="single" w:sz="4" w:space="0" w:color="E4E1F6"/>
              <w:bottom w:val="single" w:sz="4" w:space="0" w:color="E4E1F6"/>
              <w:right w:val="single" w:sz="4" w:space="0" w:color="E4E1F6"/>
            </w:tcBorders>
            <w:shd w:val="clear" w:fill="FFFFFF"/>
            <w:tcMar>
              <w:top w:w="110" w:type="dxa"/>
              <w:start w:w="150" w:type="dxa"/>
              <w:bottom w:w="110" w:type="dxa"/>
              <w:end w:w="150" w:type="dxa"/>
            </w:tcMar>
          </w:tcPr>
          <w:p>
            <w:pPr>
              <w:spacing w:before="0" w:after="0" w:line="298" w:lineRule="auto"/>
            </w:pPr>
            <w:r/>
            <w:r>
              <w:rPr>
                <w:rFonts w:ascii="Arial" w:hAnsi="Arial"/>
                <w:color w:val="2B1F5E"/>
                <w:sz w:val="19"/>
              </w:rPr>
              <w:t>Who has gone quiet, and do you know why?</w:t>
            </w:r>
          </w:p>
        </w:tc>
        <w:tc>
          <w:tcPr>
            <w:tcW w:w="2400" w:type="pct"/>
            <w:tcBorders>
              <w:top w:val="single" w:sz="4" w:space="0" w:color="E4E1F6"/>
              <w:left w:val="single" w:sz="4" w:space="0" w:color="E4E1F6"/>
              <w:bottom w:val="single" w:sz="4" w:space="0" w:color="E4E1F6"/>
              <w:right w:val="single" w:sz="4" w:space="0" w:color="E4E1F6"/>
            </w:tcBorders>
            <w:shd w:val="clear" w:fill="FFFFFF"/>
            <w:tcMar>
              <w:top w:w="110" w:type="dxa"/>
              <w:start w:w="150" w:type="dxa"/>
              <w:bottom w:w="110" w:type="dxa"/>
              <w:end w:w="150" w:type="dxa"/>
            </w:tcMar>
          </w:tcPr>
          <w:p>
            <w:pPr>
              <w:spacing w:before="0" w:after="60" w:line="384" w:lineRule="auto"/>
            </w:pPr>
            <w:r/>
            <w:r>
              <w:rPr>
                <w:rFonts w:ascii="Arial" w:hAnsi="Arial"/>
                <w:sz w:val="20"/>
              </w:rPr>
              <w:t xml:space="preserve"> </w:t>
            </w:r>
          </w:p>
          <w:p>
            <w:pPr>
              <w:spacing w:before="0" w:after="60" w:line="384" w:lineRule="auto"/>
            </w:pPr>
            <w:r>
              <w:rPr>
                <w:rFonts w:ascii="Arial" w:hAnsi="Arial"/>
                <w:sz w:val="20"/>
              </w:rPr>
              <w:t xml:space="preserve"> </w:t>
            </w:r>
          </w:p>
          <w:p>
            <w:pPr>
              <w:spacing w:before="0" w:after="60" w:line="384" w:lineRule="auto"/>
            </w:pPr>
            <w:r>
              <w:rPr>
                <w:rFonts w:ascii="Arial" w:hAnsi="Arial"/>
                <w:sz w:val="20"/>
              </w:rPr>
              <w:t xml:space="preserve"> </w:t>
            </w:r>
          </w:p>
          <w:p>
            <w:pPr>
              <w:spacing w:before="0" w:after="60" w:line="384" w:lineRule="auto"/>
            </w:pPr>
            <w:r>
              <w:rPr>
                <w:rFonts w:ascii="Arial" w:hAnsi="Arial"/>
                <w:sz w:val="20"/>
              </w:rPr>
              <w:t xml:space="preserve"> </w:t>
            </w:r>
          </w:p>
        </w:tc>
      </w:tr>
      <w:tr>
        <w:tc>
          <w:tcPr>
            <w:tcW w:w="2600" w:type="pct"/>
            <w:tcBorders>
              <w:top w:val="single" w:sz="4" w:space="0" w:color="E4E1F6"/>
              <w:left w:val="single" w:sz="4" w:space="0" w:color="E4E1F6"/>
              <w:bottom w:val="single" w:sz="4" w:space="0" w:color="E4E1F6"/>
              <w:right w:val="single" w:sz="4" w:space="0" w:color="E4E1F6"/>
            </w:tcBorders>
            <w:shd w:val="clear" w:fill="F6F5FD"/>
            <w:tcMar>
              <w:top w:w="110" w:type="dxa"/>
              <w:start w:w="150" w:type="dxa"/>
              <w:bottom w:w="110" w:type="dxa"/>
              <w:end w:w="150" w:type="dxa"/>
            </w:tcMar>
          </w:tcPr>
          <w:p>
            <w:pPr>
              <w:spacing w:before="0" w:after="0" w:line="298" w:lineRule="auto"/>
            </w:pPr>
            <w:r/>
            <w:r>
              <w:rPr>
                <w:rFonts w:ascii="Arial" w:hAnsi="Arial"/>
                <w:color w:val="2B1F5E"/>
                <w:sz w:val="19"/>
              </w:rPr>
              <w:t>What is confusing learners, or what are they complaining about?</w:t>
            </w:r>
          </w:p>
        </w:tc>
        <w:tc>
          <w:tcPr>
            <w:tcW w:w="2400" w:type="pct"/>
            <w:tcBorders>
              <w:top w:val="single" w:sz="4" w:space="0" w:color="E4E1F6"/>
              <w:left w:val="single" w:sz="4" w:space="0" w:color="E4E1F6"/>
              <w:bottom w:val="single" w:sz="4" w:space="0" w:color="E4E1F6"/>
              <w:right w:val="single" w:sz="4" w:space="0" w:color="E4E1F6"/>
            </w:tcBorders>
            <w:shd w:val="clear" w:fill="F6F5FD"/>
            <w:tcMar>
              <w:top w:w="110" w:type="dxa"/>
              <w:start w:w="150" w:type="dxa"/>
              <w:bottom w:w="110" w:type="dxa"/>
              <w:end w:w="150" w:type="dxa"/>
            </w:tcMar>
          </w:tcPr>
          <w:p>
            <w:pPr>
              <w:spacing w:before="0" w:after="60" w:line="384" w:lineRule="auto"/>
            </w:pPr>
            <w:r/>
            <w:r>
              <w:rPr>
                <w:rFonts w:ascii="Arial" w:hAnsi="Arial"/>
                <w:sz w:val="20"/>
              </w:rPr>
              <w:t xml:space="preserve"> </w:t>
            </w:r>
          </w:p>
          <w:p>
            <w:pPr>
              <w:spacing w:before="0" w:after="60" w:line="384" w:lineRule="auto"/>
            </w:pPr>
            <w:r>
              <w:rPr>
                <w:rFonts w:ascii="Arial" w:hAnsi="Arial"/>
                <w:sz w:val="20"/>
              </w:rPr>
              <w:t xml:space="preserve"> </w:t>
            </w:r>
          </w:p>
          <w:p>
            <w:pPr>
              <w:spacing w:before="0" w:after="60" w:line="384" w:lineRule="auto"/>
            </w:pPr>
            <w:r>
              <w:rPr>
                <w:rFonts w:ascii="Arial" w:hAnsi="Arial"/>
                <w:sz w:val="20"/>
              </w:rPr>
              <w:t xml:space="preserve"> </w:t>
            </w:r>
          </w:p>
          <w:p>
            <w:pPr>
              <w:spacing w:before="0" w:after="60" w:line="384" w:lineRule="auto"/>
            </w:pPr>
            <w:r>
              <w:rPr>
                <w:rFonts w:ascii="Arial" w:hAnsi="Arial"/>
                <w:sz w:val="20"/>
              </w:rPr>
              <w:t xml:space="preserve"> </w:t>
            </w:r>
          </w:p>
        </w:tc>
      </w:tr>
      <w:tr>
        <w:tc>
          <w:tcPr>
            <w:tcW w:w="2600" w:type="pct"/>
            <w:tcBorders>
              <w:top w:val="single" w:sz="4" w:space="0" w:color="E4E1F6"/>
              <w:left w:val="single" w:sz="4" w:space="0" w:color="E4E1F6"/>
              <w:bottom w:val="single" w:sz="4" w:space="0" w:color="E4E1F6"/>
              <w:right w:val="single" w:sz="4" w:space="0" w:color="E4E1F6"/>
            </w:tcBorders>
            <w:shd w:val="clear" w:fill="FFFFFF"/>
            <w:tcMar>
              <w:top w:w="110" w:type="dxa"/>
              <w:start w:w="150" w:type="dxa"/>
              <w:bottom w:w="110" w:type="dxa"/>
              <w:end w:w="150" w:type="dxa"/>
            </w:tcMar>
          </w:tcPr>
          <w:p>
            <w:pPr>
              <w:spacing w:before="0" w:after="0" w:line="298" w:lineRule="auto"/>
            </w:pPr>
            <w:r/>
            <w:r>
              <w:rPr>
                <w:rFonts w:ascii="Arial" w:hAnsi="Arial"/>
                <w:color w:val="2B1F5E"/>
                <w:sz w:val="19"/>
              </w:rPr>
              <w:t>Anything a learner asked for that does not exist yet?</w:t>
            </w:r>
          </w:p>
        </w:tc>
        <w:tc>
          <w:tcPr>
            <w:tcW w:w="2400" w:type="pct"/>
            <w:tcBorders>
              <w:top w:val="single" w:sz="4" w:space="0" w:color="E4E1F6"/>
              <w:left w:val="single" w:sz="4" w:space="0" w:color="E4E1F6"/>
              <w:bottom w:val="single" w:sz="4" w:space="0" w:color="E4E1F6"/>
              <w:right w:val="single" w:sz="4" w:space="0" w:color="E4E1F6"/>
            </w:tcBorders>
            <w:shd w:val="clear" w:fill="FFFFFF"/>
            <w:tcMar>
              <w:top w:w="110" w:type="dxa"/>
              <w:start w:w="150" w:type="dxa"/>
              <w:bottom w:w="110" w:type="dxa"/>
              <w:end w:w="150" w:type="dxa"/>
            </w:tcMar>
          </w:tcPr>
          <w:p>
            <w:pPr>
              <w:spacing w:before="0" w:after="60" w:line="384" w:lineRule="auto"/>
            </w:pPr>
            <w:r/>
            <w:r>
              <w:rPr>
                <w:rFonts w:ascii="Arial" w:hAnsi="Arial"/>
                <w:sz w:val="20"/>
              </w:rPr>
              <w:t xml:space="preserve"> </w:t>
            </w:r>
          </w:p>
          <w:p>
            <w:pPr>
              <w:spacing w:before="0" w:after="60" w:line="384" w:lineRule="auto"/>
            </w:pPr>
            <w:r>
              <w:rPr>
                <w:rFonts w:ascii="Arial" w:hAnsi="Arial"/>
                <w:sz w:val="20"/>
              </w:rPr>
              <w:t xml:space="preserve"> </w:t>
            </w:r>
          </w:p>
          <w:p>
            <w:pPr>
              <w:spacing w:before="0" w:after="60" w:line="384" w:lineRule="auto"/>
            </w:pPr>
            <w:r>
              <w:rPr>
                <w:rFonts w:ascii="Arial" w:hAnsi="Arial"/>
                <w:sz w:val="20"/>
              </w:rPr>
              <w:t xml:space="preserve"> </w:t>
            </w:r>
          </w:p>
          <w:p>
            <w:pPr>
              <w:spacing w:before="0" w:after="60" w:line="384" w:lineRule="auto"/>
            </w:pPr>
            <w:r>
              <w:rPr>
                <w:rFonts w:ascii="Arial" w:hAnsi="Arial"/>
                <w:sz w:val="20"/>
              </w:rPr>
              <w:t xml:space="preserve"> </w:t>
            </w:r>
          </w:p>
        </w:tc>
      </w:tr>
      <w:tr>
        <w:tc>
          <w:tcPr>
            <w:tcW w:w="2600" w:type="pct"/>
            <w:tcBorders>
              <w:top w:val="single" w:sz="4" w:space="0" w:color="E4E1F6"/>
              <w:left w:val="single" w:sz="4" w:space="0" w:color="E4E1F6"/>
              <w:bottom w:val="single" w:sz="4" w:space="0" w:color="E4E1F6"/>
              <w:right w:val="single" w:sz="4" w:space="0" w:color="E4E1F6"/>
            </w:tcBorders>
            <w:shd w:val="clear" w:fill="F6F5FD"/>
            <w:tcMar>
              <w:top w:w="110" w:type="dxa"/>
              <w:start w:w="150" w:type="dxa"/>
              <w:bottom w:w="110" w:type="dxa"/>
              <w:end w:w="150" w:type="dxa"/>
            </w:tcMar>
          </w:tcPr>
          <w:p>
            <w:pPr>
              <w:spacing w:before="0" w:after="0" w:line="298" w:lineRule="auto"/>
            </w:pPr>
            <w:r/>
            <w:r>
              <w:rPr>
                <w:rFonts w:ascii="Arial" w:hAnsi="Arial"/>
                <w:color w:val="2B1F5E"/>
                <w:sz w:val="19"/>
              </w:rPr>
              <w:t>Would you keep this in the programme? What would have to change first?</w:t>
            </w:r>
          </w:p>
        </w:tc>
        <w:tc>
          <w:tcPr>
            <w:tcW w:w="2400" w:type="pct"/>
            <w:tcBorders>
              <w:top w:val="single" w:sz="4" w:space="0" w:color="E4E1F6"/>
              <w:left w:val="single" w:sz="4" w:space="0" w:color="E4E1F6"/>
              <w:bottom w:val="single" w:sz="4" w:space="0" w:color="E4E1F6"/>
              <w:right w:val="single" w:sz="4" w:space="0" w:color="E4E1F6"/>
            </w:tcBorders>
            <w:shd w:val="clear" w:fill="F6F5FD"/>
            <w:tcMar>
              <w:top w:w="110" w:type="dxa"/>
              <w:start w:w="150" w:type="dxa"/>
              <w:bottom w:w="110" w:type="dxa"/>
              <w:end w:w="150" w:type="dxa"/>
            </w:tcMar>
          </w:tcPr>
          <w:p>
            <w:pPr>
              <w:spacing w:before="0" w:after="60" w:line="384" w:lineRule="auto"/>
            </w:pPr>
            <w:r/>
            <w:r>
              <w:rPr>
                <w:rFonts w:ascii="Arial" w:hAnsi="Arial"/>
                <w:sz w:val="20"/>
              </w:rPr>
              <w:t xml:space="preserve"> </w:t>
            </w:r>
          </w:p>
          <w:p>
            <w:pPr>
              <w:spacing w:before="0" w:after="60" w:line="384" w:lineRule="auto"/>
            </w:pPr>
            <w:r>
              <w:rPr>
                <w:rFonts w:ascii="Arial" w:hAnsi="Arial"/>
                <w:sz w:val="20"/>
              </w:rPr>
              <w:t xml:space="preserve"> </w:t>
            </w:r>
          </w:p>
          <w:p>
            <w:pPr>
              <w:spacing w:before="0" w:after="60" w:line="384" w:lineRule="auto"/>
            </w:pPr>
            <w:r>
              <w:rPr>
                <w:rFonts w:ascii="Arial" w:hAnsi="Arial"/>
                <w:sz w:val="20"/>
              </w:rPr>
              <w:t xml:space="preserve"> </w:t>
            </w:r>
          </w:p>
          <w:p>
            <w:pPr>
              <w:spacing w:before="0" w:after="60" w:line="384" w:lineRule="auto"/>
            </w:pPr>
            <w:r>
              <w:rPr>
                <w:rFonts w:ascii="Arial" w:hAnsi="Arial"/>
                <w:sz w:val="20"/>
              </w:rPr>
              <w:t xml:space="preserve"> </w:t>
            </w:r>
          </w:p>
        </w:tc>
      </w:tr>
    </w:tbl>
    <w:p>
      <w:r>
        <w:br w:type="page"/>
      </w:r>
    </w:p>
    <w:p>
      <w:pPr>
        <w:spacing w:before="0" w:after="0"/>
      </w:pPr>
      <w:r>
        <w:rPr>
          <w:sz w:val="20"/>
        </w:rPr>
      </w:r>
    </w:p>
    <w:p>
      <w:pPr>
        <w:spacing w:before="220" w:after="40" w:line="317" w:lineRule="auto"/>
      </w:pPr>
      <w:r>
        <w:rPr>
          <w:rFonts w:ascii="Arial" w:hAnsi="Arial"/>
          <w:b/>
          <w:i w:val="0"/>
          <w:color w:val="4A32DC"/>
          <w:sz w:val="15"/>
          <w:spacing w:val="30"/>
        </w:rPr>
        <w:t>B</w:t>
      </w:r>
    </w:p>
    <w:p>
      <w:pPr>
        <w:spacing w:before="0" w:after="100" w:line="264" w:lineRule="auto"/>
        <w:pBdr>
          <w:bottom w:val="single" w:sz="10" w:space="4" w:color="4A32DC"/>
        </w:pBdr>
        <w:keepNext/>
      </w:pPr>
      <w:r>
        <w:rPr>
          <w:rFonts w:ascii="Arial" w:hAnsi="Arial"/>
          <w:b/>
          <w:i w:val="0"/>
          <w:color w:val="2B1F5E"/>
          <w:sz w:val="30"/>
        </w:rPr>
        <w:t>Appendix B · Learner feedback survey</w:t>
      </w:r>
    </w:p>
    <w:p>
      <w:pPr>
        <w:spacing w:before="0" w:after="160" w:line="324" w:lineRule="auto"/>
      </w:pPr>
      <w:r>
        <w:rPr>
          <w:rFonts w:ascii="Arial" w:hAnsi="Arial"/>
          <w:b w:val="0"/>
          <w:i w:val="0"/>
          <w:color w:val="6B7083"/>
          <w:sz w:val="19"/>
        </w:rPr>
        <w:t>Week 4, day 5. Six questions, answered anonymously. English or French.</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6186"/>
        <w:gridCol w:w="3792"/>
      </w:tblGrid>
      <w:tr>
        <w:tc>
          <w:tcPr>
            <w:tcW w:w="3100" w:type="pct"/>
            <w:shd w:val="clear" w:fill="2B1F5E"/>
            <w:tcMar>
              <w:top w:w="100" w:type="dxa"/>
              <w:start w:w="150" w:type="dxa"/>
              <w:bottom w:w="100" w:type="dxa"/>
              <w:end w:w="150" w:type="dxa"/>
            </w:tcMar>
          </w:tcPr>
          <w:p>
            <w:pPr>
              <w:spacing w:before="0" w:after="0"/>
            </w:pPr>
            <w:r/>
            <w:r>
              <w:rPr>
                <w:rFonts w:ascii="Arial" w:hAnsi="Arial"/>
                <w:b/>
                <w:color w:val="FFFFFF"/>
                <w:sz w:val="15"/>
                <w:spacing w:val="26"/>
              </w:rPr>
              <w:t>QUESTION</w:t>
            </w:r>
          </w:p>
        </w:tc>
        <w:tc>
          <w:tcPr>
            <w:tcW w:w="1900" w:type="pct"/>
            <w:shd w:val="clear" w:fill="2B1F5E"/>
            <w:tcMar>
              <w:top w:w="100" w:type="dxa"/>
              <w:start w:w="150" w:type="dxa"/>
              <w:bottom w:w="100" w:type="dxa"/>
              <w:end w:w="150" w:type="dxa"/>
            </w:tcMar>
          </w:tcPr>
          <w:p>
            <w:pPr>
              <w:spacing w:before="0" w:after="0"/>
            </w:pPr>
            <w:r/>
            <w:r>
              <w:rPr>
                <w:rFonts w:ascii="Arial" w:hAnsi="Arial"/>
                <w:b/>
                <w:color w:val="FFFFFF"/>
                <w:sz w:val="15"/>
                <w:spacing w:val="26"/>
              </w:rPr>
              <w:t>SCALE</w:t>
            </w:r>
          </w:p>
        </w:tc>
      </w:tr>
      <w:tr>
        <w:tc>
          <w:tcPr>
            <w:tcW w:w="31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color w:val="2B1F5E"/>
                <w:sz w:val="19"/>
              </w:rPr>
              <w:t>I used the app in a normal week</w:t>
            </w:r>
          </w:p>
        </w:tc>
        <w:tc>
          <w:tcPr>
            <w:tcW w:w="19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Never · 1–2 days · 3–4 days · 5+ days</w:t>
            </w:r>
          </w:p>
        </w:tc>
      </w:tr>
      <w:tr>
        <w:tc>
          <w:tcPr>
            <w:tcW w:w="31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color w:val="2B1F5E"/>
                <w:sz w:val="19"/>
              </w:rPr>
              <w:t>Speaking English at work feels easier than four weeks ago</w:t>
            </w:r>
          </w:p>
        </w:tc>
        <w:tc>
          <w:tcPr>
            <w:tcW w:w="19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1 to 5</w:t>
            </w:r>
          </w:p>
        </w:tc>
      </w:tr>
      <w:tr>
        <w:tc>
          <w:tcPr>
            <w:tcW w:w="31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color w:val="2B1F5E"/>
                <w:sz w:val="19"/>
              </w:rPr>
              <w:t>The feedback told me something I did not already know</w:t>
            </w:r>
          </w:p>
        </w:tc>
        <w:tc>
          <w:tcPr>
            <w:tcW w:w="19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1 to 5</w:t>
            </w:r>
          </w:p>
        </w:tc>
      </w:tr>
      <w:tr>
        <w:tc>
          <w:tcPr>
            <w:tcW w:w="31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color w:val="2B1F5E"/>
                <w:sz w:val="19"/>
              </w:rPr>
              <w:t>I would keep using it after the pilot</w:t>
            </w:r>
          </w:p>
        </w:tc>
        <w:tc>
          <w:tcPr>
            <w:tcW w:w="19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Yes · No · Not sure</w:t>
            </w:r>
          </w:p>
        </w:tc>
      </w:tr>
      <w:tr>
        <w:tc>
          <w:tcPr>
            <w:tcW w:w="31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color w:val="2B1F5E"/>
                <w:sz w:val="19"/>
              </w:rPr>
              <w:t>I would recommend it to a colleague</w:t>
            </w:r>
          </w:p>
        </w:tc>
        <w:tc>
          <w:tcPr>
            <w:tcW w:w="19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1 to 5</w:t>
            </w:r>
          </w:p>
        </w:tc>
      </w:tr>
    </w:tbl>
    <w:p>
      <w:pPr>
        <w:spacing w:before="0" w:after="0"/>
      </w:pPr>
      <w:r>
        <w:rPr>
          <w:sz w:val="12"/>
        </w:rPr>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5189"/>
        <w:gridCol w:w="4789"/>
      </w:tblGrid>
      <w:tr>
        <w:tc>
          <w:tcPr>
            <w:tcW w:w="2600" w:type="pct"/>
            <w:tcBorders>
              <w:top w:val="single" w:sz="4" w:space="0" w:color="E4E1F6"/>
              <w:left w:val="single" w:sz="4" w:space="0" w:color="E4E1F6"/>
              <w:bottom w:val="single" w:sz="4" w:space="0" w:color="E4E1F6"/>
              <w:right w:val="single" w:sz="4" w:space="0" w:color="E4E1F6"/>
            </w:tcBorders>
            <w:shd w:val="clear" w:fill="F6F5FD"/>
            <w:tcMar>
              <w:top w:w="110" w:type="dxa"/>
              <w:start w:w="150" w:type="dxa"/>
              <w:bottom w:w="110" w:type="dxa"/>
              <w:end w:w="150" w:type="dxa"/>
            </w:tcMar>
          </w:tcPr>
          <w:p>
            <w:pPr>
              <w:spacing w:before="0" w:after="0" w:line="298" w:lineRule="auto"/>
            </w:pPr>
            <w:r/>
            <w:r>
              <w:rPr>
                <w:rFonts w:ascii="Arial" w:hAnsi="Arial"/>
                <w:color w:val="2B1F5E"/>
                <w:sz w:val="19"/>
              </w:rPr>
              <w:t>What stopped you using it more often?</w:t>
            </w:r>
          </w:p>
        </w:tc>
        <w:tc>
          <w:tcPr>
            <w:tcW w:w="2400" w:type="pct"/>
            <w:tcBorders>
              <w:top w:val="single" w:sz="4" w:space="0" w:color="E4E1F6"/>
              <w:left w:val="single" w:sz="4" w:space="0" w:color="E4E1F6"/>
              <w:bottom w:val="single" w:sz="4" w:space="0" w:color="E4E1F6"/>
              <w:right w:val="single" w:sz="4" w:space="0" w:color="E4E1F6"/>
            </w:tcBorders>
            <w:shd w:val="clear" w:fill="F6F5FD"/>
            <w:tcMar>
              <w:top w:w="110" w:type="dxa"/>
              <w:start w:w="150" w:type="dxa"/>
              <w:bottom w:w="110" w:type="dxa"/>
              <w:end w:w="150" w:type="dxa"/>
            </w:tcMar>
          </w:tcPr>
          <w:p>
            <w:pPr>
              <w:spacing w:before="0" w:after="60" w:line="384" w:lineRule="auto"/>
            </w:pPr>
            <w:r/>
            <w:r>
              <w:rPr>
                <w:rFonts w:ascii="Arial" w:hAnsi="Arial"/>
                <w:sz w:val="20"/>
              </w:rPr>
              <w:t xml:space="preserve"> </w:t>
            </w:r>
          </w:p>
          <w:p>
            <w:pPr>
              <w:spacing w:before="0" w:after="60" w:line="384" w:lineRule="auto"/>
            </w:pPr>
            <w:r>
              <w:rPr>
                <w:rFonts w:ascii="Arial" w:hAnsi="Arial"/>
                <w:sz w:val="20"/>
              </w:rPr>
              <w:t xml:space="preserve"> </w:t>
            </w:r>
          </w:p>
          <w:p>
            <w:pPr>
              <w:spacing w:before="0" w:after="60" w:line="384" w:lineRule="auto"/>
            </w:pPr>
            <w:r>
              <w:rPr>
                <w:rFonts w:ascii="Arial" w:hAnsi="Arial"/>
                <w:sz w:val="20"/>
              </w:rPr>
              <w:t xml:space="preserve"> </w:t>
            </w:r>
          </w:p>
        </w:tc>
      </w:tr>
      <w:tr>
        <w:tc>
          <w:tcPr>
            <w:tcW w:w="2600" w:type="pct"/>
            <w:tcBorders>
              <w:top w:val="single" w:sz="4" w:space="0" w:color="E4E1F6"/>
              <w:left w:val="single" w:sz="4" w:space="0" w:color="E4E1F6"/>
              <w:bottom w:val="single" w:sz="4" w:space="0" w:color="E4E1F6"/>
              <w:right w:val="single" w:sz="4" w:space="0" w:color="E4E1F6"/>
            </w:tcBorders>
            <w:shd w:val="clear" w:fill="FFFFFF"/>
            <w:tcMar>
              <w:top w:w="110" w:type="dxa"/>
              <w:start w:w="150" w:type="dxa"/>
              <w:bottom w:w="110" w:type="dxa"/>
              <w:end w:w="150" w:type="dxa"/>
            </w:tcMar>
          </w:tcPr>
          <w:p>
            <w:pPr>
              <w:spacing w:before="0" w:after="0" w:line="298" w:lineRule="auto"/>
            </w:pPr>
            <w:r/>
            <w:r>
              <w:rPr>
                <w:rFonts w:ascii="Arial" w:hAnsi="Arial"/>
                <w:color w:val="2B1F5E"/>
                <w:sz w:val="19"/>
              </w:rPr>
              <w:t>What would you change first?</w:t>
            </w:r>
          </w:p>
        </w:tc>
        <w:tc>
          <w:tcPr>
            <w:tcW w:w="2400" w:type="pct"/>
            <w:tcBorders>
              <w:top w:val="single" w:sz="4" w:space="0" w:color="E4E1F6"/>
              <w:left w:val="single" w:sz="4" w:space="0" w:color="E4E1F6"/>
              <w:bottom w:val="single" w:sz="4" w:space="0" w:color="E4E1F6"/>
              <w:right w:val="single" w:sz="4" w:space="0" w:color="E4E1F6"/>
            </w:tcBorders>
            <w:shd w:val="clear" w:fill="FFFFFF"/>
            <w:tcMar>
              <w:top w:w="110" w:type="dxa"/>
              <w:start w:w="150" w:type="dxa"/>
              <w:bottom w:w="110" w:type="dxa"/>
              <w:end w:w="150" w:type="dxa"/>
            </w:tcMar>
          </w:tcPr>
          <w:p>
            <w:pPr>
              <w:spacing w:before="0" w:after="60" w:line="384" w:lineRule="auto"/>
            </w:pPr>
            <w:r/>
            <w:r>
              <w:rPr>
                <w:rFonts w:ascii="Arial" w:hAnsi="Arial"/>
                <w:sz w:val="20"/>
              </w:rPr>
              <w:t xml:space="preserve"> </w:t>
            </w:r>
          </w:p>
          <w:p>
            <w:pPr>
              <w:spacing w:before="0" w:after="60" w:line="384" w:lineRule="auto"/>
            </w:pPr>
            <w:r>
              <w:rPr>
                <w:rFonts w:ascii="Arial" w:hAnsi="Arial"/>
                <w:sz w:val="20"/>
              </w:rPr>
              <w:t xml:space="preserve"> </w:t>
            </w:r>
          </w:p>
          <w:p>
            <w:pPr>
              <w:spacing w:before="0" w:after="60" w:line="384" w:lineRule="auto"/>
            </w:pPr>
            <w:r>
              <w:rPr>
                <w:rFonts w:ascii="Arial" w:hAnsi="Arial"/>
                <w:sz w:val="20"/>
              </w:rPr>
              <w:t xml:space="preserve"> </w:t>
            </w:r>
          </w:p>
        </w:tc>
      </w:tr>
    </w:tbl>
    <w:p>
      <w:pPr>
        <w:spacing w:before="0" w:after="0"/>
      </w:pPr>
      <w:r>
        <w:rPr>
          <w:sz w:val="18"/>
        </w:rPr>
      </w:r>
    </w:p>
    <w:p>
      <w:pPr>
        <w:spacing w:before="220" w:after="40" w:line="317" w:lineRule="auto"/>
      </w:pPr>
      <w:r>
        <w:rPr>
          <w:rFonts w:ascii="Arial" w:hAnsi="Arial"/>
          <w:b/>
          <w:i w:val="0"/>
          <w:color w:val="4A32DC"/>
          <w:sz w:val="15"/>
          <w:spacing w:val="30"/>
        </w:rPr>
        <w:t>C</w:t>
      </w:r>
    </w:p>
    <w:p>
      <w:pPr>
        <w:spacing w:before="0" w:after="100" w:line="264" w:lineRule="auto"/>
        <w:pBdr>
          <w:bottom w:val="single" w:sz="10" w:space="4" w:color="4A32DC"/>
        </w:pBdr>
        <w:keepNext/>
      </w:pPr>
      <w:r>
        <w:rPr>
          <w:rFonts w:ascii="Arial" w:hAnsi="Arial"/>
          <w:b/>
          <w:i w:val="0"/>
          <w:color w:val="2B1F5E"/>
          <w:sz w:val="30"/>
        </w:rPr>
        <w:t>Appendix C · Baseline and closing measurement</w:t>
      </w:r>
    </w:p>
    <w:p>
      <w:pPr>
        <w:spacing w:before="0" w:after="160" w:line="331" w:lineRule="auto"/>
      </w:pPr>
      <w:r>
        <w:rPr>
          <w:rFonts w:ascii="Arial" w:hAnsi="Arial"/>
          <w:b w:val="0"/>
          <w:i w:val="0"/>
          <w:color w:val="3A3A46"/>
          <w:sz w:val="20"/>
        </w:rPr>
        <w:t>The same task, twice, four weeks apart — this is the only comparison in the pilot that shows movement in an individual learner rather than usage of an app.</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2794"/>
        <w:gridCol w:w="7184"/>
      </w:tblGrid>
      <w:tr>
        <w:tc>
          <w:tcPr>
            <w:tcW w:w="1400" w:type="pct"/>
            <w:shd w:val="clear" w:fill="2B1F5E"/>
            <w:tcMar>
              <w:top w:w="100" w:type="dxa"/>
              <w:start w:w="150" w:type="dxa"/>
              <w:bottom w:w="100" w:type="dxa"/>
              <w:end w:w="150" w:type="dxa"/>
            </w:tcMar>
          </w:tcPr>
          <w:p>
            <w:pPr>
              <w:spacing w:before="0" w:after="0"/>
            </w:pPr>
            <w:r/>
            <w:r>
              <w:rPr>
                <w:rFonts w:ascii="Arial" w:hAnsi="Arial"/>
                <w:b/>
                <w:color w:val="FFFFFF"/>
                <w:sz w:val="15"/>
                <w:spacing w:val="26"/>
              </w:rPr>
              <w:t>STEP</w:t>
            </w:r>
          </w:p>
        </w:tc>
        <w:tc>
          <w:tcPr>
            <w:tcW w:w="3600" w:type="pct"/>
            <w:shd w:val="clear" w:fill="2B1F5E"/>
            <w:tcMar>
              <w:top w:w="100" w:type="dxa"/>
              <w:start w:w="150" w:type="dxa"/>
              <w:bottom w:w="100" w:type="dxa"/>
              <w:end w:w="150" w:type="dxa"/>
            </w:tcMar>
          </w:tcPr>
          <w:p>
            <w:pPr>
              <w:spacing w:before="0" w:after="0"/>
            </w:pPr>
            <w:r/>
            <w:r>
              <w:rPr>
                <w:rFonts w:ascii="Arial" w:hAnsi="Arial"/>
                <w:b/>
                <w:color w:val="FFFFFF"/>
                <w:sz w:val="15"/>
                <w:spacing w:val="26"/>
              </w:rPr>
              <w:t>WHAT HAPPENS</w:t>
            </w:r>
          </w:p>
        </w:tc>
      </w:tr>
      <w:tr>
        <w:tc>
          <w:tcPr>
            <w:tcW w:w="14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color w:val="2B1F5E"/>
                <w:sz w:val="19"/>
              </w:rPr>
              <w:t>1 · Same scenario</w:t>
            </w:r>
          </w:p>
        </w:tc>
        <w:tc>
          <w:tcPr>
            <w:tcW w:w="36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Every learner runs the same workplace scenario in week 1 and again in week 4</w:t>
            </w:r>
          </w:p>
        </w:tc>
      </w:tr>
      <w:tr>
        <w:tc>
          <w:tcPr>
            <w:tcW w:w="14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color w:val="2B1F5E"/>
                <w:sz w:val="19"/>
              </w:rPr>
              <w:t>2 · Before practice</w:t>
            </w:r>
          </w:p>
        </w:tc>
        <w:tc>
          <w:tcPr>
            <w:tcW w:w="36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The week-1 attempt is recorded before any other activity, on induction day if possible</w:t>
            </w:r>
          </w:p>
        </w:tc>
      </w:tr>
      <w:tr>
        <w:tc>
          <w:tcPr>
            <w:tcW w:w="14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color w:val="2B1F5E"/>
                <w:sz w:val="19"/>
              </w:rPr>
              <w:t>3 · Recorded by the app</w:t>
            </w:r>
          </w:p>
        </w:tc>
        <w:tc>
          <w:tcPr>
            <w:tcW w:w="36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Coverage, the points covered and missed, and the words used are captured automatically</w:t>
            </w:r>
          </w:p>
        </w:tc>
      </w:tr>
      <w:tr>
        <w:tc>
          <w:tcPr>
            <w:tcW w:w="14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color w:val="2B1F5E"/>
                <w:sz w:val="19"/>
              </w:rPr>
              <w:t>4 · Compared per learner</w:t>
            </w:r>
          </w:p>
        </w:tc>
        <w:tc>
          <w:tcPr>
            <w:tcW w:w="36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298" w:lineRule="auto"/>
            </w:pPr>
            <w:r/>
            <w:r>
              <w:rPr>
                <w:rFonts w:ascii="Arial" w:hAnsi="Arial"/>
                <w:b w:val="0"/>
                <w:color w:val="3A3A46"/>
                <w:sz w:val="19"/>
              </w:rPr>
              <w:t>First attempt against last, learner by learner — not a cohort average hiding the spread</w:t>
            </w:r>
          </w:p>
        </w:tc>
      </w:tr>
      <w:tr>
        <w:tc>
          <w:tcPr>
            <w:tcW w:w="14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color w:val="2B1F5E"/>
                <w:sz w:val="19"/>
              </w:rPr>
              <w:t>5 · Reported with attrition</w:t>
            </w:r>
          </w:p>
        </w:tc>
        <w:tc>
          <w:tcPr>
            <w:tcW w:w="36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298" w:lineRule="auto"/>
            </w:pPr>
            <w:r/>
            <w:r>
              <w:rPr>
                <w:rFonts w:ascii="Arial" w:hAnsi="Arial"/>
                <w:b w:val="0"/>
                <w:color w:val="3A3A46"/>
                <w:sz w:val="19"/>
              </w:rPr>
              <w:t>Learners who did not complete both attempts are reported as such, never dropped</w:t>
            </w:r>
          </w:p>
        </w:tc>
      </w:tr>
    </w:tbl>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9978"/>
      </w:tblGrid>
      <w:tr>
        <w:tc>
          <w:tcPr>
            <w:tcW w:w="5000" w:type="pct"/>
            <w:tcBorders>
              <w:top w:val="single" w:sz="6" w:space="0" w:color="F0DFB4"/>
              <w:left w:val="single" w:sz="6" w:space="0" w:color="F0DFB4"/>
              <w:bottom w:val="single" w:sz="6" w:space="0" w:color="F0DFB4"/>
              <w:right w:val="single" w:sz="6" w:space="0" w:color="F0DFB4"/>
            </w:tcBorders>
            <w:shd w:val="clear" w:fill="FFF7E3"/>
            <w:tcMar>
              <w:top w:w="140" w:type="dxa"/>
              <w:start w:w="170" w:type="dxa"/>
              <w:bottom w:w="140" w:type="dxa"/>
              <w:end w:w="170" w:type="dxa"/>
            </w:tcMar>
          </w:tcPr>
          <w:p>
            <w:pPr>
              <w:spacing w:after="80"/>
            </w:pPr>
            <w:r/>
            <w:r>
              <w:rPr>
                <w:rFonts w:ascii="Arial" w:hAnsi="Arial"/>
                <w:b/>
                <w:color w:val="8A630B"/>
                <w:sz w:val="15"/>
                <w:spacing w:val="30"/>
              </w:rPr>
              <w:t>WHAT THIS MEASUREMENT IS AND IS NOT</w:t>
            </w:r>
          </w:p>
          <w:p>
            <w:pPr>
              <w:spacing w:before="0" w:after="0" w:line="331" w:lineRule="auto"/>
            </w:pPr>
            <w:r>
              <w:rPr>
                <w:rFonts w:ascii="Arial" w:hAnsi="Arial"/>
                <w:b w:val="0"/>
                <w:color w:val="3A3A46"/>
                <w:sz w:val="19"/>
              </w:rPr>
              <w:t xml:space="preserve">It measures how completely someone explained themselves in English against a model answer. </w:t>
            </w:r>
            <w:r>
              <w:rPr>
                <w:rFonts w:ascii="Arial" w:hAnsi="Arial"/>
                <w:b/>
                <w:color w:val="2B1F5E"/>
                <w:sz w:val="19"/>
              </w:rPr>
              <w:t>It is not a language proficiency test, not a CEFR level, and not evidence of trade competence.</w:t>
            </w:r>
          </w:p>
        </w:tc>
      </w:tr>
    </w:tbl>
    <w:p>
      <w:pPr>
        <w:spacing w:before="0" w:after="0"/>
      </w:pPr>
      <w:r>
        <w:rPr>
          <w:sz w:val="20"/>
        </w:rPr>
      </w:r>
    </w:p>
    <w:p>
      <w:pPr>
        <w:spacing w:before="0" w:after="0" w:line="240" w:lineRule="auto"/>
        <w:ind w:left="-964" w:right="-964"/>
      </w:pPr>
      <w:r>
        <w:drawing>
          <wp:inline xmlns:a="http://schemas.openxmlformats.org/drawingml/2006/main" xmlns:pic="http://schemas.openxmlformats.org/drawingml/2006/picture">
            <wp:extent cx="7560000" cy="914516"/>
            <wp:docPr id="2" name="Picture 2"/>
            <wp:cNvGraphicFramePr>
              <a:graphicFrameLocks noChangeAspect="1"/>
            </wp:cNvGraphicFramePr>
            <a:graphic>
              <a:graphicData uri="http://schemas.openxmlformats.org/drawingml/2006/picture">
                <pic:pic>
                  <pic:nvPicPr>
                    <pic:cNvPr id="0" name="footer.jpg"/>
                    <pic:cNvPicPr/>
                  </pic:nvPicPr>
                  <pic:blipFill>
                    <a:blip r:embed="rId10"/>
                    <a:stretch>
                      <a:fillRect/>
                    </a:stretch>
                  </pic:blipFill>
                  <pic:spPr>
                    <a:xfrm>
                      <a:off x="0" y="0"/>
                      <a:ext cx="7560000" cy="914516"/>
                    </a:xfrm>
                    <a:prstGeom prst="rect"/>
                  </pic:spPr>
                </pic:pic>
              </a:graphicData>
            </a:graphic>
          </wp:inline>
        </w:drawing>
      </w:r>
    </w:p>
    <w:sectPr w:rsidR="00FC693F" w:rsidRPr="0006063C" w:rsidSect="00034616">
      <w:pgSz w:w="11906" w:h="16838"/>
      <w:pgMar w:top="0" w:right="964" w:bottom="62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3A3A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Pilot playbook — Petrocertif Construction Academy × BE Mastery</dc:title>
  <dc:subject>Roles, schedule, tools and measurement for the four-week pilot</dc:subject>
  <dc:creator>Lomonec LLC</dc:creator>
  <cp:keywords/>
  <dc:description>generated by python-docx</dc:description>
  <cp:lastModifiedBy/>
  <cp:revision>1</cp:revision>
  <dcterms:created xsi:type="dcterms:W3CDTF">2013-12-23T23:15:00Z</dcterms:created>
  <dcterms:modified xsi:type="dcterms:W3CDTF">2013-12-23T23:15:00Z</dcterms:modified>
  <cp:category>Pilot playbook</cp:category>
</cp:coreProperties>
</file>