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-964" w:right="-964"/>
      </w:pPr>
      <w:r>
        <w:drawing>
          <wp:inline xmlns:a="http://schemas.openxmlformats.org/drawingml/2006/main" xmlns:pic="http://schemas.openxmlformats.org/drawingml/2006/picture">
            <wp:extent cx="7560000" cy="2261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26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00" w:line="322" w:lineRule="auto"/>
      </w:pPr>
      <w:r>
        <w:rPr>
          <w:rFonts w:ascii="Arial" w:hAnsi="Arial"/>
          <w:b w:val="0"/>
          <w:i w:val="0"/>
          <w:color w:val="3A3A46"/>
          <w:sz w:val="20"/>
        </w:rPr>
        <w:t>Industrial professionals need more than technical knowledge. They must also explain their work, understand instructions, report problems, discuss safety, communicate with supervisors and inspectors, and perform confidently in professional interviews.</w:t>
      </w:r>
    </w:p>
    <w:p>
      <w:pPr>
        <w:spacing w:before="0" w:after="180" w:line="322" w:lineRule="auto"/>
      </w:pPr>
      <w:r>
        <w:rPr>
          <w:rFonts w:ascii="Arial" w:hAnsi="Arial"/>
          <w:b w:val="0"/>
          <w:i w:val="0"/>
          <w:color w:val="3A3A46"/>
          <w:sz w:val="20"/>
        </w:rPr>
        <w:t>BE Mastery complements an Industrial Training Partner’s technical programs with profession-specific English communication practice.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092"/>
        <w:gridCol w:w="193"/>
        <w:gridCol w:w="4693"/>
      </w:tblGrid>
      <w:tr>
        <w:tc>
          <w:tcPr>
            <w:tcW w:w="2552" w:type="pct"/>
            <w:tcBorders>
              <w:top w:val="single" w:sz="6" w:space="0" w:color="2B1F5E"/>
              <w:left w:val="single" w:sz="6" w:space="0" w:color="2B1F5E"/>
              <w:bottom w:val="single" w:sz="6" w:space="0" w:color="2B1F5E"/>
              <w:right w:val="single" w:sz="6" w:space="0" w:color="2B1F5E"/>
            </w:tcBorders>
            <w:shd w:val="clear" w:fill="2B1F5E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after="60" w:before="0"/>
            </w:pPr>
            <w:r/>
            <w:r>
              <w:rPr>
                <w:rFonts w:ascii="Arial" w:hAnsi="Arial"/>
                <w:b/>
                <w:color w:val="A798FF"/>
                <w:sz w:val="14"/>
                <w:spacing w:val="30"/>
              </w:rPr>
              <w:t>THE OPPORTUNITY</w:t>
            </w:r>
          </w:p>
          <w:p>
            <w:pPr>
              <w:spacing w:before="0" w:after="60" w:line="283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Technical competence gets the work done. Professional communication helps that competence travel.</w:t>
            </w:r>
          </w:p>
        </w:tc>
        <w:tc>
          <w:tcPr>
            <w:tcW w:w="97" w:type="pct"/>
          </w:tcPr>
          <w:p/>
        </w:tc>
        <w:tc>
          <w:tcPr>
            <w:tcW w:w="23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EFEDFB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after="60" w:before="0"/>
            </w:pPr>
            <w:r/>
            <w:r>
              <w:rPr>
                <w:rFonts w:ascii="Arial" w:hAnsi="Arial"/>
                <w:b/>
                <w:color w:val="4A32DC"/>
                <w:sz w:val="14"/>
                <w:spacing w:val="30"/>
              </w:rPr>
              <w:t>OUR ROLE</w:t>
            </w:r>
          </w:p>
          <w:p>
            <w:pPr>
              <w:spacing w:before="0" w:after="60" w:line="283" w:lineRule="auto"/>
            </w:pPr>
            <w:r>
              <w:rPr>
                <w:rFonts w:ascii="Arial" w:hAnsi="Arial"/>
                <w:b/>
                <w:color w:val="2B1F5E"/>
                <w:sz w:val="21"/>
              </w:rPr>
              <w:t>Training Partner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Develops technical capability.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B1F5E"/>
                <w:sz w:val="21"/>
              </w:rPr>
              <w:t>BE Mastery</w:t>
            </w:r>
          </w:p>
          <w:p>
            <w:pPr>
              <w:spacing w:before="0" w:after="120" w:line="317" w:lineRule="auto"/>
            </w:pPr>
            <w:r>
              <w:rPr>
                <w:rFonts w:ascii="Arial" w:hAnsi="Arial"/>
                <w:b w:val="0"/>
                <w:i w:val="0"/>
                <w:color w:val="3A3A46"/>
                <w:sz w:val="18"/>
              </w:rPr>
            </w:r>
            <w:r>
              <w:rPr>
                <w:rFonts w:ascii="Arial" w:hAnsi="Arial"/>
                <w:color w:val="3A3A46"/>
                <w:sz w:val="18"/>
              </w:rPr>
              <w:t>Helps learners communicate that capability in professional English.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220" w:after="40" w:line="317" w:lineRule="auto"/>
      </w:pPr>
      <w:r>
        <w:rPr>
          <w:rFonts w:ascii="Arial" w:hAnsi="Arial"/>
          <w:b/>
          <w:i w:val="0"/>
          <w:color w:val="4A32DC"/>
          <w:sz w:val="15"/>
          <w:spacing w:val="30"/>
        </w:rPr>
        <w:t>01</w:t>
      </w:r>
    </w:p>
    <w:p>
      <w:pPr>
        <w:spacing w:before="0" w:after="100" w:line="264" w:lineRule="auto"/>
        <w:pBdr>
          <w:bottom w:val="single" w:sz="10" w:space="4" w:color="4A32DC"/>
        </w:pBdr>
        <w:keepNext/>
      </w:pPr>
      <w:r>
        <w:rPr>
          <w:rFonts w:ascii="Arial" w:hAnsi="Arial"/>
          <w:b/>
          <w:i w:val="0"/>
          <w:color w:val="2B1F5E"/>
          <w:sz w:val="30"/>
        </w:rPr>
        <w:t>What BE Mastery Adds</w:t>
      </w:r>
    </w:p>
    <w:p>
      <w:pPr>
        <w:spacing w:before="0" w:after="140" w:line="326" w:lineRule="auto"/>
      </w:pPr>
      <w:r>
        <w:rPr>
          <w:rFonts w:ascii="Arial" w:hAnsi="Arial"/>
          <w:b w:val="0"/>
          <w:i w:val="0"/>
          <w:color w:val="3A3A46"/>
          <w:sz w:val="20"/>
        </w:rPr>
        <w:t>A voice-first professional communication environment built around realistic industrial situations rather than generic English lessons — safety briefings, shift handovers, equipment checks, drawing clarification, procedure discussions, QA/QC issue reporting, supervisor communication, site coordination and professional interviews.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893"/>
        <w:gridCol w:w="193"/>
        <w:gridCol w:w="4893"/>
      </w:tblGrid>
      <w:tr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AI voice simulations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12 workplace scenarios with a five-person cast — HR, supervisor, coworker, safety officer and QA inspector — in one conversation.</w:t>
            </w:r>
          </w:p>
        </w:tc>
        <w:tc>
          <w:tcPr>
            <w:tcW w:w="97" w:type="pct"/>
          </w:tcPr>
          <w:p/>
        </w:tc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Technical English &amp; vocabulary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Terminology from welding, fabrication, drawings, procedures, safety and quality, drawn from what the learner actually says.</w:t>
            </w:r>
          </w:p>
        </w:tc>
      </w:tr>
      <w:tr>
        <w:trPr>
          <w:trHeight w:val="193"/>
        </w:trPr>
        <w:tc>
          <w:tcPr>
            <w:tcW w:w="2452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w="97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w="2452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  <w:tr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Personalised coaching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Every spoken answer is measured against what a competent answer needs: what was covered, what was missed, and the sentence that would have carried it.</w:t>
            </w:r>
          </w:p>
        </w:tc>
        <w:tc>
          <w:tcPr>
            <w:tcW w:w="97" w:type="pct"/>
          </w:tcPr>
          <w:p/>
        </w:tc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Communication evidence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A record of answers spoken, coverage, best take and the trade words used — every figure from speech, never from opening a screen.</w:t>
            </w:r>
          </w:p>
        </w:tc>
      </w:tr>
      <w:tr>
        <w:trPr>
          <w:trHeight w:val="193"/>
        </w:trPr>
        <w:tc>
          <w:tcPr>
            <w:tcW w:w="2452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w="97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w="2452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  <w:tr>
        <w:tc>
          <w:tcPr>
            <w:tcW w:w="2452" w:type="pct"/>
            <w:tcBorders>
              <w:top w:val="single" w:sz="6" w:space="0" w:color="F0DFB4"/>
              <w:left w:val="single" w:sz="6" w:space="0" w:color="F0DFB4"/>
              <w:bottom w:val="single" w:sz="6" w:space="0" w:color="F0DFB4"/>
              <w:right w:val="single" w:sz="6" w:space="0" w:color="F0DFB4"/>
            </w:tcBorders>
            <w:shd w:val="clear" w:fill="FFF7E3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Career preparation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12 interview coaches, each on one part of the professional story, plus destination guidance and a CV &amp; LinkedIn coach.</w:t>
            </w:r>
          </w:p>
        </w:tc>
        <w:tc>
          <w:tcPr>
            <w:tcW w:w="97" w:type="pct"/>
          </w:tcPr>
          <w:p/>
        </w:tc>
        <w:tc>
          <w:tcPr>
            <w:tcW w:w="2452" w:type="pct"/>
            <w:tcBorders>
              <w:top w:val="single" w:sz="6" w:space="0" w:color="F0DFB4"/>
              <w:left w:val="single" w:sz="6" w:space="0" w:color="F0DFB4"/>
              <w:bottom w:val="single" w:sz="6" w:space="0" w:color="F0DFB4"/>
              <w:right w:val="single" w:sz="6" w:space="0" w:color="F0DFB4"/>
            </w:tcBorders>
            <w:shd w:val="clear" w:fill="FFF7E3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Reaches the learner where they are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Instructions in 15 languages, works offline after first load, installs from the browser on Android and iPhone.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sz w:val="20"/>
        </w:rPr>
      </w:r>
    </w:p>
    <w:p>
      <w:pPr>
        <w:spacing w:before="220" w:after="40" w:line="317" w:lineRule="auto"/>
      </w:pPr>
      <w:r>
        <w:rPr>
          <w:rFonts w:ascii="Arial" w:hAnsi="Arial"/>
          <w:b/>
          <w:i w:val="0"/>
          <w:color w:val="4A32DC"/>
          <w:sz w:val="15"/>
          <w:spacing w:val="30"/>
        </w:rPr>
        <w:t>02</w:t>
      </w:r>
    </w:p>
    <w:p>
      <w:pPr>
        <w:spacing w:before="0" w:after="100" w:line="264" w:lineRule="auto"/>
        <w:pBdr>
          <w:bottom w:val="single" w:sz="10" w:space="4" w:color="4A32DC"/>
        </w:pBdr>
        <w:keepNext/>
      </w:pPr>
      <w:r>
        <w:rPr>
          <w:rFonts w:ascii="Arial" w:hAnsi="Arial"/>
          <w:b/>
          <w:i w:val="0"/>
          <w:color w:val="2B1F5E"/>
          <w:sz w:val="30"/>
        </w:rPr>
        <w:t>Example: International Welder Pathway</w:t>
      </w:r>
    </w:p>
    <w:p>
      <w:pPr>
        <w:spacing w:before="0" w:after="160" w:line="336" w:lineRule="auto"/>
      </w:pPr>
      <w:r>
        <w:rPr>
          <w:rFonts w:ascii="Arial" w:hAnsi="Arial"/>
          <w:b w:val="0"/>
          <w:i w:val="0"/>
          <w:color w:val="3A3A46"/>
          <w:sz w:val="20"/>
        </w:rPr>
        <w:t>The communication layer is aligned to the learner’s technical journey, so practice feels directly connected to the work.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191"/>
        <w:gridCol w:w="5787"/>
      </w:tblGrid>
      <w:tr>
        <w:tc>
          <w:tcPr>
            <w:tcW w:w="2100" w:type="pct"/>
            <w:shd w:val="clear" w:fill="2B1F5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  <w:spacing w:val="26"/>
              </w:rPr>
              <w:t>TECHNICAL TRAINING</w:t>
            </w:r>
          </w:p>
        </w:tc>
        <w:tc>
          <w:tcPr>
            <w:tcW w:w="2900" w:type="pct"/>
            <w:shd w:val="clear" w:fill="2B1F5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  <w:spacing w:val="26"/>
              </w:rPr>
              <w:t>BE MASTERY COMMUNICATION PRACTICE</w:t>
            </w:r>
          </w:p>
        </w:tc>
      </w:tr>
      <w:tr>
        <w:tc>
          <w:tcPr>
            <w:tcW w:w="21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/>
                <w:color w:val="2B1F5E"/>
                <w:sz w:val="19"/>
              </w:rPr>
              <w:t>Welding procedures / WPS</w:t>
            </w:r>
          </w:p>
        </w:tc>
        <w:tc>
          <w:tcPr>
            <w:tcW w:w="29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 w:val="0"/>
                <w:color w:val="3A3A46"/>
                <w:sz w:val="19"/>
              </w:rPr>
              <w:t>Explain a procedure and clarify requirements</w:t>
            </w:r>
          </w:p>
        </w:tc>
      </w:tr>
      <w:tr>
        <w:tc>
          <w:tcPr>
            <w:tcW w:w="21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6F5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/>
                <w:color w:val="2B1F5E"/>
                <w:sz w:val="19"/>
              </w:rPr>
              <w:t>Safety &amp; HSE</w:t>
            </w:r>
          </w:p>
        </w:tc>
        <w:tc>
          <w:tcPr>
            <w:tcW w:w="29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6F5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 w:val="0"/>
                <w:color w:val="3A3A46"/>
                <w:sz w:val="19"/>
              </w:rPr>
              <w:t>Take part in a safety briefing and a stop-work conversation</w:t>
            </w:r>
          </w:p>
        </w:tc>
      </w:tr>
      <w:tr>
        <w:tc>
          <w:tcPr>
            <w:tcW w:w="21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/>
                <w:color w:val="2B1F5E"/>
                <w:sz w:val="19"/>
              </w:rPr>
              <w:t>Drawings &amp; isometrics</w:t>
            </w:r>
          </w:p>
        </w:tc>
        <w:tc>
          <w:tcPr>
            <w:tcW w:w="29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 w:val="0"/>
                <w:color w:val="3A3A46"/>
                <w:sz w:val="19"/>
              </w:rPr>
              <w:t>Request and provide technical clarification</w:t>
            </w:r>
          </w:p>
        </w:tc>
      </w:tr>
      <w:tr>
        <w:tc>
          <w:tcPr>
            <w:tcW w:w="21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6F5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/>
                <w:color w:val="2B1F5E"/>
                <w:sz w:val="19"/>
              </w:rPr>
              <w:t>Fabrication &amp; equipment</w:t>
            </w:r>
          </w:p>
        </w:tc>
        <w:tc>
          <w:tcPr>
            <w:tcW w:w="29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6F5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 w:val="0"/>
                <w:color w:val="3A3A46"/>
                <w:sz w:val="19"/>
              </w:rPr>
              <w:t>Report equipment or material problems</w:t>
            </w:r>
          </w:p>
        </w:tc>
      </w:tr>
      <w:tr>
        <w:tc>
          <w:tcPr>
            <w:tcW w:w="21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/>
                <w:color w:val="2B1F5E"/>
                <w:sz w:val="19"/>
              </w:rPr>
              <w:t>QA/QC &amp; inspection</w:t>
            </w:r>
          </w:p>
        </w:tc>
        <w:tc>
          <w:tcPr>
            <w:tcW w:w="29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 w:val="0"/>
                <w:color w:val="3A3A46"/>
                <w:sz w:val="19"/>
              </w:rPr>
              <w:t>Discuss a weld-quality concern with an inspector</w:t>
            </w:r>
          </w:p>
        </w:tc>
      </w:tr>
      <w:tr>
        <w:tc>
          <w:tcPr>
            <w:tcW w:w="21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6F5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/>
                <w:color w:val="2B1F5E"/>
                <w:sz w:val="19"/>
              </w:rPr>
              <w:t>Workplace operations</w:t>
            </w:r>
          </w:p>
        </w:tc>
        <w:tc>
          <w:tcPr>
            <w:tcW w:w="29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6F5FD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 w:val="0"/>
                <w:color w:val="3A3A46"/>
                <w:sz w:val="19"/>
              </w:rPr>
              <w:t>Conduct shift handovers and supervisor briefings</w:t>
            </w:r>
          </w:p>
        </w:tc>
      </w:tr>
      <w:tr>
        <w:tc>
          <w:tcPr>
            <w:tcW w:w="21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/>
                <w:color w:val="2B1F5E"/>
                <w:sz w:val="19"/>
              </w:rPr>
              <w:t>Career preparation</w:t>
            </w:r>
          </w:p>
        </w:tc>
        <w:tc>
          <w:tcPr>
            <w:tcW w:w="2900" w:type="pct"/>
            <w:tcBorders>
              <w:top w:val="single" w:sz="4" w:space="0" w:color="E4E1F6"/>
              <w:left w:val="single" w:sz="4" w:space="0" w:color="E4E1F6"/>
              <w:bottom w:val="single" w:sz="4" w:space="0" w:color="E4E1F6"/>
              <w:right w:val="single" w:sz="4" w:space="0" w:color="E4E1F6"/>
            </w:tcBorders>
            <w:shd w:val="clear" w:fill="FFFF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Arial" w:hAnsi="Arial"/>
                <w:b w:val="0"/>
                <w:color w:val="3A3A46"/>
                <w:sz w:val="19"/>
              </w:rPr>
              <w:t>Complete professional welding interview simulations</w:t>
            </w:r>
          </w:p>
        </w:tc>
      </w:tr>
    </w:tbl>
    <w:p>
      <w:pPr>
        <w:spacing w:before="140" w:after="80" w:line="336" w:lineRule="auto"/>
      </w:pPr>
      <w:r>
        <w:rPr>
          <w:rFonts w:ascii="Arial" w:hAnsi="Arial"/>
          <w:b w:val="0"/>
          <w:i w:val="0"/>
          <w:color w:val="6B7083"/>
          <w:sz w:val="18"/>
        </w:rPr>
        <w:t>The same model can later support construction supervisors, piping professionals, QA/QC personnel, maintenance technicians, instrumentation professionals and other industrial occupations.</w:t>
      </w:r>
    </w:p>
    <w:p>
      <w:pPr>
        <w:spacing w:before="220" w:after="40" w:line="317" w:lineRule="auto"/>
      </w:pPr>
      <w:r>
        <w:rPr>
          <w:rFonts w:ascii="Arial" w:hAnsi="Arial"/>
          <w:b/>
          <w:i w:val="0"/>
          <w:color w:val="4A32DC"/>
          <w:sz w:val="15"/>
          <w:spacing w:val="30"/>
        </w:rPr>
        <w:t>03</w:t>
      </w:r>
    </w:p>
    <w:p>
      <w:pPr>
        <w:spacing w:before="0" w:after="100" w:line="264" w:lineRule="auto"/>
        <w:pBdr>
          <w:bottom w:val="single" w:sz="10" w:space="4" w:color="4A32DC"/>
        </w:pBdr>
        <w:keepNext/>
      </w:pPr>
      <w:r>
        <w:rPr>
          <w:rFonts w:ascii="Arial" w:hAnsi="Arial"/>
          <w:b/>
          <w:i w:val="0"/>
          <w:color w:val="2B1F5E"/>
          <w:sz w:val="30"/>
        </w:rPr>
        <w:t>Proposed Pilot Partnership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197"/>
        <w:gridCol w:w="193"/>
        <w:gridCol w:w="3197"/>
        <w:gridCol w:w="193"/>
        <w:gridCol w:w="3197"/>
      </w:tblGrid>
      <w:tr>
        <w:tc>
          <w:tcPr>
            <w:tcW w:w="1602" w:type="pct"/>
            <w:tcBorders>
              <w:top w:val="single" w:sz="6" w:space="0" w:color="D6D0F4"/>
              <w:left w:val="single" w:sz="6" w:space="0" w:color="D6D0F4"/>
              <w:bottom w:val="single" w:sz="6" w:space="0" w:color="D6D0F4"/>
              <w:right w:val="single" w:sz="6" w:space="0" w:color="D6D0F4"/>
            </w:tcBorders>
            <w:shd w:val="clear" w:fill="EFED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4A32DC"/>
                <w:sz w:val="40"/>
              </w:rPr>
              <w:t>20–30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B1F5E"/>
                <w:sz w:val="15"/>
                <w:spacing w:val="26"/>
              </w:rPr>
              <w:t>LEARNERS</w:t>
            </w:r>
          </w:p>
        </w:tc>
        <w:tc>
          <w:tcPr>
            <w:tcW w:w="97" w:type="pct"/>
          </w:tcPr>
          <w:p/>
        </w:tc>
        <w:tc>
          <w:tcPr>
            <w:tcW w:w="1602" w:type="pct"/>
            <w:tcBorders>
              <w:top w:val="single" w:sz="6" w:space="0" w:color="D6D0F4"/>
              <w:left w:val="single" w:sz="6" w:space="0" w:color="D6D0F4"/>
              <w:bottom w:val="single" w:sz="6" w:space="0" w:color="D6D0F4"/>
              <w:right w:val="single" w:sz="6" w:space="0" w:color="D6D0F4"/>
            </w:tcBorders>
            <w:shd w:val="clear" w:fill="EFED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4A32DC"/>
                <w:sz w:val="40"/>
              </w:rPr>
              <w:t>4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B1F5E"/>
                <w:sz w:val="15"/>
                <w:spacing w:val="26"/>
              </w:rPr>
              <w:t>WEEKS</w:t>
            </w:r>
          </w:p>
        </w:tc>
        <w:tc>
          <w:tcPr>
            <w:tcW w:w="97" w:type="pct"/>
          </w:tcPr>
          <w:p/>
        </w:tc>
        <w:tc>
          <w:tcPr>
            <w:tcW w:w="1602" w:type="pct"/>
            <w:tcBorders>
              <w:top w:val="single" w:sz="6" w:space="0" w:color="D6D0F4"/>
              <w:left w:val="single" w:sz="6" w:space="0" w:color="D6D0F4"/>
              <w:bottom w:val="single" w:sz="6" w:space="0" w:color="D6D0F4"/>
              <w:right w:val="single" w:sz="6" w:space="0" w:color="D6D0F4"/>
            </w:tcBorders>
            <w:shd w:val="clear" w:fill="EFED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4A32DC"/>
                <w:sz w:val="40"/>
              </w:rPr>
              <w:t>1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B1F5E"/>
                <w:sz w:val="15"/>
                <w:spacing w:val="26"/>
              </w:rPr>
              <w:t>TECHNICAL PATHWAY</w:t>
            </w:r>
          </w:p>
        </w:tc>
      </w:tr>
    </w:tbl>
    <w:p>
      <w:pPr>
        <w:spacing w:before="0" w:after="0"/>
      </w:pPr>
      <w:r>
        <w:rPr>
          <w:sz w:val="16"/>
        </w:rPr>
      </w:r>
    </w:p>
    <w:p>
      <w:pPr>
        <w:spacing w:before="0" w:after="100" w:line="341" w:lineRule="auto"/>
      </w:pPr>
      <w:r>
        <w:rPr>
          <w:rFonts w:ascii="Arial" w:hAnsi="Arial"/>
          <w:b w:val="0"/>
          <w:i w:val="0"/>
          <w:color w:val="3A3A46"/>
          <w:sz w:val="20"/>
        </w:rPr>
        <w:t>The Industrial Training Partner identifies a learner cohort and continues delivering its normal technical curriculum. BE Mastery provides complementary professional-English missions and workplace simulations aligned with that training.</w:t>
      </w:r>
    </w:p>
    <w:p>
      <w:pPr>
        <w:spacing w:before="0" w:after="140" w:line="336" w:lineRule="auto"/>
      </w:pPr>
      <w:r>
        <w:rPr>
          <w:rFonts w:ascii="Arial" w:hAnsi="Arial"/>
          <w:b w:val="0"/>
          <w:i w:val="0"/>
          <w:color w:val="3A3A46"/>
          <w:sz w:val="20"/>
        </w:rPr>
        <w:t>Success is agreed before the pilot starts, not argued about afterwards. Seven things are measured together: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893"/>
        <w:gridCol w:w="193"/>
        <w:gridCol w:w="4893"/>
      </w:tblGrid>
      <w:tr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sz w:val="2"/>
              </w:rPr>
            </w:r>
          </w:p>
          <w:p>
            <w:pPr>
              <w:spacing w:before="0" w:after="100" w:line="307" w:lineRule="auto"/>
              <w:ind w:left="295" w:hanging="295"/>
            </w:pPr>
            <w:r>
              <w:rPr>
                <w:rFonts w:ascii="Arial" w:hAnsi="Arial"/>
                <w:b/>
                <w:color w:val="4A32DC"/>
                <w:sz w:val="18"/>
              </w:rPr>
              <w:t xml:space="preserve">✓  </w:t>
            </w:r>
            <w:r>
              <w:rPr>
                <w:rFonts w:ascii="Arial" w:hAnsi="Arial"/>
                <w:b/>
                <w:color w:val="2B1F5E"/>
                <w:sz w:val="18"/>
              </w:rPr>
              <w:t>Activation</w:t>
            </w:r>
            <w:r>
              <w:rPr>
                <w:rFonts w:ascii="Arial" w:hAnsi="Arial"/>
                <w:color w:val="3A3A46"/>
                <w:sz w:val="18"/>
              </w:rPr>
              <w:t xml:space="preserve"> — learners who start and complete setup</w:t>
            </w:r>
          </w:p>
          <w:p>
            <w:pPr>
              <w:spacing w:before="0" w:after="100" w:line="307" w:lineRule="auto"/>
              <w:ind w:left="295" w:hanging="295"/>
            </w:pPr>
            <w:r>
              <w:rPr>
                <w:rFonts w:ascii="Arial" w:hAnsi="Arial"/>
                <w:b/>
                <w:color w:val="4A32DC"/>
                <w:sz w:val="18"/>
              </w:rPr>
              <w:t xml:space="preserve">✓  </w:t>
            </w:r>
            <w:r>
              <w:rPr>
                <w:rFonts w:ascii="Arial" w:hAnsi="Arial"/>
                <w:b/>
                <w:color w:val="2B1F5E"/>
                <w:sz w:val="18"/>
              </w:rPr>
              <w:t>Participation</w:t>
            </w:r>
            <w:r>
              <w:rPr>
                <w:rFonts w:ascii="Arial" w:hAnsi="Arial"/>
                <w:color w:val="3A3A46"/>
                <w:sz w:val="18"/>
              </w:rPr>
              <w:t xml:space="preserve"> — learners active across the four weeks</w:t>
            </w:r>
          </w:p>
          <w:p>
            <w:pPr>
              <w:spacing w:before="0" w:after="100" w:line="307" w:lineRule="auto"/>
              <w:ind w:left="295" w:hanging="295"/>
            </w:pPr>
            <w:r>
              <w:rPr>
                <w:rFonts w:ascii="Arial" w:hAnsi="Arial"/>
                <w:b/>
                <w:color w:val="4A32DC"/>
                <w:sz w:val="18"/>
              </w:rPr>
              <w:t xml:space="preserve">✓  </w:t>
            </w:r>
            <w:r>
              <w:rPr>
                <w:rFonts w:ascii="Arial" w:hAnsi="Arial"/>
                <w:b/>
                <w:color w:val="2B1F5E"/>
                <w:sz w:val="18"/>
              </w:rPr>
              <w:t>Speaking activities</w:t>
            </w:r>
            <w:r>
              <w:rPr>
                <w:rFonts w:ascii="Arial" w:hAnsi="Arial"/>
                <w:color w:val="3A3A46"/>
                <w:sz w:val="18"/>
              </w:rPr>
              <w:t xml:space="preserve"> — workplace simulations completed</w:t>
            </w:r>
          </w:p>
          <w:p>
            <w:pPr>
              <w:spacing w:before="0" w:after="0" w:line="307" w:lineRule="auto"/>
              <w:ind w:left="295" w:hanging="295"/>
            </w:pPr>
            <w:r>
              <w:rPr>
                <w:rFonts w:ascii="Arial" w:hAnsi="Arial"/>
                <w:b/>
                <w:color w:val="4A32DC"/>
                <w:sz w:val="18"/>
              </w:rPr>
              <w:t xml:space="preserve">✓  </w:t>
            </w:r>
            <w:r>
              <w:rPr>
                <w:rFonts w:ascii="Arial" w:hAnsi="Arial"/>
                <w:b/>
                <w:color w:val="2B1F5E"/>
                <w:sz w:val="18"/>
              </w:rPr>
              <w:t>Recurring usage</w:t>
            </w:r>
            <w:r>
              <w:rPr>
                <w:rFonts w:ascii="Arial" w:hAnsi="Arial"/>
                <w:color w:val="3A3A46"/>
                <w:sz w:val="18"/>
              </w:rPr>
              <w:t xml:space="preserve"> — learners returning week on week</w:t>
            </w:r>
          </w:p>
        </w:tc>
        <w:tc>
          <w:tcPr>
            <w:tcW w:w="97" w:type="pct"/>
          </w:tcPr>
          <w:p/>
        </w:tc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sz w:val="2"/>
              </w:rPr>
            </w:r>
          </w:p>
          <w:p>
            <w:pPr>
              <w:spacing w:before="0" w:after="100" w:line="307" w:lineRule="auto"/>
              <w:ind w:left="295" w:hanging="295"/>
            </w:pPr>
            <w:r>
              <w:rPr>
                <w:rFonts w:ascii="Arial" w:hAnsi="Arial"/>
                <w:b/>
                <w:color w:val="4A32DC"/>
                <w:sz w:val="18"/>
              </w:rPr>
              <w:t xml:space="preserve">✓  </w:t>
            </w:r>
            <w:r>
              <w:rPr>
                <w:rFonts w:ascii="Arial" w:hAnsi="Arial"/>
                <w:b/>
                <w:color w:val="2B1F5E"/>
                <w:sz w:val="18"/>
              </w:rPr>
              <w:t>Learner feedback</w:t>
            </w:r>
            <w:r>
              <w:rPr>
                <w:rFonts w:ascii="Arial" w:hAnsi="Arial"/>
                <w:color w:val="3A3A46"/>
                <w:sz w:val="18"/>
              </w:rPr>
              <w:t xml:space="preserve"> — confidence and perceived usefulness</w:t>
            </w:r>
          </w:p>
          <w:p>
            <w:pPr>
              <w:spacing w:before="0" w:after="100" w:line="307" w:lineRule="auto"/>
              <w:ind w:left="295" w:hanging="295"/>
            </w:pPr>
            <w:r>
              <w:rPr>
                <w:rFonts w:ascii="Arial" w:hAnsi="Arial"/>
                <w:b/>
                <w:color w:val="4A32DC"/>
                <w:sz w:val="18"/>
              </w:rPr>
              <w:t xml:space="preserve">✓  </w:t>
            </w:r>
            <w:r>
              <w:rPr>
                <w:rFonts w:ascii="Arial" w:hAnsi="Arial"/>
                <w:b/>
                <w:color w:val="2B1F5E"/>
                <w:sz w:val="18"/>
              </w:rPr>
              <w:t>Communication evidence</w:t>
            </w:r>
            <w:r>
              <w:rPr>
                <w:rFonts w:ascii="Arial" w:hAnsi="Arial"/>
                <w:color w:val="3A3A46"/>
                <w:sz w:val="18"/>
              </w:rPr>
              <w:t xml:space="preserve"> — coverage and answer quality over repeated attempts</w:t>
            </w:r>
          </w:p>
          <w:p>
            <w:pPr>
              <w:spacing w:before="0" w:after="0" w:line="307" w:lineRule="auto"/>
              <w:ind w:left="295" w:hanging="295"/>
            </w:pPr>
            <w:r>
              <w:rPr>
                <w:rFonts w:ascii="Arial" w:hAnsi="Arial"/>
                <w:b/>
                <w:color w:val="4A32DC"/>
                <w:sz w:val="18"/>
              </w:rPr>
              <w:t xml:space="preserve">✓  </w:t>
            </w:r>
            <w:r>
              <w:rPr>
                <w:rFonts w:ascii="Arial" w:hAnsi="Arial"/>
                <w:b/>
                <w:color w:val="2B1F5E"/>
                <w:sz w:val="18"/>
              </w:rPr>
              <w:t>Instructor observations</w:t>
            </w:r>
            <w:r>
              <w:rPr>
                <w:rFonts w:ascii="Arial" w:hAnsi="Arial"/>
                <w:color w:val="3A3A46"/>
                <w:sz w:val="18"/>
              </w:rPr>
              <w:t xml:space="preserve"> — what teaching staff notice in class</w:t>
            </w:r>
          </w:p>
        </w:tc>
      </w:tr>
    </w:tbl>
    <w:p>
      <w:pPr>
        <w:spacing w:before="0" w:after="0"/>
      </w:pPr>
      <w:r>
        <w:rPr>
          <w:sz w:val="16"/>
        </w:rPr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w="5000" w:type="pct"/>
            <w:tcBorders>
              <w:top w:val="single" w:sz="6" w:space="0" w:color="BFE0CE"/>
              <w:left w:val="single" w:sz="6" w:space="0" w:color="BFE0CE"/>
              <w:bottom w:val="single" w:sz="6" w:space="0" w:color="BFE0CE"/>
              <w:right w:val="single" w:sz="6" w:space="0" w:color="BFE0CE"/>
            </w:tcBorders>
            <w:shd w:val="clear" w:fill="EAF6F0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1D6B46"/>
                <w:sz w:val="15"/>
                <w:spacing w:val="30"/>
              </w:rPr>
              <w:t>THE PILOT QUESTION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/>
                <w:b/>
                <w:color w:val="2B1F5E"/>
                <w:sz w:val="22"/>
              </w:rPr>
              <w:t>Does combining technical education with profession-specific communication practice better prepare learners to operate confidently in professional environments?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sz w:val="20"/>
        </w:rPr>
      </w:r>
    </w:p>
    <w:p>
      <w:pPr>
        <w:spacing w:before="220" w:after="40" w:line="317" w:lineRule="auto"/>
      </w:pPr>
      <w:r>
        <w:rPr>
          <w:rFonts w:ascii="Arial" w:hAnsi="Arial"/>
          <w:b/>
          <w:i w:val="0"/>
          <w:color w:val="4A32DC"/>
          <w:sz w:val="15"/>
          <w:spacing w:val="30"/>
        </w:rPr>
        <w:t>04</w:t>
      </w:r>
    </w:p>
    <w:p>
      <w:pPr>
        <w:spacing w:before="0" w:after="100" w:line="264" w:lineRule="auto"/>
        <w:pBdr>
          <w:bottom w:val="single" w:sz="10" w:space="4" w:color="4A32DC"/>
        </w:pBdr>
        <w:keepNext/>
      </w:pPr>
      <w:r>
        <w:rPr>
          <w:rFonts w:ascii="Arial" w:hAnsi="Arial"/>
          <w:b/>
          <w:i w:val="0"/>
          <w:color w:val="2B1F5E"/>
          <w:sz w:val="30"/>
        </w:rPr>
        <w:t>Partnership Opportunities</w:t>
      </w:r>
    </w:p>
    <w:p>
      <w:pPr>
        <w:spacing w:before="0" w:after="160" w:line="336" w:lineRule="auto"/>
      </w:pPr>
      <w:r>
        <w:rPr>
          <w:rFonts w:ascii="Arial" w:hAnsi="Arial"/>
          <w:b w:val="0"/>
          <w:i w:val="0"/>
          <w:color w:val="3A3A46"/>
          <w:sz w:val="20"/>
        </w:rPr>
        <w:t>Following a successful pilot, the model can grow in whichever direction suits the partner’s programmes.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893"/>
        <w:gridCol w:w="193"/>
        <w:gridCol w:w="4893"/>
      </w:tblGrid>
      <w:tr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Student access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Individual learner licences attached to technical programmes.</w:t>
            </w:r>
          </w:p>
        </w:tc>
        <w:tc>
          <w:tcPr>
            <w:tcW w:w="97" w:type="pct"/>
          </w:tcPr>
          <w:p/>
        </w:tc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Cohort / institutional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Access for classes, academies and training centres.</w:t>
            </w:r>
          </w:p>
        </w:tc>
      </w:tr>
      <w:tr>
        <w:trPr>
          <w:trHeight w:val="193"/>
        </w:trPr>
        <w:tc>
          <w:tcPr>
            <w:tcW w:w="2452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w="97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w="2452" w:type="pct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  <w:tr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Bundled programmes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BE Mastery included as the communication layer of a technical course.</w:t>
            </w:r>
          </w:p>
        </w:tc>
        <w:tc>
          <w:tcPr>
            <w:tcW w:w="97" w:type="pct"/>
          </w:tcPr>
          <w:p/>
        </w:tc>
        <w:tc>
          <w:tcPr>
            <w:tcW w:w="245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60" w:type="dxa"/>
              <w:bottom w:w="140" w:type="dxa"/>
              <w:end w:w="160" w:type="dxa"/>
            </w:tcMar>
            <w:vAlign w:val="top"/>
          </w:tcPr>
          <w:p>
            <w:pPr>
              <w:spacing w:before="0" w:after="60" w:line="283" w:lineRule="auto"/>
            </w:pPr>
            <w:r/>
            <w:r>
              <w:rPr>
                <w:rFonts w:ascii="Arial" w:hAnsi="Arial"/>
                <w:b/>
                <w:color w:val="2B1F5E"/>
                <w:sz w:val="21"/>
              </w:rPr>
              <w:t>Custom pathways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Profession-specific scenarios aligned to partner curricula and learner needs.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220" w:after="40" w:line="317" w:lineRule="auto"/>
      </w:pPr>
      <w:r>
        <w:rPr>
          <w:rFonts w:ascii="Arial" w:hAnsi="Arial"/>
          <w:b/>
          <w:i w:val="0"/>
          <w:color w:val="4A32DC"/>
          <w:sz w:val="15"/>
          <w:spacing w:val="30"/>
        </w:rPr>
        <w:t>05</w:t>
      </w:r>
    </w:p>
    <w:p>
      <w:pPr>
        <w:spacing w:before="0" w:after="100" w:line="264" w:lineRule="auto"/>
        <w:pBdr>
          <w:bottom w:val="single" w:sz="10" w:space="4" w:color="4A32DC"/>
        </w:pBdr>
        <w:keepNext/>
      </w:pPr>
      <w:r>
        <w:rPr>
          <w:rFonts w:ascii="Arial" w:hAnsi="Arial"/>
          <w:b/>
          <w:i w:val="0"/>
          <w:color w:val="2B1F5E"/>
          <w:sz w:val="30"/>
        </w:rPr>
        <w:t>Why This Partnership Matters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197"/>
        <w:gridCol w:w="193"/>
        <w:gridCol w:w="3197"/>
        <w:gridCol w:w="193"/>
        <w:gridCol w:w="3197"/>
      </w:tblGrid>
      <w:tr>
        <w:tc>
          <w:tcPr>
            <w:tcW w:w="160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4A32DC"/>
                <w:sz w:val="30"/>
              </w:rPr>
              <w:t>01</w:t>
            </w:r>
          </w:p>
          <w:p>
            <w:pPr>
              <w:spacing w:before="0" w:after="60" w:line="288" w:lineRule="auto"/>
            </w:pPr>
            <w:r>
              <w:rPr>
                <w:rFonts w:ascii="Arial" w:hAnsi="Arial"/>
                <w:b/>
                <w:color w:val="2B1F5E"/>
                <w:sz w:val="20"/>
              </w:rPr>
              <w:t>Technical training stays technical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The partner keeps ownership of technical instruction, assessment and professional qualification.</w:t>
            </w:r>
          </w:p>
        </w:tc>
        <w:tc>
          <w:tcPr>
            <w:tcW w:w="97" w:type="pct"/>
          </w:tcPr>
          <w:p/>
        </w:tc>
        <w:tc>
          <w:tcPr>
            <w:tcW w:w="1602" w:type="pct"/>
            <w:tcBorders>
              <w:top w:val="single" w:sz="6" w:space="0" w:color="2B1F5E"/>
              <w:left w:val="single" w:sz="6" w:space="0" w:color="2B1F5E"/>
              <w:bottom w:val="single" w:sz="6" w:space="0" w:color="2B1F5E"/>
              <w:right w:val="single" w:sz="6" w:space="0" w:color="2B1F5E"/>
            </w:tcBorders>
            <w:shd w:val="clear" w:fill="2B1F5E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A798FF"/>
                <w:sz w:val="30"/>
              </w:rPr>
              <w:t>02</w:t>
            </w:r>
          </w:p>
          <w:p>
            <w:pPr>
              <w:spacing w:before="0" w:after="60" w:line="288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Communication becomes practice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CBC3F5"/>
                <w:sz w:val="18"/>
              </w:rPr>
              <w:t>Learners rehearse the conversations they are likely to face around the workshop, the site and the interview table.</w:t>
            </w:r>
          </w:p>
        </w:tc>
        <w:tc>
          <w:tcPr>
            <w:tcW w:w="97" w:type="pct"/>
          </w:tcPr>
          <w:p/>
        </w:tc>
        <w:tc>
          <w:tcPr>
            <w:tcW w:w="1602" w:type="pct"/>
            <w:tcBorders>
              <w:top w:val="single" w:sz="6" w:space="0" w:color="DDD9F5"/>
              <w:left w:val="single" w:sz="6" w:space="0" w:color="DDD9F5"/>
              <w:bottom w:val="single" w:sz="6" w:space="0" w:color="DDD9F5"/>
              <w:right w:val="single" w:sz="6" w:space="0" w:color="DDD9F5"/>
            </w:tcBorders>
            <w:shd w:val="clear" w:fill="F6F5FD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4A32DC"/>
                <w:sz w:val="30"/>
              </w:rPr>
              <w:t>03</w:t>
            </w:r>
          </w:p>
          <w:p>
            <w:pPr>
              <w:spacing w:before="0" w:after="60" w:line="288" w:lineRule="auto"/>
            </w:pPr>
            <w:r>
              <w:rPr>
                <w:rFonts w:ascii="Arial" w:hAnsi="Arial"/>
                <w:b/>
                <w:color w:val="2B1F5E"/>
                <w:sz w:val="20"/>
              </w:rPr>
              <w:t>Progress becomes visible</w:t>
            </w:r>
          </w:p>
          <w:p>
            <w:pPr>
              <w:spacing w:before="0" w:after="0" w:line="317" w:lineRule="auto"/>
            </w:pPr>
            <w:r>
              <w:rPr>
                <w:rFonts w:ascii="Arial" w:hAnsi="Arial"/>
                <w:color w:val="3A3A46"/>
                <w:sz w:val="18"/>
              </w:rPr>
              <w:t>Speaking activity, practice history and coaching evidence let learners show how their communication has developed.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220" w:after="40" w:line="317" w:lineRule="auto"/>
      </w:pPr>
      <w:r>
        <w:rPr>
          <w:rFonts w:ascii="Arial" w:hAnsi="Arial"/>
          <w:b/>
          <w:i w:val="0"/>
          <w:color w:val="4A32DC"/>
          <w:sz w:val="15"/>
          <w:spacing w:val="30"/>
        </w:rPr>
        <w:t>06</w:t>
      </w:r>
    </w:p>
    <w:p>
      <w:pPr>
        <w:spacing w:before="0" w:after="100" w:line="264" w:lineRule="auto"/>
        <w:pBdr>
          <w:bottom w:val="single" w:sz="10" w:space="4" w:color="4A32DC"/>
        </w:pBdr>
        <w:keepNext/>
      </w:pPr>
      <w:r>
        <w:rPr>
          <w:rFonts w:ascii="Arial" w:hAnsi="Arial"/>
          <w:b/>
          <w:i w:val="0"/>
          <w:color w:val="2B1F5E"/>
          <w:sz w:val="30"/>
        </w:rPr>
        <w:t>Scope, Integrity &amp; Expansion</w:t>
      </w:r>
    </w:p>
    <w:p>
      <w:pPr>
        <w:spacing w:before="0" w:after="160" w:line="341" w:lineRule="auto"/>
      </w:pPr>
      <w:r>
        <w:rPr>
          <w:rFonts w:ascii="Arial" w:hAnsi="Arial"/>
          <w:b w:val="0"/>
          <w:i w:val="0"/>
          <w:color w:val="3A3A46"/>
          <w:sz w:val="20"/>
        </w:rPr>
        <w:t>BE Mastery does not replace technical training, professional licensing, trade certification, immigration requirements or employer qualification processes. Its role is deliberately focused: professional English, workplace communication practice, and evidence of communication development.</w:t>
      </w:r>
    </w:p>
    <w:tbl>
      <w:tblPr>
        <w:tblW w:type="auto" w:w="0"/>
        <w:tblW w:w="5000" w:type="pc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w="5000" w:type="pct"/>
            <w:tcBorders>
              <w:top w:val="single" w:sz="6" w:space="0" w:color="F0DFB4"/>
              <w:left w:val="single" w:sz="6" w:space="0" w:color="F0DFB4"/>
              <w:bottom w:val="single" w:sz="6" w:space="0" w:color="F0DFB4"/>
              <w:right w:val="single" w:sz="6" w:space="0" w:color="F0DFB4"/>
            </w:tcBorders>
            <w:shd w:val="clear" w:fill="FFF7E3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8A630B"/>
                <w:sz w:val="15"/>
                <w:spacing w:val="30"/>
              </w:rPr>
              <w:t>EXPANSION POTENTIAL</w:t>
            </w:r>
          </w:p>
          <w:p>
            <w:pPr>
              <w:spacing w:before="0" w:after="0" w:line="324" w:lineRule="auto"/>
            </w:pPr>
            <w:r>
              <w:rPr>
                <w:rFonts w:ascii="Arial" w:hAnsi="Arial"/>
                <w:b/>
                <w:color w:val="2B1F5E"/>
                <w:sz w:val="19"/>
              </w:rPr>
              <w:t>International Welder  →  Piping  →  Construction Supervision  →  QA/QC  →  Maintenance  →  Instrumentation  →  Energy &amp; Industrial Operations</w:t>
            </w:r>
          </w:p>
        </w:tc>
      </w:tr>
    </w:tbl>
    <w:p>
      <w:pPr>
        <w:spacing w:before="0" w:after="0"/>
      </w:pPr>
      <w:r>
        <w:rPr>
          <w:sz w:val="24"/>
        </w:rPr>
      </w:r>
    </w:p>
    <w:p>
      <w:pPr>
        <w:spacing w:before="160" w:after="200" w:line="317" w:lineRule="auto"/>
        <w:jc w:val="center"/>
      </w:pPr>
      <w:r>
        <w:rPr>
          <w:rFonts w:ascii="Arial" w:hAnsi="Arial"/>
          <w:b w:val="0"/>
          <w:i/>
          <w:color w:val="6B7083"/>
          <w:sz w:val="21"/>
        </w:rPr>
        <w:t>Preparing technical professionals to communicate across workplaces, teams and borders.</w:t>
      </w:r>
    </w:p>
    <w:p>
      <w:pPr>
        <w:spacing w:before="0" w:after="0" w:line="240" w:lineRule="auto"/>
        <w:ind w:left="-964" w:right="-964"/>
      </w:pPr>
      <w:r>
        <w:drawing>
          <wp:inline xmlns:a="http://schemas.openxmlformats.org/drawingml/2006/main" xmlns:pic="http://schemas.openxmlformats.org/drawingml/2006/picture">
            <wp:extent cx="7560000" cy="914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9145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964" w:bottom="62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A3A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Mastery x Industrial Training Partner — Partnership Proposal</dc:title>
  <dc:subject>Professional English &amp; Workplace Communication for Technical Careers</dc:subject>
  <dc:creator>Lomonec LLC</dc:creator>
  <cp:keywords/>
  <dc:description>app.lomonec.com  ·  contact@lomonec.com</dc:description>
  <cp:lastModifiedBy/>
  <cp:revision>1</cp:revision>
  <dcterms:created xsi:type="dcterms:W3CDTF">2013-12-23T23:15:00Z</dcterms:created>
  <dcterms:modified xsi:type="dcterms:W3CDTF">2013-12-23T23:15:00Z</dcterms:modified>
  <cp:category>Partnership proposal</cp:category>
</cp:coreProperties>
</file>