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left="-964" w:right="-964"/>
      </w:pPr>
      <w:r>
        <w:drawing>
          <wp:inline xmlns:a="http://schemas.openxmlformats.org/drawingml/2006/main" xmlns:pic="http://schemas.openxmlformats.org/drawingml/2006/picture">
            <wp:extent cx="7560000" cy="2261903"/>
            <wp:docPr id="1" name="Picture 1"/>
            <wp:cNvGraphicFramePr>
              <a:graphicFrameLocks noChangeAspect="1"/>
            </wp:cNvGraphicFramePr>
            <a:graphic>
              <a:graphicData uri="http://schemas.openxmlformats.org/drawingml/2006/picture">
                <pic:pic>
                  <pic:nvPicPr>
                    <pic:cNvPr id="0" name="header-jfn.jpg"/>
                    <pic:cNvPicPr/>
                  </pic:nvPicPr>
                  <pic:blipFill>
                    <a:blip r:embed="rId9"/>
                    <a:stretch>
                      <a:fillRect/>
                    </a:stretch>
                  </pic:blipFill>
                  <pic:spPr>
                    <a:xfrm>
                      <a:off x="0" y="0"/>
                      <a:ext cx="7560000" cy="2261903"/>
                    </a:xfrm>
                    <a:prstGeom prst="rect"/>
                  </pic:spPr>
                </pic:pic>
              </a:graphicData>
            </a:graphic>
          </wp:inline>
        </w:drawing>
      </w:r>
    </w:p>
    <w:p>
      <w:pPr>
        <w:spacing w:before="260" w:after="120" w:line="331" w:lineRule="auto"/>
      </w:pPr>
      <w:r>
        <w:rPr>
          <w:rFonts w:ascii="Arial" w:hAnsi="Arial"/>
          <w:b w:val="0"/>
          <w:i w:val="0"/>
          <w:color w:val="3A3A46"/>
          <w:sz w:val="20"/>
        </w:rPr>
        <w:t>Petrocertif Construction Academy already tells its learners they will strengthen their professional English through the LomoneC app. This proposal is about making that line true, visible and measured — starting with one cohort, at no cost, over four weeks.</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D6D0F4"/>
              <w:left w:val="single" w:sz="6" w:space="0" w:color="D6D0F4"/>
              <w:bottom w:val="single" w:sz="6" w:space="0" w:color="D6D0F4"/>
              <w:right w:val="single" w:sz="6" w:space="0" w:color="D6D0F4"/>
            </w:tcBorders>
            <w:shd w:val="clear" w:fill="EFEDFB"/>
            <w:tcMar>
              <w:top w:w="140" w:type="dxa"/>
              <w:start w:w="170" w:type="dxa"/>
              <w:bottom w:w="140" w:type="dxa"/>
              <w:end w:w="170" w:type="dxa"/>
            </w:tcMar>
          </w:tcPr>
          <w:p>
            <w:pPr>
              <w:spacing w:after="80"/>
            </w:pPr>
            <w:r/>
            <w:r>
              <w:rPr>
                <w:rFonts w:ascii="Arial" w:hAnsi="Arial"/>
                <w:b/>
                <w:color w:val="4A32DC"/>
                <w:sz w:val="15"/>
                <w:spacing w:val="30"/>
              </w:rPr>
              <w:t>ALREADY IN YOUR PUBLISHED OFFER</w:t>
            </w:r>
          </w:p>
          <w:p>
            <w:pPr>
              <w:spacing w:before="0" w:after="0" w:line="331" w:lineRule="auto"/>
            </w:pPr>
            <w:r>
              <w:rPr>
                <w:rFonts w:ascii="Arial" w:hAnsi="Arial"/>
                <w:b/>
                <w:color w:val="2B1F5E"/>
                <w:sz w:val="19"/>
              </w:rPr>
              <w:t>“Enhance your professional English skills … and a shadowing approach via our LomoneC App: app.lomonec.com”</w:t>
            </w:r>
            <w:r>
              <w:rPr>
                <w:rFonts w:ascii="Arial" w:hAnsi="Arial"/>
                <w:b w:val="0"/>
                <w:color w:val="3A3A46"/>
                <w:sz w:val="19"/>
              </w:rPr>
              <w:t xml:space="preserve">   — Petrocertif Construction Academy course offer. The app is live, free and already carries the welding, pipefitting and boilermaking trades. What is missing is evidence of what it does for your learners.</w:t>
            </w:r>
          </w:p>
        </w:tc>
      </w:tr>
    </w:tbl>
    <w:p>
      <w:pPr>
        <w:spacing w:before="0" w:after="0"/>
      </w:pPr>
      <w:r>
        <w:rPr>
          <w:sz w:val="18"/>
        </w:rPr>
      </w:r>
    </w:p>
    <w:p>
      <w:pPr>
        <w:spacing w:before="220" w:after="40" w:line="317" w:lineRule="auto"/>
      </w:pPr>
      <w:r>
        <w:rPr>
          <w:rFonts w:ascii="Arial" w:hAnsi="Arial"/>
          <w:b/>
          <w:i w:val="0"/>
          <w:color w:val="4A32DC"/>
          <w:sz w:val="15"/>
          <w:spacing w:val="30"/>
        </w:rPr>
        <w:t>01</w:t>
      </w:r>
    </w:p>
    <w:p>
      <w:pPr>
        <w:spacing w:before="0" w:after="100" w:line="264" w:lineRule="auto"/>
        <w:pBdr>
          <w:bottom w:val="single" w:sz="10" w:space="4" w:color="4A32DC"/>
        </w:pBdr>
        <w:keepNext/>
      </w:pPr>
      <w:r>
        <w:rPr>
          <w:rFonts w:ascii="Arial" w:hAnsi="Arial"/>
          <w:b/>
          <w:i w:val="0"/>
          <w:color w:val="2B1F5E"/>
          <w:sz w:val="30"/>
        </w:rPr>
        <w:t>Why this matters for supervisors specifically</w:t>
      </w:r>
    </w:p>
    <w:p>
      <w:pPr>
        <w:spacing w:before="0" w:after="120" w:line="336" w:lineRule="auto"/>
      </w:pPr>
      <w:r>
        <w:rPr>
          <w:rFonts w:ascii="Arial" w:hAnsi="Arial"/>
          <w:b w:val="0"/>
          <w:i w:val="0"/>
          <w:color w:val="3A3A46"/>
          <w:sz w:val="20"/>
        </w:rPr>
        <w:t>Your programmes train people to read the plan. On an international site, the supervisor is then the person who has to say it out loud: brief the crew from that drawing, raise a fit-up problem with the fabricator, discuss a weld-quality concern with an inspector, hand over a shift, and sit the interview that got them there in the first place.</w:t>
      </w:r>
    </w:p>
    <w:p>
      <w:pPr>
        <w:spacing w:before="0" w:after="180" w:line="336" w:lineRule="auto"/>
      </w:pPr>
      <w:r>
        <w:rPr>
          <w:rFonts w:ascii="Arial" w:hAnsi="Arial"/>
          <w:b/>
          <w:i w:val="0"/>
          <w:color w:val="2B1F5E"/>
          <w:sz w:val="20"/>
        </w:rPr>
        <w:t>Reading is taught. Saying it is not. That gap is what BE Mastery is built for.</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Voice-first, not lessons</w:t>
            </w:r>
          </w:p>
          <w:p>
            <w:pPr>
              <w:spacing w:before="0" w:after="0" w:line="317" w:lineRule="auto"/>
            </w:pPr>
            <w:r>
              <w:rPr>
                <w:rFonts w:ascii="Arial" w:hAnsi="Arial"/>
                <w:color w:val="3A3A46"/>
                <w:sz w:val="18"/>
              </w:rPr>
              <w:t>12 workplace scenarios with a five-person cast — HR, supervisor, coworker, safety officer and QA inspector — talking in one conversation.</w:t>
            </w:r>
          </w:p>
        </w:tc>
        <w:tc>
          <w:tcPr>
            <w:tcW w:w="97" w:type="pct"/>
          </w:tcPr>
          <w:p/>
        </w:tc>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Measured against a real answer</w:t>
            </w:r>
          </w:p>
          <w:p>
            <w:pPr>
              <w:spacing w:before="0" w:after="0" w:line="317" w:lineRule="auto"/>
            </w:pPr>
            <w:r>
              <w:rPr>
                <w:rFonts w:ascii="Arial" w:hAnsi="Arial"/>
                <w:color w:val="3A3A46"/>
                <w:sz w:val="18"/>
              </w:rPr>
              <w:t>Every spoken answer is scored on what a competent answer needed: what was covered, what was missed, and the sentence that would have carried it.</w:t>
            </w:r>
          </w:p>
        </w:tc>
      </w:tr>
      <w:tr>
        <w:trPr>
          <w:trHeight w:val="193"/>
        </w:trPr>
        <w:tc>
          <w:tcPr>
            <w:tcW w:w="2452" w:type="pct"/>
            <w:tcMar>
              <w:top w:w="0" w:type="dxa"/>
              <w:start w:w="0" w:type="dxa"/>
              <w:bottom w:w="0" w:type="dxa"/>
              <w:end w:w="0" w:type="dxa"/>
            </w:tcMar>
          </w:tcPr>
          <w:p>
            <w:pPr>
              <w:spacing w:after="0"/>
            </w:pPr>
            <w:r>
              <w:rPr>
                <w:sz w:val="2"/>
              </w:rPr>
            </w:r>
          </w:p>
        </w:tc>
        <w:tc>
          <w:tcPr>
            <w:tcW w:w="97" w:type="pct"/>
            <w:tcMar>
              <w:top w:w="0" w:type="dxa"/>
              <w:start w:w="0" w:type="dxa"/>
              <w:bottom w:w="0" w:type="dxa"/>
              <w:end w:w="0" w:type="dxa"/>
            </w:tcMar>
          </w:tcPr>
          <w:p>
            <w:pPr>
              <w:spacing w:after="0"/>
            </w:pPr>
            <w:r>
              <w:rPr>
                <w:sz w:val="2"/>
              </w:rPr>
            </w:r>
          </w:p>
        </w:tc>
        <w:tc>
          <w:tcPr>
            <w:tcW w:w="2452" w:type="pct"/>
            <w:tcMar>
              <w:top w:w="0" w:type="dxa"/>
              <w:start w:w="0" w:type="dxa"/>
              <w:bottom w:w="0" w:type="dxa"/>
              <w:end w:w="0" w:type="dxa"/>
            </w:tcMar>
          </w:tcPr>
          <w:p>
            <w:pPr>
              <w:spacing w:after="0"/>
            </w:pPr>
            <w:r>
              <w:rPr>
                <w:sz w:val="2"/>
              </w:rPr>
            </w:r>
          </w:p>
        </w:tc>
      </w:tr>
      <w:tr>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Interview rehearsal</w:t>
            </w:r>
          </w:p>
          <w:p>
            <w:pPr>
              <w:spacing w:before="0" w:after="0" w:line="317" w:lineRule="auto"/>
            </w:pPr>
            <w:r>
              <w:rPr>
                <w:rFonts w:ascii="Arial" w:hAnsi="Arial"/>
                <w:color w:val="3A3A46"/>
                <w:sz w:val="18"/>
              </w:rPr>
              <w:t>12 interview coaches, each on one part of the professional story, plus destination guidance and a CV &amp; LinkedIn coach.</w:t>
            </w:r>
          </w:p>
        </w:tc>
        <w:tc>
          <w:tcPr>
            <w:tcW w:w="97" w:type="pct"/>
          </w:tcPr>
          <w:p/>
        </w:tc>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vAlign w:val="top"/>
          </w:tcPr>
          <w:p>
            <w:pPr>
              <w:spacing w:before="0" w:after="60" w:line="283" w:lineRule="auto"/>
            </w:pPr>
            <w:r/>
            <w:r>
              <w:rPr>
                <w:rFonts w:ascii="Arial" w:hAnsi="Arial"/>
                <w:b/>
                <w:color w:val="2B1F5E"/>
                <w:sz w:val="21"/>
              </w:rPr>
              <w:t>Evidence, not attendance</w:t>
            </w:r>
          </w:p>
          <w:p>
            <w:pPr>
              <w:spacing w:before="0" w:after="0" w:line="317" w:lineRule="auto"/>
            </w:pPr>
            <w:r>
              <w:rPr>
                <w:rFonts w:ascii="Arial" w:hAnsi="Arial"/>
                <w:color w:val="3A3A46"/>
                <w:sz w:val="18"/>
              </w:rPr>
              <w:t>Answers spoken, coverage, best take, trade words actually used. Every figure comes from speech — nothing is scored from opening a screen.</w:t>
            </w:r>
          </w:p>
        </w:tc>
      </w:tr>
      <w:tr>
        <w:trPr>
          <w:trHeight w:val="193"/>
        </w:trPr>
        <w:tc>
          <w:tcPr>
            <w:tcW w:w="2452" w:type="pct"/>
            <w:tcMar>
              <w:top w:w="0" w:type="dxa"/>
              <w:start w:w="0" w:type="dxa"/>
              <w:bottom w:w="0" w:type="dxa"/>
              <w:end w:w="0" w:type="dxa"/>
            </w:tcMar>
          </w:tcPr>
          <w:p>
            <w:pPr>
              <w:spacing w:after="0"/>
            </w:pPr>
            <w:r>
              <w:rPr>
                <w:sz w:val="2"/>
              </w:rPr>
            </w:r>
          </w:p>
        </w:tc>
        <w:tc>
          <w:tcPr>
            <w:tcW w:w="97" w:type="pct"/>
            <w:tcMar>
              <w:top w:w="0" w:type="dxa"/>
              <w:start w:w="0" w:type="dxa"/>
              <w:bottom w:w="0" w:type="dxa"/>
              <w:end w:w="0" w:type="dxa"/>
            </w:tcMar>
          </w:tcPr>
          <w:p>
            <w:pPr>
              <w:spacing w:after="0"/>
            </w:pPr>
            <w:r>
              <w:rPr>
                <w:sz w:val="2"/>
              </w:rPr>
            </w:r>
          </w:p>
        </w:tc>
        <w:tc>
          <w:tcPr>
            <w:tcW w:w="2452" w:type="pct"/>
            <w:tcMar>
              <w:top w:w="0" w:type="dxa"/>
              <w:start w:w="0" w:type="dxa"/>
              <w:bottom w:w="0" w:type="dxa"/>
              <w:end w:w="0" w:type="dxa"/>
            </w:tcMar>
          </w:tcPr>
          <w:p>
            <w:pPr>
              <w:spacing w:after="0"/>
            </w:pPr>
            <w:r>
              <w:rPr>
                <w:sz w:val="2"/>
              </w:rPr>
            </w:r>
          </w:p>
        </w:tc>
      </w:tr>
      <w:tr>
        <w:tc>
          <w:tcPr>
            <w:tcW w:w="2452" w:type="pct"/>
            <w:tcBorders>
              <w:top w:val="single" w:sz="6" w:space="0" w:color="F0DFB4"/>
              <w:left w:val="single" w:sz="6" w:space="0" w:color="F0DFB4"/>
              <w:bottom w:val="single" w:sz="6" w:space="0" w:color="F0DFB4"/>
              <w:right w:val="single" w:sz="6" w:space="0" w:color="F0DFB4"/>
            </w:tcBorders>
            <w:shd w:val="clear" w:fill="FFF7E3"/>
            <w:tcMar>
              <w:top w:w="140" w:type="dxa"/>
              <w:start w:w="160" w:type="dxa"/>
              <w:bottom w:w="140" w:type="dxa"/>
              <w:end w:w="160" w:type="dxa"/>
            </w:tcMar>
            <w:vAlign w:val="top"/>
          </w:tcPr>
          <w:p>
            <w:pPr>
              <w:spacing w:before="0" w:after="60" w:line="283" w:lineRule="auto"/>
            </w:pPr>
            <w:r/>
            <w:r>
              <w:rPr>
                <w:rFonts w:ascii="Arial" w:hAnsi="Arial"/>
                <w:b/>
                <w:color w:val="2B1F5E"/>
                <w:sz w:val="21"/>
              </w:rPr>
              <w:t>Reaches your learners</w:t>
            </w:r>
          </w:p>
          <w:p>
            <w:pPr>
              <w:spacing w:before="0" w:after="0" w:line="317" w:lineRule="auto"/>
            </w:pPr>
            <w:r>
              <w:rPr>
                <w:rFonts w:ascii="Arial" w:hAnsi="Arial"/>
                <w:color w:val="3A3A46"/>
                <w:sz w:val="18"/>
              </w:rPr>
              <w:t>Instructions in 15 languages including French, works offline after first load, installs from the browser on Android and iPhone.</w:t>
            </w:r>
          </w:p>
        </w:tc>
        <w:tc>
          <w:tcPr>
            <w:tcW w:w="97" w:type="pct"/>
          </w:tcPr>
          <w:p/>
        </w:tc>
        <w:tc>
          <w:tcPr>
            <w:tcW w:w="2452" w:type="pct"/>
            <w:tcBorders>
              <w:top w:val="single" w:sz="6" w:space="0" w:color="F0DFB4"/>
              <w:left w:val="single" w:sz="6" w:space="0" w:color="F0DFB4"/>
              <w:bottom w:val="single" w:sz="6" w:space="0" w:color="F0DFB4"/>
              <w:right w:val="single" w:sz="6" w:space="0" w:color="F0DFB4"/>
            </w:tcBorders>
            <w:shd w:val="clear" w:fill="FFF7E3"/>
            <w:tcMar>
              <w:top w:w="140" w:type="dxa"/>
              <w:start w:w="160" w:type="dxa"/>
              <w:bottom w:w="140" w:type="dxa"/>
              <w:end w:w="160" w:type="dxa"/>
            </w:tcMar>
            <w:vAlign w:val="top"/>
          </w:tcPr>
          <w:p>
            <w:pPr>
              <w:spacing w:before="0" w:after="60" w:line="283" w:lineRule="auto"/>
            </w:pPr>
            <w:r/>
            <w:r>
              <w:rPr>
                <w:rFonts w:ascii="Arial" w:hAnsi="Arial"/>
                <w:b/>
                <w:color w:val="2B1F5E"/>
                <w:sz w:val="21"/>
              </w:rPr>
              <w:t>Free during the pilot</w:t>
            </w:r>
          </w:p>
          <w:p>
            <w:pPr>
              <w:spacing w:before="0" w:after="0" w:line="317" w:lineRule="auto"/>
            </w:pPr>
            <w:r>
              <w:rPr>
                <w:rFonts w:ascii="Arial" w:hAnsi="Arial"/>
                <w:color w:val="3A3A46"/>
                <w:sz w:val="18"/>
              </w:rPr>
              <w:t>No licence, no per-seat cost, no commitment beyond the four weeks. You supply the cohort; we supply the measurement.</w:t>
            </w:r>
          </w:p>
        </w:tc>
      </w:tr>
    </w:tbl>
    <w:p>
      <w:r>
        <w:br w:type="page"/>
      </w:r>
    </w:p>
    <w:p>
      <w:pPr>
        <w:spacing w:before="0" w:after="0"/>
      </w:pPr>
      <w:r>
        <w:rPr>
          <w:sz w:val="20"/>
        </w:rPr>
      </w:r>
    </w:p>
    <w:p>
      <w:pPr>
        <w:spacing w:before="220" w:after="40" w:line="317" w:lineRule="auto"/>
      </w:pPr>
      <w:r>
        <w:rPr>
          <w:rFonts w:ascii="Arial" w:hAnsi="Arial"/>
          <w:b/>
          <w:i w:val="0"/>
          <w:color w:val="4A32DC"/>
          <w:sz w:val="15"/>
          <w:spacing w:val="30"/>
        </w:rPr>
        <w:t>02</w:t>
      </w:r>
    </w:p>
    <w:p>
      <w:pPr>
        <w:spacing w:before="0" w:after="100" w:line="264" w:lineRule="auto"/>
        <w:pBdr>
          <w:bottom w:val="single" w:sz="10" w:space="4" w:color="4A32DC"/>
        </w:pBdr>
        <w:keepNext/>
      </w:pPr>
      <w:r>
        <w:rPr>
          <w:rFonts w:ascii="Arial" w:hAnsi="Arial"/>
          <w:b/>
          <w:i w:val="0"/>
          <w:color w:val="2B1F5E"/>
          <w:sz w:val="30"/>
        </w:rPr>
        <w:t>Where it fits your catalogue today</w:t>
      </w:r>
    </w:p>
    <w:p>
      <w:pPr>
        <w:spacing w:before="0" w:after="160" w:line="336" w:lineRule="auto"/>
      </w:pPr>
      <w:r>
        <w:rPr>
          <w:rFonts w:ascii="Arial" w:hAnsi="Arial"/>
          <w:b w:val="0"/>
          <w:i w:val="0"/>
          <w:color w:val="3A3A46"/>
          <w:sz w:val="20"/>
        </w:rPr>
        <w:t>BE Mastery currently carries three trades: welder, pipefitter and boilermaker. Those map exactly onto three of your programmes, which is why the pilot is scoped to them rather than spread across the catalogue.</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390"/>
        <w:gridCol w:w="5588"/>
      </w:tblGrid>
      <w:tr>
        <w:tc>
          <w:tcPr>
            <w:tcW w:w="22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YOUR PROGRAMME</w:t>
            </w:r>
          </w:p>
        </w:tc>
        <w:tc>
          <w:tcPr>
            <w:tcW w:w="28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WHAT THE LEARNER PRACTISES SAYING</w:t>
            </w:r>
          </w:p>
        </w:tc>
      </w:tr>
      <w:tr>
        <w:tc>
          <w:tcPr>
            <w:tcW w:w="22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300" w:lineRule="auto"/>
            </w:pPr>
            <w:r/>
            <w:r>
              <w:rPr>
                <w:rFonts w:ascii="Arial" w:hAnsi="Arial"/>
                <w:b/>
                <w:color w:val="2B1F5E"/>
                <w:sz w:val="19"/>
              </w:rPr>
              <w:t>Reading &amp; Interpretation of Plans in Boiler Making</w:t>
            </w:r>
          </w:p>
        </w:tc>
        <w:tc>
          <w:tcPr>
            <w:tcW w:w="28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300" w:lineRule="auto"/>
            </w:pPr>
            <w:r/>
            <w:r>
              <w:rPr>
                <w:rFonts w:ascii="Arial" w:hAnsi="Arial"/>
                <w:b w:val="0"/>
                <w:color w:val="3A3A46"/>
                <w:sz w:val="19"/>
              </w:rPr>
              <w:t>Brief a crew from the drawing; clarify a detail with the fabricator</w:t>
            </w:r>
          </w:p>
        </w:tc>
      </w:tr>
      <w:tr>
        <w:tc>
          <w:tcPr>
            <w:tcW w:w="22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300" w:lineRule="auto"/>
            </w:pPr>
            <w:r/>
            <w:r>
              <w:rPr>
                <w:rFonts w:ascii="Arial" w:hAnsi="Arial"/>
                <w:b/>
                <w:color w:val="2B1F5E"/>
                <w:sz w:val="19"/>
              </w:rPr>
              <w:t>Industrial Piping Supervisor</w:t>
            </w:r>
          </w:p>
        </w:tc>
        <w:tc>
          <w:tcPr>
            <w:tcW w:w="28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300" w:lineRule="auto"/>
            </w:pPr>
            <w:r/>
            <w:r>
              <w:rPr>
                <w:rFonts w:ascii="Arial" w:hAnsi="Arial"/>
                <w:b w:val="0"/>
                <w:color w:val="3A3A46"/>
                <w:sz w:val="19"/>
              </w:rPr>
              <w:t>Walk a contractor through an isometric and confirm the line is right</w:t>
            </w:r>
          </w:p>
        </w:tc>
      </w:tr>
      <w:tr>
        <w:tc>
          <w:tcPr>
            <w:tcW w:w="22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300" w:lineRule="auto"/>
            </w:pPr>
            <w:r/>
            <w:r>
              <w:rPr>
                <w:rFonts w:ascii="Arial" w:hAnsi="Arial"/>
                <w:b/>
                <w:color w:val="2B1F5E"/>
                <w:sz w:val="19"/>
              </w:rPr>
              <w:t>Welding Production Supervision</w:t>
            </w:r>
          </w:p>
        </w:tc>
        <w:tc>
          <w:tcPr>
            <w:tcW w:w="28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300" w:lineRule="auto"/>
            </w:pPr>
            <w:r/>
            <w:r>
              <w:rPr>
                <w:rFonts w:ascii="Arial" w:hAnsi="Arial"/>
                <w:b w:val="0"/>
                <w:color w:val="3A3A46"/>
                <w:sz w:val="19"/>
              </w:rPr>
              <w:t>Discuss a weld-quality concern with a QA inspector; run a stop-work conversation</w:t>
            </w:r>
          </w:p>
        </w:tc>
      </w:tr>
      <w:tr>
        <w:tc>
          <w:tcPr>
            <w:tcW w:w="22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300" w:lineRule="auto"/>
            </w:pPr>
            <w:r/>
            <w:r>
              <w:rPr>
                <w:rFonts w:ascii="Arial" w:hAnsi="Arial"/>
                <w:b/>
                <w:color w:val="2B1F5E"/>
                <w:sz w:val="19"/>
              </w:rPr>
              <w:t>Boiler &amp; Pressure Vessel Equipment Supervisor</w:t>
            </w:r>
          </w:p>
        </w:tc>
        <w:tc>
          <w:tcPr>
            <w:tcW w:w="28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300" w:lineRule="auto"/>
            </w:pPr>
            <w:r/>
            <w:r>
              <w:rPr>
                <w:rFonts w:ascii="Arial" w:hAnsi="Arial"/>
                <w:b w:val="0"/>
                <w:color w:val="3A3A46"/>
                <w:sz w:val="19"/>
              </w:rPr>
              <w:t>Conduct a shift handover and a supervisor briefing</w:t>
            </w:r>
          </w:p>
        </w:tc>
      </w:tr>
      <w:tr>
        <w:tc>
          <w:tcPr>
            <w:tcW w:w="22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300" w:lineRule="auto"/>
            </w:pPr>
            <w:r/>
            <w:r>
              <w:rPr>
                <w:rFonts w:ascii="Arial" w:hAnsi="Arial"/>
                <w:b/>
                <w:color w:val="2B1F5E"/>
                <w:sz w:val="19"/>
              </w:rPr>
              <w:t>Storage Tank Supervisor</w:t>
            </w:r>
          </w:p>
        </w:tc>
        <w:tc>
          <w:tcPr>
            <w:tcW w:w="28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300" w:lineRule="auto"/>
            </w:pPr>
            <w:r/>
            <w:r>
              <w:rPr>
                <w:rFonts w:ascii="Arial" w:hAnsi="Arial"/>
                <w:b w:val="0"/>
                <w:color w:val="3A3A46"/>
                <w:sz w:val="19"/>
              </w:rPr>
              <w:t>Run a toolbox talk; report a material or equipment problem</w:t>
            </w:r>
          </w:p>
        </w:tc>
      </w:tr>
      <w:tr>
        <w:tc>
          <w:tcPr>
            <w:tcW w:w="22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300" w:lineRule="auto"/>
            </w:pPr>
            <w:r/>
            <w:r>
              <w:rPr>
                <w:rFonts w:ascii="Arial" w:hAnsi="Arial"/>
                <w:b/>
                <w:color w:val="2B1F5E"/>
                <w:sz w:val="19"/>
              </w:rPr>
              <w:t>All of the above</w:t>
            </w:r>
          </w:p>
        </w:tc>
        <w:tc>
          <w:tcPr>
            <w:tcW w:w="28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300" w:lineRule="auto"/>
            </w:pPr>
            <w:r/>
            <w:r>
              <w:rPr>
                <w:rFonts w:ascii="Arial" w:hAnsi="Arial"/>
                <w:b w:val="0"/>
                <w:color w:val="3A3A46"/>
                <w:sz w:val="19"/>
              </w:rPr>
              <w:t>Sit the supervisory interview before it counts, as often as they like</w:t>
            </w:r>
          </w:p>
        </w:tc>
      </w:tr>
    </w:tbl>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F0DFB4"/>
              <w:left w:val="single" w:sz="6" w:space="0" w:color="F0DFB4"/>
              <w:bottom w:val="single" w:sz="6" w:space="0" w:color="F0DFB4"/>
              <w:right w:val="single" w:sz="6" w:space="0" w:color="F0DFB4"/>
            </w:tcBorders>
            <w:shd w:val="clear" w:fill="FFF7E3"/>
            <w:tcMar>
              <w:top w:w="140" w:type="dxa"/>
              <w:start w:w="170" w:type="dxa"/>
              <w:bottom w:w="140" w:type="dxa"/>
              <w:end w:w="170" w:type="dxa"/>
            </w:tcMar>
          </w:tcPr>
          <w:p>
            <w:pPr>
              <w:spacing w:after="80"/>
            </w:pPr>
            <w:r/>
            <w:r>
              <w:rPr>
                <w:rFonts w:ascii="Arial" w:hAnsi="Arial"/>
                <w:b/>
                <w:color w:val="8A630B"/>
                <w:sz w:val="15"/>
                <w:spacing w:val="30"/>
              </w:rPr>
              <w:t>THE EXPANSION, IF THE PILOT WORKS</w:t>
            </w:r>
          </w:p>
          <w:p>
            <w:pPr>
              <w:spacing w:before="0" w:after="0" w:line="331" w:lineRule="auto"/>
            </w:pPr>
            <w:r>
              <w:rPr>
                <w:rFonts w:ascii="Arial" w:hAnsi="Arial"/>
                <w:b w:val="0"/>
                <w:color w:val="3A3A46"/>
                <w:sz w:val="19"/>
              </w:rPr>
              <w:t xml:space="preserve">Electrical, civil, instrumentation, renewable energy and metal structures are not yet built as BE Mastery tracks. </w:t>
            </w:r>
            <w:r>
              <w:rPr>
                <w:rFonts w:ascii="Arial" w:hAnsi="Arial"/>
                <w:b/>
                <w:color w:val="2B1F5E"/>
                <w:sz w:val="19"/>
              </w:rPr>
              <w:t>The pilot decides which one is built next, and Petrocertif chooses it.</w:t>
            </w:r>
          </w:p>
        </w:tc>
      </w:tr>
    </w:tbl>
    <w:p>
      <w:pPr>
        <w:spacing w:before="0" w:after="0"/>
      </w:pPr>
      <w:r>
        <w:rPr>
          <w:sz w:val="18"/>
        </w:rPr>
      </w:r>
    </w:p>
    <w:p>
      <w:pPr>
        <w:spacing w:before="220" w:after="40" w:line="317" w:lineRule="auto"/>
      </w:pPr>
      <w:r>
        <w:rPr>
          <w:rFonts w:ascii="Arial" w:hAnsi="Arial"/>
          <w:b/>
          <w:i w:val="0"/>
          <w:color w:val="4A32DC"/>
          <w:sz w:val="15"/>
          <w:spacing w:val="30"/>
        </w:rPr>
        <w:t>03</w:t>
      </w:r>
    </w:p>
    <w:p>
      <w:pPr>
        <w:spacing w:before="0" w:after="100" w:line="264" w:lineRule="auto"/>
        <w:pBdr>
          <w:bottom w:val="single" w:sz="10" w:space="4" w:color="4A32DC"/>
        </w:pBdr>
        <w:keepNext/>
      </w:pPr>
      <w:r>
        <w:rPr>
          <w:rFonts w:ascii="Arial" w:hAnsi="Arial"/>
          <w:b/>
          <w:i w:val="0"/>
          <w:color w:val="2B1F5E"/>
          <w:sz w:val="30"/>
        </w:rPr>
        <w:t>The pilot — 20 to 30 learners, four weeks, free</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Borders>
              <w:top w:val="single" w:sz="6" w:space="0" w:color="DDD9F5"/>
              <w:left w:val="single" w:sz="6" w:space="0" w:color="DDD9F5"/>
              <w:bottom w:val="single" w:sz="6" w:space="0" w:color="DDD9F5"/>
              <w:right w:val="single" w:sz="6" w:space="0" w:color="DDD9F5"/>
            </w:tcBorders>
            <w:shd w:val="clear" w:fill="F6F5FD"/>
            <w:tcMar>
              <w:top w:w="130" w:type="dxa"/>
              <w:start w:w="160" w:type="dxa"/>
              <w:bottom w:w="130" w:type="dxa"/>
              <w:end w:w="160" w:type="dxa"/>
            </w:tcMar>
          </w:tcPr>
          <w:p>
            <w:pPr>
              <w:spacing w:after="100"/>
            </w:pPr>
            <w:r/>
            <w:r>
              <w:rPr>
                <w:rFonts w:ascii="Arial" w:hAnsi="Arial"/>
                <w:b/>
                <w:color w:val="4A32DC"/>
                <w:sz w:val="15"/>
                <w:spacing w:val="30"/>
              </w:rPr>
              <w:t>PETROCERTIF PROVIDES</w:t>
            </w:r>
          </w:p>
          <w:p>
            <w:pPr>
              <w:spacing w:before="0" w:after="100" w:line="307" w:lineRule="auto"/>
              <w:ind w:left="295" w:hanging="295"/>
            </w:pPr>
            <w:r>
              <w:rPr>
                <w:rFonts w:ascii="Arial" w:hAnsi="Arial"/>
                <w:b/>
                <w:color w:val="4A32DC"/>
                <w:sz w:val="18"/>
              </w:rPr>
              <w:t xml:space="preserve">✓  </w:t>
            </w:r>
            <w:r>
              <w:rPr>
                <w:rFonts w:ascii="Arial" w:hAnsi="Arial"/>
                <w:b/>
                <w:color w:val="2B1F5E"/>
                <w:sz w:val="18"/>
              </w:rPr>
              <w:t>One cohort</w:t>
            </w:r>
            <w:r>
              <w:rPr>
                <w:rFonts w:ascii="Arial" w:hAnsi="Arial"/>
                <w:color w:val="3A3A46"/>
                <w:sz w:val="18"/>
              </w:rPr>
              <w:t xml:space="preserve"> of 20–30 learners from the three programmes above</w:t>
            </w:r>
          </w:p>
          <w:p>
            <w:pPr>
              <w:spacing w:before="0" w:after="100" w:line="307" w:lineRule="auto"/>
              <w:ind w:left="295" w:hanging="295"/>
            </w:pPr>
            <w:r>
              <w:rPr>
                <w:rFonts w:ascii="Arial" w:hAnsi="Arial"/>
                <w:b/>
                <w:color w:val="4A32DC"/>
                <w:sz w:val="18"/>
              </w:rPr>
              <w:t xml:space="preserve">✓  </w:t>
            </w:r>
            <w:r>
              <w:rPr>
                <w:rFonts w:ascii="Arial" w:hAnsi="Arial"/>
                <w:b/>
                <w:color w:val="2B1F5E"/>
                <w:sz w:val="18"/>
              </w:rPr>
              <w:t>One induction slot</w:t>
            </w:r>
            <w:r>
              <w:rPr>
                <w:rFonts w:ascii="Arial" w:hAnsi="Arial"/>
                <w:color w:val="3A3A46"/>
                <w:sz w:val="18"/>
              </w:rPr>
              <w:t xml:space="preserve"> of 20 minutes, to introduce the app</w:t>
            </w:r>
          </w:p>
          <w:p>
            <w:pPr>
              <w:spacing w:before="0" w:after="100" w:line="307" w:lineRule="auto"/>
              <w:ind w:left="295" w:hanging="295"/>
            </w:pPr>
            <w:r>
              <w:rPr>
                <w:rFonts w:ascii="Arial" w:hAnsi="Arial"/>
                <w:b/>
                <w:color w:val="4A32DC"/>
                <w:sz w:val="18"/>
              </w:rPr>
              <w:t xml:space="preserve">✓  </w:t>
            </w:r>
            <w:r>
              <w:rPr>
                <w:rFonts w:ascii="Arial" w:hAnsi="Arial"/>
                <w:b/>
                <w:color w:val="2B1F5E"/>
                <w:sz w:val="18"/>
              </w:rPr>
              <w:t>Instructor observations</w:t>
            </w:r>
            <w:r>
              <w:rPr>
                <w:rFonts w:ascii="Arial" w:hAnsi="Arial"/>
                <w:color w:val="3A3A46"/>
                <w:sz w:val="18"/>
              </w:rPr>
              <w:t xml:space="preserve"> — what teaching staff notice in class</w:t>
            </w:r>
          </w:p>
          <w:p>
            <w:pPr>
              <w:spacing w:before="0" w:after="0" w:line="307" w:lineRule="auto"/>
              <w:ind w:left="295" w:hanging="295"/>
            </w:pPr>
            <w:r>
              <w:rPr>
                <w:rFonts w:ascii="Arial" w:hAnsi="Arial"/>
                <w:b/>
                <w:color w:val="4A32DC"/>
                <w:sz w:val="18"/>
              </w:rPr>
              <w:t xml:space="preserve">✓  </w:t>
            </w:r>
            <w:r>
              <w:rPr>
                <w:rFonts w:ascii="Arial" w:hAnsi="Arial"/>
                <w:b/>
                <w:color w:val="2B1F5E"/>
                <w:sz w:val="18"/>
              </w:rPr>
              <w:t>Permission</w:t>
            </w:r>
            <w:r>
              <w:rPr>
                <w:rFonts w:ascii="Arial" w:hAnsi="Arial"/>
                <w:color w:val="3A3A46"/>
                <w:sz w:val="18"/>
              </w:rPr>
              <w:t xml:space="preserve"> to write up the result as a joint case study</w:t>
            </w:r>
          </w:p>
        </w:tc>
        <w:tc>
          <w:tcPr>
            <w:tcW w:w="97" w:type="pct"/>
          </w:tcPr>
          <w:p/>
        </w:tc>
        <w:tc>
          <w:tcPr>
            <w:tcW w:w="2452" w:type="pct"/>
            <w:tcBorders>
              <w:top w:val="single" w:sz="6" w:space="0" w:color="DDD9F5"/>
              <w:left w:val="single" w:sz="6" w:space="0" w:color="DDD9F5"/>
              <w:bottom w:val="single" w:sz="6" w:space="0" w:color="DDD9F5"/>
              <w:right w:val="single" w:sz="6" w:space="0" w:color="DDD9F5"/>
            </w:tcBorders>
            <w:shd w:val="clear" w:fill="F6F5FD"/>
            <w:tcMar>
              <w:top w:w="130" w:type="dxa"/>
              <w:start w:w="160" w:type="dxa"/>
              <w:bottom w:w="130" w:type="dxa"/>
              <w:end w:w="160" w:type="dxa"/>
            </w:tcMar>
          </w:tcPr>
          <w:p>
            <w:pPr>
              <w:spacing w:after="100"/>
            </w:pPr>
            <w:r/>
            <w:r>
              <w:rPr>
                <w:rFonts w:ascii="Arial" w:hAnsi="Arial"/>
                <w:b/>
                <w:color w:val="4A32DC"/>
                <w:sz w:val="15"/>
                <w:spacing w:val="30"/>
              </w:rPr>
              <w:t>BE MASTERY PROVIDES</w:t>
            </w:r>
          </w:p>
          <w:p>
            <w:pPr>
              <w:spacing w:before="0" w:after="100" w:line="307" w:lineRule="auto"/>
              <w:ind w:left="295" w:hanging="295"/>
            </w:pPr>
            <w:r>
              <w:rPr>
                <w:rFonts w:ascii="Arial" w:hAnsi="Arial"/>
                <w:b/>
                <w:color w:val="4A32DC"/>
                <w:sz w:val="18"/>
              </w:rPr>
              <w:t xml:space="preserve">✓  </w:t>
            </w:r>
            <w:r>
              <w:rPr>
                <w:rFonts w:ascii="Arial" w:hAnsi="Arial"/>
                <w:b/>
                <w:color w:val="2B1F5E"/>
                <w:sz w:val="18"/>
              </w:rPr>
              <w:t>Full access</w:t>
            </w:r>
            <w:r>
              <w:rPr>
                <w:rFonts w:ascii="Arial" w:hAnsi="Arial"/>
                <w:color w:val="3A3A46"/>
                <w:sz w:val="18"/>
              </w:rPr>
              <w:t xml:space="preserve"> for every learner, free, for the pilot and 30 days after</w:t>
            </w:r>
          </w:p>
          <w:p>
            <w:pPr>
              <w:spacing w:before="0" w:after="100" w:line="307" w:lineRule="auto"/>
              <w:ind w:left="295" w:hanging="295"/>
            </w:pPr>
            <w:r>
              <w:rPr>
                <w:rFonts w:ascii="Arial" w:hAnsi="Arial"/>
                <w:b/>
                <w:color w:val="4A32DC"/>
                <w:sz w:val="18"/>
              </w:rPr>
              <w:t xml:space="preserve">✓  </w:t>
            </w:r>
            <w:r>
              <w:rPr>
                <w:rFonts w:ascii="Arial" w:hAnsi="Arial"/>
                <w:b/>
                <w:color w:val="2B1F5E"/>
                <w:sz w:val="18"/>
              </w:rPr>
              <w:t>Onboarding</w:t>
            </w:r>
            <w:r>
              <w:rPr>
                <w:rFonts w:ascii="Arial" w:hAnsi="Arial"/>
                <w:color w:val="3A3A46"/>
                <w:sz w:val="18"/>
              </w:rPr>
              <w:t xml:space="preserve"> and a short guide in French and English</w:t>
            </w:r>
          </w:p>
          <w:p>
            <w:pPr>
              <w:spacing w:before="0" w:after="100" w:line="307" w:lineRule="auto"/>
              <w:ind w:left="295" w:hanging="295"/>
            </w:pPr>
            <w:r>
              <w:rPr>
                <w:rFonts w:ascii="Arial" w:hAnsi="Arial"/>
                <w:b/>
                <w:color w:val="4A32DC"/>
                <w:sz w:val="18"/>
              </w:rPr>
              <w:t xml:space="preserve">✓  </w:t>
            </w:r>
            <w:r>
              <w:rPr>
                <w:rFonts w:ascii="Arial" w:hAnsi="Arial"/>
                <w:b/>
                <w:color w:val="2B1F5E"/>
                <w:sz w:val="18"/>
              </w:rPr>
              <w:t>A weekly figure</w:t>
            </w:r>
            <w:r>
              <w:rPr>
                <w:rFonts w:ascii="Arial" w:hAnsi="Arial"/>
                <w:color w:val="3A3A46"/>
                <w:sz w:val="18"/>
              </w:rPr>
              <w:t xml:space="preserve"> sent to you — no chasing required</w:t>
            </w:r>
          </w:p>
          <w:p>
            <w:pPr>
              <w:spacing w:before="0" w:after="0" w:line="307" w:lineRule="auto"/>
              <w:ind w:left="295" w:hanging="295"/>
            </w:pPr>
            <w:r>
              <w:rPr>
                <w:rFonts w:ascii="Arial" w:hAnsi="Arial"/>
                <w:b/>
                <w:color w:val="4A32DC"/>
                <w:sz w:val="18"/>
              </w:rPr>
              <w:t xml:space="preserve">✓  </w:t>
            </w:r>
            <w:r>
              <w:rPr>
                <w:rFonts w:ascii="Arial" w:hAnsi="Arial"/>
                <w:b/>
                <w:color w:val="2B1F5E"/>
                <w:sz w:val="18"/>
              </w:rPr>
              <w:t>A closing report</w:t>
            </w:r>
            <w:r>
              <w:rPr>
                <w:rFonts w:ascii="Arial" w:hAnsi="Arial"/>
                <w:color w:val="3A3A46"/>
                <w:sz w:val="18"/>
              </w:rPr>
              <w:t xml:space="preserve"> you may show to anyone, and its underlying data</w:t>
            </w:r>
          </w:p>
        </w:tc>
      </w:tr>
    </w:tbl>
    <w:p>
      <w:pPr>
        <w:spacing w:before="0" w:after="0"/>
      </w:pPr>
      <w:r>
        <w:rPr>
          <w:sz w:val="16"/>
        </w:rPr>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1996"/>
        <w:gridCol w:w="7982"/>
      </w:tblGrid>
      <w:tr>
        <w:tc>
          <w:tcPr>
            <w:tcW w:w="10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WEEK</w:t>
            </w:r>
          </w:p>
        </w:tc>
        <w:tc>
          <w:tcPr>
            <w:tcW w:w="4000" w:type="pct"/>
            <w:shd w:val="clear" w:fill="2B1F5E"/>
            <w:tcMar>
              <w:top w:w="100" w:type="dxa"/>
              <w:start w:w="150" w:type="dxa"/>
              <w:bottom w:w="100" w:type="dxa"/>
              <w:end w:w="150" w:type="dxa"/>
            </w:tcMar>
          </w:tcPr>
          <w:p>
            <w:pPr>
              <w:spacing w:before="0" w:after="0"/>
            </w:pPr>
            <w:r/>
            <w:r>
              <w:rPr>
                <w:rFonts w:ascii="Arial" w:hAnsi="Arial"/>
                <w:b/>
                <w:color w:val="FFFFFF"/>
                <w:sz w:val="15"/>
                <w:spacing w:val="26"/>
              </w:rPr>
              <w:t>WHAT HAPPENS</w:t>
            </w:r>
          </w:p>
        </w:tc>
      </w:tr>
      <w:tr>
        <w:tc>
          <w:tcPr>
            <w:tcW w:w="10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300" w:lineRule="auto"/>
            </w:pPr>
            <w:r/>
            <w:r>
              <w:rPr>
                <w:rFonts w:ascii="Arial" w:hAnsi="Arial"/>
                <w:b/>
                <w:color w:val="2B1F5E"/>
                <w:sz w:val="19"/>
              </w:rPr>
              <w:t>Week 1</w:t>
            </w:r>
          </w:p>
        </w:tc>
        <w:tc>
          <w:tcPr>
            <w:tcW w:w="40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300" w:lineRule="auto"/>
            </w:pPr>
            <w:r/>
            <w:r>
              <w:rPr>
                <w:rFonts w:ascii="Arial" w:hAnsi="Arial"/>
                <w:b w:val="0"/>
                <w:color w:val="3A3A46"/>
                <w:sz w:val="19"/>
              </w:rPr>
              <w:t>Induction, accounts created, first recorded answer captured as the baseline</w:t>
            </w:r>
          </w:p>
        </w:tc>
      </w:tr>
      <w:tr>
        <w:tc>
          <w:tcPr>
            <w:tcW w:w="10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300" w:lineRule="auto"/>
            </w:pPr>
            <w:r/>
            <w:r>
              <w:rPr>
                <w:rFonts w:ascii="Arial" w:hAnsi="Arial"/>
                <w:b/>
                <w:color w:val="2B1F5E"/>
                <w:sz w:val="19"/>
              </w:rPr>
              <w:t>Weeks 2–3</w:t>
            </w:r>
          </w:p>
        </w:tc>
        <w:tc>
          <w:tcPr>
            <w:tcW w:w="40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300" w:lineRule="auto"/>
            </w:pPr>
            <w:r/>
            <w:r>
              <w:rPr>
                <w:rFonts w:ascii="Arial" w:hAnsi="Arial"/>
                <w:b w:val="0"/>
                <w:color w:val="3A3A46"/>
                <w:sz w:val="19"/>
              </w:rPr>
              <w:t>Learners practise in their own time — 25 minutes a day is the design target</w:t>
            </w:r>
          </w:p>
        </w:tc>
      </w:tr>
      <w:tr>
        <w:tc>
          <w:tcPr>
            <w:tcW w:w="10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300" w:lineRule="auto"/>
            </w:pPr>
            <w:r/>
            <w:r>
              <w:rPr>
                <w:rFonts w:ascii="Arial" w:hAnsi="Arial"/>
                <w:b/>
                <w:color w:val="2B1F5E"/>
                <w:sz w:val="19"/>
              </w:rPr>
              <w:t>Week 4</w:t>
            </w:r>
          </w:p>
        </w:tc>
        <w:tc>
          <w:tcPr>
            <w:tcW w:w="4000" w:type="pct"/>
            <w:tcBorders>
              <w:top w:val="single" w:sz="4" w:space="0" w:color="E4E1F6"/>
              <w:left w:val="single" w:sz="4" w:space="0" w:color="E4E1F6"/>
              <w:bottom w:val="single" w:sz="4" w:space="0" w:color="E4E1F6"/>
              <w:right w:val="single" w:sz="4" w:space="0" w:color="E4E1F6"/>
            </w:tcBorders>
            <w:shd w:val="clear" w:fill="FFFFFF"/>
            <w:tcMar>
              <w:top w:w="90" w:type="dxa"/>
              <w:start w:w="150" w:type="dxa"/>
              <w:bottom w:w="90" w:type="dxa"/>
              <w:end w:w="150" w:type="dxa"/>
            </w:tcMar>
          </w:tcPr>
          <w:p>
            <w:pPr>
              <w:spacing w:before="0" w:after="0" w:line="300" w:lineRule="auto"/>
            </w:pPr>
            <w:r/>
            <w:r>
              <w:rPr>
                <w:rFonts w:ascii="Arial" w:hAnsi="Arial"/>
                <w:b w:val="0"/>
                <w:color w:val="3A3A46"/>
                <w:sz w:val="19"/>
              </w:rPr>
              <w:t>Interview simulations, closing measurement, learner and instructor feedback</w:t>
            </w:r>
          </w:p>
        </w:tc>
      </w:tr>
      <w:tr>
        <w:tc>
          <w:tcPr>
            <w:tcW w:w="10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300" w:lineRule="auto"/>
            </w:pPr>
            <w:r/>
            <w:r>
              <w:rPr>
                <w:rFonts w:ascii="Arial" w:hAnsi="Arial"/>
                <w:b/>
                <w:color w:val="2B1F5E"/>
                <w:sz w:val="19"/>
              </w:rPr>
              <w:t>After</w:t>
            </w:r>
          </w:p>
        </w:tc>
        <w:tc>
          <w:tcPr>
            <w:tcW w:w="4000" w:type="pct"/>
            <w:tcBorders>
              <w:top w:val="single" w:sz="4" w:space="0" w:color="E4E1F6"/>
              <w:left w:val="single" w:sz="4" w:space="0" w:color="E4E1F6"/>
              <w:bottom w:val="single" w:sz="4" w:space="0" w:color="E4E1F6"/>
              <w:right w:val="single" w:sz="4" w:space="0" w:color="E4E1F6"/>
            </w:tcBorders>
            <w:shd w:val="clear" w:fill="F6F5FD"/>
            <w:tcMar>
              <w:top w:w="90" w:type="dxa"/>
              <w:start w:w="150" w:type="dxa"/>
              <w:bottom w:w="90" w:type="dxa"/>
              <w:end w:w="150" w:type="dxa"/>
            </w:tcMar>
          </w:tcPr>
          <w:p>
            <w:pPr>
              <w:spacing w:before="0" w:after="0" w:line="300" w:lineRule="auto"/>
            </w:pPr>
            <w:r/>
            <w:r>
              <w:rPr>
                <w:rFonts w:ascii="Arial" w:hAnsi="Arial"/>
                <w:b w:val="0"/>
                <w:color w:val="3A3A46"/>
                <w:sz w:val="19"/>
              </w:rPr>
              <w:t>Joint report. Nothing is published without Petrocertif's written approval</w:t>
            </w:r>
          </w:p>
        </w:tc>
      </w:tr>
    </w:tbl>
    <w:p>
      <w:r>
        <w:br w:type="page"/>
      </w:r>
    </w:p>
    <w:p>
      <w:pPr>
        <w:spacing w:before="0" w:after="0"/>
      </w:pPr>
      <w:r>
        <w:rPr>
          <w:sz w:val="20"/>
        </w:rPr>
      </w:r>
    </w:p>
    <w:p>
      <w:pPr>
        <w:spacing w:before="220" w:after="40" w:line="317" w:lineRule="auto"/>
      </w:pPr>
      <w:r>
        <w:rPr>
          <w:rFonts w:ascii="Arial" w:hAnsi="Arial"/>
          <w:b/>
          <w:i w:val="0"/>
          <w:color w:val="4A32DC"/>
          <w:sz w:val="15"/>
          <w:spacing w:val="30"/>
        </w:rPr>
        <w:t>04</w:t>
      </w:r>
    </w:p>
    <w:p>
      <w:pPr>
        <w:spacing w:before="0" w:after="100" w:line="264" w:lineRule="auto"/>
        <w:pBdr>
          <w:bottom w:val="single" w:sz="10" w:space="4" w:color="4A32DC"/>
        </w:pBdr>
        <w:keepNext/>
      </w:pPr>
      <w:r>
        <w:rPr>
          <w:rFonts w:ascii="Arial" w:hAnsi="Arial"/>
          <w:b/>
          <w:i w:val="0"/>
          <w:color w:val="2B1F5E"/>
          <w:sz w:val="30"/>
        </w:rPr>
        <w:t>What we agree to measure</w:t>
      </w:r>
    </w:p>
    <w:p>
      <w:pPr>
        <w:spacing w:before="0" w:after="160" w:line="336" w:lineRule="auto"/>
      </w:pPr>
      <w:r>
        <w:rPr>
          <w:rFonts w:ascii="Arial" w:hAnsi="Arial"/>
          <w:b w:val="0"/>
          <w:i w:val="0"/>
          <w:color w:val="3A3A46"/>
          <w:sz w:val="20"/>
        </w:rPr>
        <w:t>Success is agreed before the pilot starts, not argued about afterwards. Seven things, reported together:</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tcPr>
          <w:p>
            <w:pPr>
              <w:spacing w:after="0"/>
            </w:pPr>
            <w:r/>
            <w:r>
              <w:rPr>
                <w:sz w:val="2"/>
              </w:rPr>
            </w:r>
          </w:p>
          <w:p>
            <w:pPr>
              <w:spacing w:before="0" w:after="100" w:line="307" w:lineRule="auto"/>
              <w:ind w:left="295" w:hanging="295"/>
            </w:pPr>
            <w:r>
              <w:rPr>
                <w:rFonts w:ascii="Arial" w:hAnsi="Arial"/>
                <w:b/>
                <w:color w:val="4A32DC"/>
                <w:sz w:val="18"/>
              </w:rPr>
              <w:t xml:space="preserve">✓  </w:t>
            </w:r>
            <w:r>
              <w:rPr>
                <w:rFonts w:ascii="Arial" w:hAnsi="Arial"/>
                <w:b/>
                <w:color w:val="2B1F5E"/>
                <w:sz w:val="18"/>
              </w:rPr>
              <w:t>Activation</w:t>
            </w:r>
            <w:r>
              <w:rPr>
                <w:rFonts w:ascii="Arial" w:hAnsi="Arial"/>
                <w:color w:val="3A3A46"/>
                <w:sz w:val="18"/>
              </w:rPr>
              <w:t xml:space="preserve"> — learners who start and finish setup</w:t>
            </w:r>
          </w:p>
          <w:p>
            <w:pPr>
              <w:spacing w:before="0" w:after="100" w:line="307" w:lineRule="auto"/>
              <w:ind w:left="295" w:hanging="295"/>
            </w:pPr>
            <w:r>
              <w:rPr>
                <w:rFonts w:ascii="Arial" w:hAnsi="Arial"/>
                <w:b/>
                <w:color w:val="4A32DC"/>
                <w:sz w:val="18"/>
              </w:rPr>
              <w:t xml:space="preserve">✓  </w:t>
            </w:r>
            <w:r>
              <w:rPr>
                <w:rFonts w:ascii="Arial" w:hAnsi="Arial"/>
                <w:b/>
                <w:color w:val="2B1F5E"/>
                <w:sz w:val="18"/>
              </w:rPr>
              <w:t>Participation</w:t>
            </w:r>
            <w:r>
              <w:rPr>
                <w:rFonts w:ascii="Arial" w:hAnsi="Arial"/>
                <w:color w:val="3A3A46"/>
                <w:sz w:val="18"/>
              </w:rPr>
              <w:t xml:space="preserve"> — learners active across the four weeks</w:t>
            </w:r>
          </w:p>
          <w:p>
            <w:pPr>
              <w:spacing w:before="0" w:after="100" w:line="307" w:lineRule="auto"/>
              <w:ind w:left="295" w:hanging="295"/>
            </w:pPr>
            <w:r>
              <w:rPr>
                <w:rFonts w:ascii="Arial" w:hAnsi="Arial"/>
                <w:b/>
                <w:color w:val="4A32DC"/>
                <w:sz w:val="18"/>
              </w:rPr>
              <w:t xml:space="preserve">✓  </w:t>
            </w:r>
            <w:r>
              <w:rPr>
                <w:rFonts w:ascii="Arial" w:hAnsi="Arial"/>
                <w:b/>
                <w:color w:val="2B1F5E"/>
                <w:sz w:val="18"/>
              </w:rPr>
              <w:t>Speaking activities</w:t>
            </w:r>
            <w:r>
              <w:rPr>
                <w:rFonts w:ascii="Arial" w:hAnsi="Arial"/>
                <w:color w:val="3A3A46"/>
                <w:sz w:val="18"/>
              </w:rPr>
              <w:t xml:space="preserve"> — workplace scenarios completed</w:t>
            </w:r>
          </w:p>
          <w:p>
            <w:pPr>
              <w:spacing w:before="0" w:after="0" w:line="307" w:lineRule="auto"/>
              <w:ind w:left="295" w:hanging="295"/>
            </w:pPr>
            <w:r>
              <w:rPr>
                <w:rFonts w:ascii="Arial" w:hAnsi="Arial"/>
                <w:b/>
                <w:color w:val="4A32DC"/>
                <w:sz w:val="18"/>
              </w:rPr>
              <w:t xml:space="preserve">✓  </w:t>
            </w:r>
            <w:r>
              <w:rPr>
                <w:rFonts w:ascii="Arial" w:hAnsi="Arial"/>
                <w:b/>
                <w:color w:val="2B1F5E"/>
                <w:sz w:val="18"/>
              </w:rPr>
              <w:t>Recurring usage</w:t>
            </w:r>
            <w:r>
              <w:rPr>
                <w:rFonts w:ascii="Arial" w:hAnsi="Arial"/>
                <w:color w:val="3A3A46"/>
                <w:sz w:val="18"/>
              </w:rPr>
              <w:t xml:space="preserve"> — learners returning week on week</w:t>
            </w:r>
          </w:p>
        </w:tc>
        <w:tc>
          <w:tcPr>
            <w:tcW w:w="97" w:type="pct"/>
          </w:tcPr>
          <w:p/>
        </w:tc>
        <w:tc>
          <w:tcPr>
            <w:tcW w:w="2452" w:type="pct"/>
            <w:tcBorders>
              <w:top w:val="single" w:sz="6" w:space="0" w:color="DDD9F5"/>
              <w:left w:val="single" w:sz="6" w:space="0" w:color="DDD9F5"/>
              <w:bottom w:val="single" w:sz="6" w:space="0" w:color="DDD9F5"/>
              <w:right w:val="single" w:sz="6" w:space="0" w:color="DDD9F5"/>
            </w:tcBorders>
            <w:shd w:val="clear" w:fill="F6F5FD"/>
            <w:tcMar>
              <w:top w:w="140" w:type="dxa"/>
              <w:start w:w="160" w:type="dxa"/>
              <w:bottom w:w="140" w:type="dxa"/>
              <w:end w:w="160" w:type="dxa"/>
            </w:tcMar>
          </w:tcPr>
          <w:p>
            <w:pPr>
              <w:spacing w:after="0"/>
            </w:pPr>
            <w:r/>
            <w:r>
              <w:rPr>
                <w:sz w:val="2"/>
              </w:rPr>
            </w:r>
          </w:p>
          <w:p>
            <w:pPr>
              <w:spacing w:before="0" w:after="100" w:line="307" w:lineRule="auto"/>
              <w:ind w:left="295" w:hanging="295"/>
            </w:pPr>
            <w:r>
              <w:rPr>
                <w:rFonts w:ascii="Arial" w:hAnsi="Arial"/>
                <w:b/>
                <w:color w:val="4A32DC"/>
                <w:sz w:val="18"/>
              </w:rPr>
              <w:t xml:space="preserve">✓  </w:t>
            </w:r>
            <w:r>
              <w:rPr>
                <w:rFonts w:ascii="Arial" w:hAnsi="Arial"/>
                <w:b/>
                <w:color w:val="2B1F5E"/>
                <w:sz w:val="18"/>
              </w:rPr>
              <w:t>Learner feedback</w:t>
            </w:r>
            <w:r>
              <w:rPr>
                <w:rFonts w:ascii="Arial" w:hAnsi="Arial"/>
                <w:color w:val="3A3A46"/>
                <w:sz w:val="18"/>
              </w:rPr>
              <w:t xml:space="preserve"> — confidence, and whether it felt useful</w:t>
            </w:r>
          </w:p>
          <w:p>
            <w:pPr>
              <w:spacing w:before="0" w:after="100" w:line="307" w:lineRule="auto"/>
              <w:ind w:left="295" w:hanging="295"/>
            </w:pPr>
            <w:r>
              <w:rPr>
                <w:rFonts w:ascii="Arial" w:hAnsi="Arial"/>
                <w:b/>
                <w:color w:val="4A32DC"/>
                <w:sz w:val="18"/>
              </w:rPr>
              <w:t xml:space="preserve">✓  </w:t>
            </w:r>
            <w:r>
              <w:rPr>
                <w:rFonts w:ascii="Arial" w:hAnsi="Arial"/>
                <w:b/>
                <w:color w:val="2B1F5E"/>
                <w:sz w:val="18"/>
              </w:rPr>
              <w:t>Coverage change</w:t>
            </w:r>
            <w:r>
              <w:rPr>
                <w:rFonts w:ascii="Arial" w:hAnsi="Arial"/>
                <w:color w:val="3A3A46"/>
                <w:sz w:val="18"/>
              </w:rPr>
              <w:t xml:space="preserve"> — first recorded answer against last</w:t>
            </w:r>
          </w:p>
          <w:p>
            <w:pPr>
              <w:spacing w:before="0" w:after="0" w:line="307" w:lineRule="auto"/>
              <w:ind w:left="295" w:hanging="295"/>
            </w:pPr>
            <w:r>
              <w:rPr>
                <w:rFonts w:ascii="Arial" w:hAnsi="Arial"/>
                <w:b/>
                <w:color w:val="4A32DC"/>
                <w:sz w:val="18"/>
              </w:rPr>
              <w:t xml:space="preserve">✓  </w:t>
            </w:r>
            <w:r>
              <w:rPr>
                <w:rFonts w:ascii="Arial" w:hAnsi="Arial"/>
                <w:b/>
                <w:color w:val="2B1F5E"/>
                <w:sz w:val="18"/>
              </w:rPr>
              <w:t>Instructor observations</w:t>
            </w:r>
            <w:r>
              <w:rPr>
                <w:rFonts w:ascii="Arial" w:hAnsi="Arial"/>
                <w:color w:val="3A3A46"/>
                <w:sz w:val="18"/>
              </w:rPr>
              <w:t xml:space="preserve"> — what your staff notice in class</w:t>
            </w:r>
          </w:p>
        </w:tc>
      </w:tr>
    </w:tbl>
    <w:p>
      <w:pPr>
        <w:spacing w:before="0" w:after="0"/>
      </w:pPr>
      <w:r>
        <w:rPr>
          <w:sz w:val="16"/>
        </w:rPr>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BFE0CE"/>
              <w:left w:val="single" w:sz="6" w:space="0" w:color="BFE0CE"/>
              <w:bottom w:val="single" w:sz="6" w:space="0" w:color="BFE0CE"/>
              <w:right w:val="single" w:sz="6" w:space="0" w:color="BFE0CE"/>
            </w:tcBorders>
            <w:shd w:val="clear" w:fill="EAF6F0"/>
            <w:tcMar>
              <w:top w:w="140" w:type="dxa"/>
              <w:start w:w="170" w:type="dxa"/>
              <w:bottom w:w="140" w:type="dxa"/>
              <w:end w:w="170" w:type="dxa"/>
            </w:tcMar>
          </w:tcPr>
          <w:p>
            <w:pPr>
              <w:spacing w:after="80"/>
            </w:pPr>
            <w:r/>
            <w:r>
              <w:rPr>
                <w:rFonts w:ascii="Arial" w:hAnsi="Arial"/>
                <w:b/>
                <w:color w:val="1D6B46"/>
                <w:sz w:val="15"/>
                <w:spacing w:val="30"/>
              </w:rPr>
              <w:t>THE ONE QUESTION THE PILOT ANSWERS</w:t>
            </w:r>
          </w:p>
          <w:p>
            <w:pPr>
              <w:spacing w:before="0" w:after="0" w:line="331" w:lineRule="auto"/>
            </w:pPr>
            <w:r>
              <w:rPr>
                <w:rFonts w:ascii="Arial" w:hAnsi="Arial"/>
                <w:b/>
                <w:color w:val="2B1F5E"/>
                <w:sz w:val="19"/>
              </w:rPr>
              <w:t>Does adding profession-specific spoken-English practice to a Petrocertif programme measurably improve how confidently a supervisor explains their work in English?</w:t>
            </w:r>
          </w:p>
        </w:tc>
      </w:tr>
    </w:tbl>
    <w:p>
      <w:pPr>
        <w:spacing w:before="0" w:after="0"/>
      </w:pPr>
      <w:r>
        <w:rPr>
          <w:sz w:val="18"/>
        </w:rPr>
      </w:r>
    </w:p>
    <w:p>
      <w:pPr>
        <w:spacing w:before="220" w:after="40" w:line="317" w:lineRule="auto"/>
      </w:pPr>
      <w:r>
        <w:rPr>
          <w:rFonts w:ascii="Arial" w:hAnsi="Arial"/>
          <w:b/>
          <w:i w:val="0"/>
          <w:color w:val="4A32DC"/>
          <w:sz w:val="15"/>
          <w:spacing w:val="30"/>
        </w:rPr>
        <w:t>05</w:t>
      </w:r>
    </w:p>
    <w:p>
      <w:pPr>
        <w:spacing w:before="0" w:after="100" w:line="264" w:lineRule="auto"/>
        <w:pBdr>
          <w:bottom w:val="single" w:sz="10" w:space="4" w:color="4A32DC"/>
        </w:pBdr>
        <w:keepNext/>
      </w:pPr>
      <w:r>
        <w:rPr>
          <w:rFonts w:ascii="Arial" w:hAnsi="Arial"/>
          <w:b/>
          <w:i w:val="0"/>
          <w:color w:val="2B1F5E"/>
          <w:sz w:val="30"/>
        </w:rPr>
        <w:t>What each side gets out of it</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4893"/>
        <w:gridCol w:w="193"/>
        <w:gridCol w:w="4893"/>
      </w:tblGrid>
      <w:tr>
        <w:tc>
          <w:tcPr>
            <w:tcW w:w="2452" w:type="pct"/>
            <w:tcBorders>
              <w:top w:val="single" w:sz="6" w:space="0" w:color="D6D0F4"/>
              <w:left w:val="single" w:sz="6" w:space="0" w:color="D6D0F4"/>
              <w:bottom w:val="single" w:sz="6" w:space="0" w:color="D6D0F4"/>
              <w:right w:val="single" w:sz="6" w:space="0" w:color="D6D0F4"/>
            </w:tcBorders>
            <w:shd w:val="clear" w:fill="EFEDFB"/>
            <w:tcMar>
              <w:top w:w="140" w:type="dxa"/>
              <w:start w:w="160" w:type="dxa"/>
              <w:bottom w:w="140" w:type="dxa"/>
              <w:end w:w="160" w:type="dxa"/>
            </w:tcMar>
            <w:vAlign w:val="top"/>
          </w:tcPr>
          <w:p>
            <w:pPr>
              <w:spacing w:before="0" w:after="60" w:line="283" w:lineRule="auto"/>
            </w:pPr>
            <w:r/>
            <w:r>
              <w:rPr>
                <w:rFonts w:ascii="Arial" w:hAnsi="Arial"/>
                <w:b/>
                <w:color w:val="2B1F5E"/>
                <w:sz w:val="21"/>
              </w:rPr>
              <w:t>Petrocertif Construction Academy</w:t>
            </w:r>
          </w:p>
          <w:p>
            <w:pPr>
              <w:spacing w:before="0" w:after="0" w:line="317" w:lineRule="auto"/>
            </w:pPr>
            <w:r>
              <w:rPr>
                <w:rFonts w:ascii="Arial" w:hAnsi="Arial"/>
                <w:color w:val="3A3A46"/>
                <w:sz w:val="18"/>
              </w:rPr>
              <w:t>The English line in your course offer stops being a promise and becomes an evidenced benefit, with a report you can show learners, employers and partners. First choice of which discipline is built next. No cost and no commitment.</w:t>
            </w:r>
          </w:p>
        </w:tc>
        <w:tc>
          <w:tcPr>
            <w:tcW w:w="97" w:type="pct"/>
          </w:tcPr>
          <w:p/>
        </w:tc>
        <w:tc>
          <w:tcPr>
            <w:tcW w:w="2452" w:type="pct"/>
            <w:tcBorders>
              <w:top w:val="single" w:sz="6" w:space="0" w:color="D6D0F4"/>
              <w:left w:val="single" w:sz="6" w:space="0" w:color="D6D0F4"/>
              <w:bottom w:val="single" w:sz="6" w:space="0" w:color="D6D0F4"/>
              <w:right w:val="single" w:sz="6" w:space="0" w:color="D6D0F4"/>
            </w:tcBorders>
            <w:shd w:val="clear" w:fill="EFEDFB"/>
            <w:tcMar>
              <w:top w:w="140" w:type="dxa"/>
              <w:start w:w="160" w:type="dxa"/>
              <w:bottom w:w="140" w:type="dxa"/>
              <w:end w:w="160" w:type="dxa"/>
            </w:tcMar>
            <w:vAlign w:val="top"/>
          </w:tcPr>
          <w:p>
            <w:pPr>
              <w:spacing w:before="0" w:after="60" w:line="283" w:lineRule="auto"/>
            </w:pPr>
            <w:r/>
            <w:r>
              <w:rPr>
                <w:rFonts w:ascii="Arial" w:hAnsi="Arial"/>
                <w:b/>
                <w:color w:val="2B1F5E"/>
                <w:sz w:val="21"/>
              </w:rPr>
              <w:t>Lomonec / BE Mastery</w:t>
            </w:r>
          </w:p>
          <w:p>
            <w:pPr>
              <w:spacing w:before="0" w:after="0" w:line="317" w:lineRule="auto"/>
            </w:pPr>
            <w:r>
              <w:rPr>
                <w:rFonts w:ascii="Arial" w:hAnsi="Arial"/>
                <w:color w:val="3A3A46"/>
                <w:sz w:val="18"/>
              </w:rPr>
              <w:t>The first measured cohort, and the evidence needed before approaching any other training organisation. Honest product feedback from instructors who know the trade.</w:t>
            </w:r>
          </w:p>
        </w:tc>
      </w:tr>
    </w:tbl>
    <w:p>
      <w:pPr>
        <w:spacing w:before="0" w:after="0"/>
      </w:pPr>
      <w:r>
        <w:rPr>
          <w:sz w:val="18"/>
        </w:rPr>
      </w:r>
    </w:p>
    <w:p>
      <w:pPr>
        <w:spacing w:before="220" w:after="40" w:line="317" w:lineRule="auto"/>
      </w:pPr>
      <w:r>
        <w:rPr>
          <w:rFonts w:ascii="Arial" w:hAnsi="Arial"/>
          <w:b/>
          <w:i w:val="0"/>
          <w:color w:val="4A32DC"/>
          <w:sz w:val="15"/>
          <w:spacing w:val="30"/>
        </w:rPr>
        <w:t>06</w:t>
      </w:r>
    </w:p>
    <w:p>
      <w:pPr>
        <w:spacing w:before="0" w:after="100" w:line="264" w:lineRule="auto"/>
        <w:pBdr>
          <w:bottom w:val="single" w:sz="10" w:space="4" w:color="4A32DC"/>
        </w:pBdr>
        <w:keepNext/>
      </w:pPr>
      <w:r>
        <w:rPr>
          <w:rFonts w:ascii="Arial" w:hAnsi="Arial"/>
          <w:b/>
          <w:i w:val="0"/>
          <w:color w:val="2B1F5E"/>
          <w:sz w:val="30"/>
        </w:rPr>
        <w:t>Scope, integrity and data</w:t>
      </w:r>
    </w:p>
    <w:p>
      <w:pPr>
        <w:spacing w:before="0" w:after="140" w:line="336" w:lineRule="auto"/>
      </w:pPr>
      <w:r>
        <w:rPr>
          <w:rFonts w:ascii="Arial" w:hAnsi="Arial"/>
          <w:b w:val="0"/>
          <w:i w:val="0"/>
          <w:color w:val="3A3A46"/>
          <w:sz w:val="20"/>
        </w:rPr>
        <w:t>BE Mastery does not replace technical training, professional licensing, trade certification, immigration requirements or employer qualification processes. Its role is deliberately narrow: professional English, workplace communication practice, and evidence of communication development.</w:t>
      </w:r>
    </w:p>
    <w:tbl>
      <w:tblPr>
        <w:tblW w:type="auto" w:w="0"/>
        <w:tblW w:w="5000" w:type="pct"/>
        <w:tblBorders>
          <w:top w:val="none" w:sz="0"/>
          <w:left w:val="none" w:sz="0"/>
          <w:bottom w:val="none" w:sz="0"/>
          <w:right w:val="none" w:sz="0"/>
          <w:insideH w:val="none" w:sz="0"/>
          <w:insideV w:val="none" w:sz="0"/>
        </w:tblBorders>
        <w:tblLayout w:type="fixed"/>
        <w:tblLayout w:type="fixed"/>
        <w:tblLook w:firstColumn="1" w:firstRow="1" w:lastColumn="0" w:lastRow="0" w:noHBand="0" w:noVBand="1" w:val="04A0"/>
      </w:tblPr>
      <w:tblGrid>
        <w:gridCol w:w="9978"/>
      </w:tblGrid>
      <w:tr>
        <w:tc>
          <w:tcPr>
            <w:tcW w:w="5000" w:type="pct"/>
            <w:tcBorders>
              <w:top w:val="single" w:sz="6" w:space="0" w:color="F2C9C9"/>
              <w:left w:val="single" w:sz="6" w:space="0" w:color="F2C9C9"/>
              <w:bottom w:val="single" w:sz="6" w:space="0" w:color="F2C9C9"/>
              <w:right w:val="single" w:sz="6" w:space="0" w:color="F2C9C9"/>
            </w:tcBorders>
            <w:shd w:val="clear" w:fill="FDEEEE"/>
            <w:tcMar>
              <w:top w:w="140" w:type="dxa"/>
              <w:start w:w="170" w:type="dxa"/>
              <w:bottom w:w="140" w:type="dxa"/>
              <w:end w:w="170" w:type="dxa"/>
            </w:tcMar>
          </w:tcPr>
          <w:p>
            <w:pPr>
              <w:spacing w:after="80"/>
            </w:pPr>
            <w:r/>
            <w:r>
              <w:rPr>
                <w:rFonts w:ascii="Arial" w:hAnsi="Arial"/>
                <w:b/>
                <w:color w:val="A32B2B"/>
                <w:sz w:val="15"/>
                <w:spacing w:val="30"/>
              </w:rPr>
              <w:t>TWO THINGS TO STATE PLAINLY</w:t>
            </w:r>
          </w:p>
          <w:p>
            <w:pPr>
              <w:spacing w:before="0" w:after="0" w:line="331" w:lineRule="auto"/>
            </w:pPr>
            <w:r>
              <w:rPr>
                <w:rFonts w:ascii="Arial" w:hAnsi="Arial"/>
                <w:b/>
                <w:color w:val="2B1F5E"/>
                <w:sz w:val="19"/>
              </w:rPr>
              <w:t xml:space="preserve">The certificate BE Mastery issues is a completion certificate for its 84-session programme. It is not a recognised English proficiency qualification, and the app does not assess written English. </w:t>
            </w:r>
            <w:r>
              <w:rPr>
                <w:rFonts w:ascii="Arial" w:hAnsi="Arial"/>
                <w:b w:val="0"/>
                <w:color w:val="3A3A46"/>
                <w:sz w:val="19"/>
              </w:rPr>
              <w:t>Recordings stay on the learner's own device; only the clip being scored is sent for transcription, and no learner personal data is shared with any third party. Both points are worth reflecting in the course page wording before the cohort starts.</w:t>
            </w:r>
          </w:p>
        </w:tc>
      </w:tr>
    </w:tbl>
    <w:p>
      <w:pPr>
        <w:spacing w:before="0" w:after="0"/>
      </w:pPr>
      <w:r>
        <w:rPr>
          <w:sz w:val="20"/>
        </w:rPr>
      </w:r>
    </w:p>
    <w:p>
      <w:pPr>
        <w:spacing w:before="120" w:after="200" w:line="317" w:lineRule="auto"/>
        <w:jc w:val="center"/>
      </w:pPr>
      <w:r>
        <w:rPr>
          <w:rFonts w:ascii="Arial" w:hAnsi="Arial"/>
          <w:b w:val="0"/>
          <w:i/>
          <w:color w:val="6B7083"/>
          <w:sz w:val="21"/>
        </w:rPr>
        <w:t>One cohort. Four weeks. No cost, no licence discussion, and nothing published without your approval.</w:t>
      </w:r>
    </w:p>
    <w:p>
      <w:pPr>
        <w:spacing w:before="0" w:after="0" w:line="240" w:lineRule="auto"/>
        <w:ind w:left="-964" w:right="-964"/>
      </w:pPr>
      <w:r>
        <w:drawing>
          <wp:inline xmlns:a="http://schemas.openxmlformats.org/drawingml/2006/main" xmlns:pic="http://schemas.openxmlformats.org/drawingml/2006/picture">
            <wp:extent cx="7560000" cy="914516"/>
            <wp:docPr id="2" name="Picture 2"/>
            <wp:cNvGraphicFramePr>
              <a:graphicFrameLocks noChangeAspect="1"/>
            </wp:cNvGraphicFramePr>
            <a:graphic>
              <a:graphicData uri="http://schemas.openxmlformats.org/drawingml/2006/picture">
                <pic:pic>
                  <pic:nvPicPr>
                    <pic:cNvPr id="0" name="footer.jpg"/>
                    <pic:cNvPicPr/>
                  </pic:nvPicPr>
                  <pic:blipFill>
                    <a:blip r:embed="rId10"/>
                    <a:stretch>
                      <a:fillRect/>
                    </a:stretch>
                  </pic:blipFill>
                  <pic:spPr>
                    <a:xfrm>
                      <a:off x="0" y="0"/>
                      <a:ext cx="7560000" cy="914516"/>
                    </a:xfrm>
                    <a:prstGeom prst="rect"/>
                  </pic:spPr>
                </pic:pic>
              </a:graphicData>
            </a:graphic>
          </wp:inline>
        </w:drawing>
      </w:r>
    </w:p>
    <w:sectPr w:rsidR="00FC693F" w:rsidRPr="0006063C" w:rsidSect="00034616">
      <w:pgSz w:w="11906" w:h="16838"/>
      <w:pgMar w:top="0" w:right="964" w:bottom="62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3A3A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Petrocertif Construction Academy × BE Mastery — four-week pilot proposal</dc:title>
  <dc:subject>Professional English for supervisors in industrial and energy projects</dc:subject>
  <dc:creator>Lomonec LLC</dc:creator>
  <cp:keywords/>
  <dc:description>generated by python-docx</dc:description>
  <cp:lastModifiedBy/>
  <cp:revision>1</cp:revision>
  <dcterms:created xsi:type="dcterms:W3CDTF">2013-12-23T23:15:00Z</dcterms:created>
  <dcterms:modified xsi:type="dcterms:W3CDTF">2013-12-23T23:15:00Z</dcterms:modified>
  <cp:category>Pilot proposal</cp:category>
</cp:coreProperties>
</file>