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22" w:color="0FB69C" w:space="4"/>
        </w:pBdr>
      </w:pPr>
      <w:r>
        <w:rPr>
          <w:rFonts w:ascii="Calibri" w:hAnsi="Calibri"/>
          <w:b/>
          <w:color w:val="0A1628"/>
          <w:sz w:val="36"/>
        </w:rPr>
        <w:t>RÉFÉRENCES BIBLIOGRAPHIQUES</w:t>
      </w:r>
    </w:p>
    <w:p>
      <w:pPr>
        <w:jc w:val="both"/>
      </w:pPr>
      <w:r>
        <w:rPr>
          <w:i/>
          <w:sz w:val="20"/>
        </w:rPr>
        <w:t>Bibliographie reconstituée à partir des citations relevées dans le corps du mémoire (la section « Références bibliographiques » du document étant vide). Mise en forme selon la norme APA 7ᵉ édition. Ne figurent en liste principale que les références réelles dont les éléments essentiels ont pu être établis de façon fiable ; les autres sont regroupées dans la section « Références à vérifier ».</w:t>
      </w:r>
    </w:p>
    <w:p>
      <w:pPr>
        <w:pBdr>
          <w:bottom w:val="single" w:sz="16" w:color="0FB69C" w:space="4"/>
        </w:pBdr>
        <w:spacing w:before="200"/>
      </w:pPr>
      <w:r>
        <w:rPr>
          <w:rFonts w:ascii="Calibri" w:hAnsi="Calibri"/>
          <w:b/>
          <w:color w:val="0A1628"/>
          <w:sz w:val="30"/>
        </w:rPr>
        <w:t>1. Bibliographie (APA 7ᵉ édition) — classée par ordre alphabétique</w:t>
      </w:r>
    </w:p>
    <w:p>
      <w:pPr>
        <w:spacing w:after="120"/>
        <w:ind w:left="510" w:hanging="510"/>
        <w:jc w:val="both"/>
      </w:pPr>
      <w:r>
        <w:rPr>
          <w:sz w:val="21"/>
        </w:rPr>
        <w:t xml:space="preserve">Barmo, S., Amani, A., Soumana, I., Ichaou, A., Karim, S., &amp; Mahamane, A. (2019). Structure et diversité des parcs agroforestiers adjacents à la forêt protégée de Baban Rafi, Niger – Afrique de l'Ouest. </w:t>
      </w:r>
      <w:r>
        <w:rPr>
          <w:i/>
          <w:sz w:val="21"/>
        </w:rPr>
        <w:t>African Science</w:t>
      </w:r>
      <w:r>
        <w:rPr>
          <w:sz w:val="21"/>
        </w:rPr>
        <w:t>, 15(2), 166–185.</w:t>
      </w:r>
    </w:p>
    <w:p>
      <w:pPr>
        <w:spacing w:after="120"/>
        <w:ind w:left="510" w:hanging="510"/>
        <w:jc w:val="both"/>
      </w:pPr>
      <w:r>
        <w:rPr>
          <w:sz w:val="21"/>
        </w:rPr>
        <w:t xml:space="preserve">Carrière, S. M. (2003). </w:t>
      </w:r>
      <w:r>
        <w:rPr>
          <w:i/>
          <w:sz w:val="21"/>
        </w:rPr>
        <w:t>Les orphelins de la forêt : Pratiques paysannes et écologie forestière (Ntumu, Sud-Cameroun)</w:t>
      </w:r>
      <w:r>
        <w:rPr>
          <w:sz w:val="21"/>
        </w:rPr>
        <w:t>. IRD Éditions.</w:t>
      </w:r>
    </w:p>
    <w:p>
      <w:pPr>
        <w:spacing w:after="120"/>
        <w:ind w:left="510" w:hanging="510"/>
        <w:jc w:val="both"/>
      </w:pPr>
      <w:r>
        <w:rPr>
          <w:sz w:val="21"/>
        </w:rPr>
        <w:t xml:space="preserve">Commission des Forêts d'Afrique Centrale. (2010). </w:t>
      </w:r>
      <w:r>
        <w:rPr>
          <w:i/>
          <w:sz w:val="21"/>
        </w:rPr>
        <w:t>État des forêts du bassin du Congo</w:t>
      </w:r>
      <w:r>
        <w:rPr>
          <w:sz w:val="21"/>
        </w:rPr>
        <w:t>. COMIFAC.</w:t>
      </w:r>
    </w:p>
    <w:p>
      <w:pPr>
        <w:spacing w:after="120"/>
        <w:ind w:left="510" w:hanging="510"/>
        <w:jc w:val="both"/>
      </w:pPr>
      <w:r>
        <w:rPr>
          <w:sz w:val="21"/>
        </w:rPr>
        <w:t xml:space="preserve">Cottam, G., &amp; Curtis, J. T. (1959). The use of distance measures in phytosociological sampling. </w:t>
      </w:r>
      <w:r>
        <w:rPr>
          <w:i/>
          <w:sz w:val="21"/>
        </w:rPr>
        <w:t>Ecology</w:t>
      </w:r>
      <w:r>
        <w:rPr>
          <w:sz w:val="21"/>
        </w:rPr>
        <w:t>, 37(3), 451–460.</w:t>
      </w:r>
    </w:p>
    <w:p>
      <w:pPr>
        <w:spacing w:after="120"/>
        <w:ind w:left="510" w:hanging="510"/>
        <w:jc w:val="both"/>
      </w:pPr>
      <w:r>
        <w:rPr>
          <w:sz w:val="21"/>
        </w:rPr>
        <w:t xml:space="preserve">Hairiah, K., Dewi, S., Agus, F., Velarde, S., Ekadinata, A., Rahayu, S., &amp; van Noordwijk, M. (2010). </w:t>
      </w:r>
      <w:r>
        <w:rPr>
          <w:i/>
          <w:sz w:val="21"/>
        </w:rPr>
        <w:t>Measuring carbon stocks across land use systems: A manual</w:t>
      </w:r>
      <w:r>
        <w:rPr>
          <w:sz w:val="21"/>
        </w:rPr>
        <w:t>. World Agroforestry Centre (ICRAF), SEA Regional Office.</w:t>
      </w:r>
    </w:p>
    <w:p>
      <w:pPr>
        <w:spacing w:after="120"/>
        <w:ind w:left="510" w:hanging="510"/>
        <w:jc w:val="both"/>
      </w:pPr>
      <w:r>
        <w:rPr>
          <w:sz w:val="21"/>
        </w:rPr>
        <w:t xml:space="preserve">Ingram, V. (2014). </w:t>
      </w:r>
      <w:r>
        <w:rPr>
          <w:i/>
          <w:sz w:val="21"/>
        </w:rPr>
        <w:t>Win-wins in forest product value chains? How governance impacts the sustainability of livelihoods based on non-timber forest products from Cameroon</w:t>
      </w:r>
      <w:r>
        <w:rPr>
          <w:sz w:val="21"/>
        </w:rPr>
        <w:t xml:space="preserve"> [Thèse de doctorat, Université d'Amsterdam].</w:t>
      </w:r>
    </w:p>
    <w:p>
      <w:pPr>
        <w:spacing w:after="120"/>
        <w:ind w:left="510" w:hanging="510"/>
        <w:jc w:val="both"/>
      </w:pPr>
      <w:r>
        <w:rPr>
          <w:sz w:val="21"/>
        </w:rPr>
        <w:t xml:space="preserve">Jagoret, P., Michel-Dounias, I., &amp; Malézieux, E. (2011). Long-term dynamics of cocoa agroforests: A case study in central Cameroon. </w:t>
      </w:r>
      <w:r>
        <w:rPr>
          <w:i/>
          <w:sz w:val="21"/>
        </w:rPr>
        <w:t>Agroforestry Systems</w:t>
      </w:r>
      <w:r>
        <w:rPr>
          <w:sz w:val="21"/>
        </w:rPr>
        <w:t>, 81(3), 267–278.</w:t>
      </w:r>
    </w:p>
    <w:p>
      <w:pPr>
        <w:spacing w:after="120"/>
        <w:ind w:left="510" w:hanging="510"/>
        <w:jc w:val="both"/>
      </w:pPr>
      <w:r>
        <w:rPr>
          <w:sz w:val="21"/>
        </w:rPr>
        <w:t xml:space="preserve">Kent, M., &amp; Coker, P. (1992). </w:t>
      </w:r>
      <w:r>
        <w:rPr>
          <w:i/>
          <w:sz w:val="21"/>
        </w:rPr>
        <w:t>Vegetation description and analysis: A practical approach</w:t>
      </w:r>
      <w:r>
        <w:rPr>
          <w:sz w:val="21"/>
        </w:rPr>
        <w:t>. John Wiley &amp; Sons.</w:t>
      </w:r>
    </w:p>
    <w:p>
      <w:pPr>
        <w:spacing w:after="120"/>
        <w:ind w:left="510" w:hanging="510"/>
        <w:jc w:val="both"/>
      </w:pPr>
      <w:r>
        <w:rPr>
          <w:sz w:val="21"/>
        </w:rPr>
        <w:t xml:space="preserve">Koulibaly, A. (2008). </w:t>
      </w:r>
      <w:r>
        <w:rPr>
          <w:i/>
          <w:sz w:val="21"/>
        </w:rPr>
        <w:t>Caractéristiques de la végétation et dynamique de la régénération, sous l'influence de l'utilisation des terres, dans les mosaïques forêts-savanes des régions de la Réserve de Lamto et du Parc National de la Comoé, en Côte d'Ivoire</w:t>
      </w:r>
      <w:r>
        <w:rPr>
          <w:sz w:val="21"/>
        </w:rPr>
        <w:t xml:space="preserve"> [Thèse de doctorat, Université de Cocody-Abidjan].</w:t>
      </w:r>
    </w:p>
    <w:p>
      <w:pPr>
        <w:spacing w:after="120"/>
        <w:ind w:left="510" w:hanging="510"/>
        <w:jc w:val="both"/>
      </w:pPr>
      <w:r>
        <w:rPr>
          <w:sz w:val="21"/>
        </w:rPr>
        <w:t xml:space="preserve">Magurran, A. E. (2004). </w:t>
      </w:r>
      <w:r>
        <w:rPr>
          <w:i/>
          <w:sz w:val="21"/>
        </w:rPr>
        <w:t>Measuring biological diversity</w:t>
      </w:r>
      <w:r>
        <w:rPr>
          <w:sz w:val="21"/>
        </w:rPr>
        <w:t>. Blackwell Publishing.</w:t>
      </w:r>
    </w:p>
    <w:p>
      <w:pPr>
        <w:spacing w:after="120"/>
        <w:ind w:left="510" w:hanging="510"/>
        <w:jc w:val="both"/>
      </w:pPr>
      <w:r>
        <w:rPr>
          <w:sz w:val="21"/>
        </w:rPr>
        <w:t xml:space="preserve">Nair, P. K. R. (1993). </w:t>
      </w:r>
      <w:r>
        <w:rPr>
          <w:i/>
          <w:sz w:val="21"/>
        </w:rPr>
        <w:t>An introduction to agroforestry</w:t>
      </w:r>
      <w:r>
        <w:rPr>
          <w:sz w:val="21"/>
        </w:rPr>
        <w:t>. Kluwer Academic Publishers.</w:t>
      </w:r>
    </w:p>
    <w:p>
      <w:pPr>
        <w:spacing w:after="120"/>
        <w:ind w:left="510" w:hanging="510"/>
        <w:jc w:val="both"/>
      </w:pPr>
      <w:r>
        <w:rPr>
          <w:sz w:val="21"/>
        </w:rPr>
        <w:t xml:space="preserve">Ndoye, O., Ruiz-Pérez, M., &amp; Eyebe, A. (1997). </w:t>
      </w:r>
      <w:r>
        <w:rPr>
          <w:i/>
          <w:sz w:val="21"/>
        </w:rPr>
        <w:t>The markets of non-timber forest products in the humid forest zone of Cameroon</w:t>
      </w:r>
      <w:r>
        <w:rPr>
          <w:sz w:val="21"/>
        </w:rPr>
        <w:t xml:space="preserve"> (Rural Development Forestry Network Paper N° 22c). Overseas Development Institute.</w:t>
      </w:r>
    </w:p>
    <w:p>
      <w:pPr>
        <w:spacing w:after="120"/>
        <w:ind w:left="510" w:hanging="510"/>
        <w:jc w:val="both"/>
      </w:pPr>
      <w:r>
        <w:rPr>
          <w:sz w:val="21"/>
        </w:rPr>
        <w:t xml:space="preserve">Pielou, E. C. (1966). The measurement of diversity in different types of biological collections. </w:t>
      </w:r>
      <w:r>
        <w:rPr>
          <w:i/>
          <w:sz w:val="21"/>
        </w:rPr>
        <w:t>Journal of Theoretical Biology</w:t>
      </w:r>
      <w:r>
        <w:rPr>
          <w:sz w:val="21"/>
        </w:rPr>
        <w:t>, 13, 131–144.</w:t>
      </w:r>
    </w:p>
    <w:p>
      <w:pPr>
        <w:spacing w:after="120"/>
        <w:ind w:left="510" w:hanging="510"/>
        <w:jc w:val="both"/>
      </w:pPr>
      <w:r>
        <w:rPr>
          <w:sz w:val="21"/>
        </w:rPr>
        <w:t xml:space="preserve">Plan Communal de Développement de Lomié. (2012). </w:t>
      </w:r>
      <w:r>
        <w:rPr>
          <w:i/>
          <w:sz w:val="21"/>
        </w:rPr>
        <w:t>Plan communal de développement de la commune de Lomié</w:t>
      </w:r>
      <w:r>
        <w:rPr>
          <w:sz w:val="21"/>
        </w:rPr>
        <w:t>. Commune de Lomié.</w:t>
      </w:r>
    </w:p>
    <w:p>
      <w:pPr>
        <w:spacing w:after="120"/>
        <w:ind w:left="510" w:hanging="510"/>
        <w:jc w:val="both"/>
      </w:pPr>
      <w:r>
        <w:rPr>
          <w:sz w:val="21"/>
        </w:rPr>
        <w:t xml:space="preserve">Raunkiær, C. (1934). </w:t>
      </w:r>
      <w:r>
        <w:rPr>
          <w:i/>
          <w:sz w:val="21"/>
        </w:rPr>
        <w:t>The life forms of plants and statistical plant geography</w:t>
      </w:r>
      <w:r>
        <w:rPr>
          <w:sz w:val="21"/>
        </w:rPr>
        <w:t>. Clarendon Press.</w:t>
      </w:r>
    </w:p>
    <w:p>
      <w:pPr>
        <w:spacing w:after="120"/>
        <w:ind w:left="510" w:hanging="510"/>
        <w:jc w:val="both"/>
      </w:pPr>
      <w:r>
        <w:rPr>
          <w:sz w:val="21"/>
        </w:rPr>
        <w:t xml:space="preserve">Saj, S., Durot, C., Mvondo Sakouma, K., Tayo Gamo, K., &amp; Avana-Tientcheu, M. L. (2017). Contribution of associated trees to long-term species conservation, carbon storage and sustainability: A functional analysis of tree communities in cacao plantations of Central Cameroon. </w:t>
      </w:r>
      <w:r>
        <w:rPr>
          <w:i/>
          <w:sz w:val="21"/>
        </w:rPr>
        <w:t>International Journal of Agricultural Sustainability</w:t>
      </w:r>
      <w:r>
        <w:rPr>
          <w:sz w:val="21"/>
        </w:rPr>
        <w:t>, 15(3), 282–302.</w:t>
      </w:r>
    </w:p>
    <w:p>
      <w:pPr>
        <w:spacing w:after="120"/>
        <w:ind w:left="510" w:hanging="510"/>
        <w:jc w:val="both"/>
      </w:pPr>
      <w:r>
        <w:rPr>
          <w:sz w:val="21"/>
        </w:rPr>
        <w:t xml:space="preserve">Shannon, C. E. (1948). A mathematical theory of communication. </w:t>
      </w:r>
      <w:r>
        <w:rPr>
          <w:i/>
          <w:sz w:val="21"/>
        </w:rPr>
        <w:t>The Bell System Technical Journal</w:t>
      </w:r>
      <w:r>
        <w:rPr>
          <w:sz w:val="21"/>
        </w:rPr>
        <w:t>, 27(3), 379–423.</w:t>
      </w:r>
    </w:p>
    <w:p>
      <w:pPr>
        <w:spacing w:after="120"/>
        <w:ind w:left="510" w:hanging="510"/>
        <w:jc w:val="both"/>
      </w:pPr>
      <w:r>
        <w:rPr>
          <w:sz w:val="21"/>
        </w:rPr>
        <w:t xml:space="preserve">Simpson, E. H. (1949). Measurement of diversity. </w:t>
      </w:r>
      <w:r>
        <w:rPr>
          <w:i/>
          <w:sz w:val="21"/>
        </w:rPr>
        <w:t>Nature</w:t>
      </w:r>
      <w:r>
        <w:rPr>
          <w:sz w:val="21"/>
        </w:rPr>
        <w:t>, 163, 688.</w:t>
      </w:r>
    </w:p>
    <w:p>
      <w:pPr>
        <w:spacing w:after="120"/>
        <w:ind w:left="510" w:hanging="510"/>
        <w:jc w:val="both"/>
      </w:pPr>
      <w:r>
        <w:rPr>
          <w:sz w:val="21"/>
        </w:rPr>
        <w:t xml:space="preserve">Sonwa, D. J., Nkongmeneck, B. A., Weise, S. F., Tchatat, M., Adesina, A. A., &amp; Janssens, M. J. J. (2007). Diversity of plants in cocoa agroforests in the humid forest zone of southern Cameroon. </w:t>
      </w:r>
      <w:r>
        <w:rPr>
          <w:i/>
          <w:sz w:val="21"/>
        </w:rPr>
        <w:t>Biodiversity and Conservation</w:t>
      </w:r>
      <w:r>
        <w:rPr>
          <w:sz w:val="21"/>
        </w:rPr>
        <w:t>, 16(8), 2385–2400.</w:t>
      </w:r>
    </w:p>
    <w:p>
      <w:pPr>
        <w:spacing w:after="120"/>
        <w:ind w:left="510" w:hanging="510"/>
        <w:jc w:val="both"/>
      </w:pPr>
      <w:r>
        <w:rPr>
          <w:sz w:val="21"/>
        </w:rPr>
        <w:t xml:space="preserve">Tchoundjeu, Z., Asaah, E. K., Anegbeh, P., Degrande, A., Mbile, P., Facheux, C., Tsobeng, A., Atangana, A. R., Ngo-Mpeck, M. L., &amp; Simons, A. J. (2006). Putting participatory domestication into practice in West and Central Africa. </w:t>
      </w:r>
      <w:r>
        <w:rPr>
          <w:i/>
          <w:sz w:val="21"/>
        </w:rPr>
        <w:t>Forests, Trees and Livelihoods</w:t>
      </w:r>
      <w:r>
        <w:rPr>
          <w:sz w:val="21"/>
        </w:rPr>
        <w:t>, 16(1), 53–69.</w:t>
      </w:r>
    </w:p>
    <w:p>
      <w:pPr>
        <w:spacing w:after="120"/>
        <w:ind w:left="510" w:hanging="510"/>
        <w:jc w:val="both"/>
      </w:pPr>
      <w:r>
        <w:rPr>
          <w:sz w:val="21"/>
        </w:rPr>
        <w:t xml:space="preserve">Temgoua, L. F., Momo Solefack, M. C., &amp; Boucheké, R. (2019). Diversité floristique des ligneux des systèmes agroforestiers cacaoyers du Littoral-Cameroun : Cas de l'arrondissement de Loum. </w:t>
      </w:r>
      <w:r>
        <w:rPr>
          <w:i/>
          <w:sz w:val="21"/>
        </w:rPr>
        <w:t>European Scientific Journal</w:t>
      </w:r>
      <w:r>
        <w:rPr>
          <w:sz w:val="21"/>
        </w:rPr>
        <w:t>, 15(9), 62–82.</w:t>
      </w:r>
    </w:p>
    <w:p>
      <w:pPr>
        <w:spacing w:after="120"/>
        <w:ind w:left="510" w:hanging="510"/>
        <w:jc w:val="both"/>
      </w:pPr>
      <w:r>
        <w:rPr>
          <w:sz w:val="21"/>
        </w:rPr>
        <w:t xml:space="preserve">van Vliet, N., Mertz, O., Heinimann, A., Langanke, T., Pascual, U., Schmook, B., Adams, C., Schmidt-Vogt, D., Messerli, P., Leisz, S., Castella, J.-C., Jørgensen, L., Birch-Thomsen, T., Hett, C., Bech-Bruun, T., Ickowitz, A., Vu, K. C., Yasuyuki, K., Fox, J., … Ziegler, A. D. (2012). Trends, drivers and impacts of changes in swidden cultivation in tropical forest-agriculture frontiers: A global assessment. </w:t>
      </w:r>
      <w:r>
        <w:rPr>
          <w:i/>
          <w:sz w:val="21"/>
        </w:rPr>
        <w:t>Global Environmental Change</w:t>
      </w:r>
      <w:r>
        <w:rPr>
          <w:sz w:val="21"/>
        </w:rPr>
        <w:t>, 22(2), 418–429.</w:t>
      </w:r>
    </w:p>
    <w:p>
      <w:pPr>
        <w:spacing w:after="120"/>
        <w:ind w:left="510" w:hanging="510"/>
        <w:jc w:val="both"/>
      </w:pPr>
      <w:r>
        <w:rPr>
          <w:sz w:val="21"/>
        </w:rPr>
        <w:t xml:space="preserve">Whittaker, R. H. (1972). Evolution and measurement of species diversity. </w:t>
      </w:r>
      <w:r>
        <w:rPr>
          <w:i/>
          <w:sz w:val="21"/>
        </w:rPr>
        <w:t>Taxon</w:t>
      </w:r>
      <w:r>
        <w:rPr>
          <w:sz w:val="21"/>
        </w:rPr>
        <w:t>, 21(2–3), 213–251.</w:t>
      </w:r>
    </w:p>
    <w:p>
      <w:pPr>
        <w:spacing w:after="120"/>
        <w:ind w:left="510" w:hanging="510"/>
        <w:jc w:val="both"/>
      </w:pPr>
      <w:r>
        <w:rPr>
          <w:sz w:val="21"/>
        </w:rPr>
        <w:t xml:space="preserve">Zapfack, L., Engwald, S., Sonké, B., Achoundong, G., &amp; Madong, B. A. (2002). The impact of land conversion on plant biodiversity in the forest zone of Cameroon. </w:t>
      </w:r>
      <w:r>
        <w:rPr>
          <w:i/>
          <w:sz w:val="21"/>
        </w:rPr>
        <w:t>Biodiversity and Conservation</w:t>
      </w:r>
      <w:r>
        <w:rPr>
          <w:sz w:val="21"/>
        </w:rPr>
        <w:t>, 11(11), 2047–2061.</w:t>
      </w:r>
    </w:p>
    <w:p>
      <w:pPr>
        <w:pBdr>
          <w:bottom w:val="single" w:sz="16" w:color="0FB69C" w:space="4"/>
        </w:pBdr>
        <w:spacing w:before="200"/>
      </w:pPr>
      <w:r>
        <w:rPr>
          <w:rFonts w:ascii="Calibri" w:hAnsi="Calibri"/>
          <w:b/>
          <w:color w:val="B91C1C"/>
          <w:sz w:val="30"/>
        </w:rPr>
        <w:t>2. Références à vérifier</w:t>
      </w:r>
    </w:p>
    <w:p>
      <w:pPr>
        <w:jc w:val="both"/>
      </w:pPr>
      <w:r>
        <w:rPr>
          <w:i/>
          <w:sz w:val="20"/>
        </w:rPr>
        <w:t>Les entrées ci-dessous correspondent à des travaux cités dans le mémoire dont l'auteur et l'année sont identifiés, mais dont un ou plusieurs éléments bibliographiques essentiels (titre exact, revue, éditeur, volume, pages, DOI/URL) ou l'existence précise n'ont pas pu être confirmés de façon fiable. Elles doivent être complétées et vérifiées à partir des sources originales avant intégration, conformément à l'exigence de non-invention.</w:t>
      </w:r>
    </w:p>
    <w:p>
      <w:pPr>
        <w:spacing w:after="100"/>
        <w:ind w:left="510" w:hanging="510"/>
        <w:jc w:val="both"/>
      </w:pPr>
      <w:r>
        <w:rPr>
          <w:sz w:val="20"/>
        </w:rPr>
        <w:t>Awono, A., &amp; al. (2009). [Produits forestiers non ligneux, Cameroun].</w:t>
      </w:r>
      <w:r>
        <w:rPr>
          <w:i/>
          <w:color w:val="EA580C"/>
          <w:sz w:val="20"/>
        </w:rPr>
        <w:t xml:space="preserve">  — à vérifier/compléter : titre, support, éditeur/revue, pagination ; distinguer de Awono et al. (2013) et (2016).</w:t>
      </w:r>
    </w:p>
    <w:p>
      <w:pPr>
        <w:spacing w:after="100"/>
        <w:ind w:left="510" w:hanging="510"/>
        <w:jc w:val="both"/>
      </w:pPr>
      <w:r>
        <w:rPr>
          <w:sz w:val="20"/>
        </w:rPr>
        <w:t>Awono, A., &amp; al. (2016). [Valeur économique des PFNL au Cameroun].</w:t>
      </w:r>
      <w:r>
        <w:rPr>
          <w:i/>
          <w:color w:val="EA580C"/>
          <w:sz w:val="20"/>
        </w:rPr>
        <w:t xml:space="preserve">  — à vérifier/compléter : titre, revue/rapport, volume, pages, DOI.</w:t>
      </w:r>
    </w:p>
    <w:p>
      <w:pPr>
        <w:spacing w:after="100"/>
        <w:ind w:left="510" w:hanging="510"/>
        <w:jc w:val="both"/>
      </w:pPr>
      <w:r>
        <w:rPr>
          <w:sz w:val="20"/>
        </w:rPr>
        <w:t>Awono, A., Ingram, V., Schure, J., &amp; Levang, P. (2013). [Commercialisation durable des PFNL en Afrique centrale]. CIFOR.</w:t>
      </w:r>
      <w:r>
        <w:rPr>
          <w:i/>
          <w:color w:val="EA580C"/>
          <w:sz w:val="20"/>
        </w:rPr>
        <w:t xml:space="preserve">  — à vérifier/compléter : titre exact et référence complète (guide/rapport CIFOR) ; lien avec la citation « Schure et Levang, 2013 ».</w:t>
      </w:r>
    </w:p>
    <w:p>
      <w:pPr>
        <w:spacing w:after="100"/>
        <w:ind w:left="510" w:hanging="510"/>
        <w:jc w:val="both"/>
      </w:pPr>
      <w:r>
        <w:rPr>
          <w:sz w:val="20"/>
        </w:rPr>
        <w:t>Bayoi, J. D., &amp; al. (2021).</w:t>
      </w:r>
      <w:r>
        <w:rPr>
          <w:i/>
          <w:color w:val="EA580C"/>
          <w:sz w:val="20"/>
        </w:rPr>
        <w:t xml:space="preserve">  — à vérifier/compléter : auteurs complets, titre, revue, volume, pages, DOI.</w:t>
      </w:r>
    </w:p>
    <w:p>
      <w:pPr>
        <w:spacing w:after="100"/>
        <w:ind w:left="510" w:hanging="510"/>
        <w:jc w:val="both"/>
      </w:pPr>
      <w:r>
        <w:rPr>
          <w:sz w:val="20"/>
        </w:rPr>
        <w:t>CIRAD. (2025).</w:t>
      </w:r>
      <w:r>
        <w:rPr>
          <w:i/>
          <w:color w:val="EA580C"/>
          <w:sz w:val="20"/>
        </w:rPr>
        <w:t xml:space="preserve">  — à vérifier/compléter : titre exact et type de document ; année à confirmer (2025).</w:t>
      </w:r>
    </w:p>
    <w:p>
      <w:pPr>
        <w:spacing w:after="100"/>
        <w:ind w:left="510" w:hanging="510"/>
        <w:jc w:val="both"/>
      </w:pPr>
      <w:r>
        <w:rPr>
          <w:sz w:val="20"/>
        </w:rPr>
        <w:t>Commission des Forêts d'Afrique Centrale. (2011). [Directives sous-régionales relatives à la gestion durable des PFNL d'origine végétale en Afrique centrale].</w:t>
      </w:r>
      <w:r>
        <w:rPr>
          <w:i/>
          <w:color w:val="EA580C"/>
          <w:sz w:val="20"/>
        </w:rPr>
        <w:t xml:space="preserve">  — à vérifier/compléter : titre exact et pagination ; distinguer des documents COMIFAC 2010 et 2021.</w:t>
      </w:r>
    </w:p>
    <w:p>
      <w:pPr>
        <w:spacing w:after="100"/>
        <w:ind w:left="510" w:hanging="510"/>
        <w:jc w:val="both"/>
      </w:pPr>
      <w:r>
        <w:rPr>
          <w:sz w:val="20"/>
        </w:rPr>
        <w:t>Commission des Forêts d'Afrique Centrale. (2021).</w:t>
      </w:r>
      <w:r>
        <w:rPr>
          <w:i/>
          <w:color w:val="EA580C"/>
          <w:sz w:val="20"/>
        </w:rPr>
        <w:t xml:space="preserve">  — à vérifier/compléter : titre exact du document cité (2021).</w:t>
      </w:r>
    </w:p>
    <w:p>
      <w:pPr>
        <w:spacing w:after="100"/>
        <w:ind w:left="510" w:hanging="510"/>
        <w:jc w:val="both"/>
      </w:pPr>
      <w:r>
        <w:rPr>
          <w:sz w:val="20"/>
        </w:rPr>
        <w:t>Cunningham, A. B., &amp; Mbenkum, F. T. (1993). [Commerce de l'écorce de Prunus africana au Cameroun]. WWF/UNESCO/Kew, People and Plants.</w:t>
      </w:r>
      <w:r>
        <w:rPr>
          <w:i/>
          <w:color w:val="EA580C"/>
          <w:sz w:val="20"/>
        </w:rPr>
        <w:t xml:space="preserve">  — à vérifier/compléter : titre exact, série, pagination.</w:t>
      </w:r>
    </w:p>
    <w:p>
      <w:pPr>
        <w:spacing w:after="100"/>
        <w:ind w:left="510" w:hanging="510"/>
        <w:jc w:val="both"/>
      </w:pPr>
      <w:r>
        <w:rPr>
          <w:sz w:val="20"/>
        </w:rPr>
        <w:t>Cuny, P., &amp; al. (2006). [Foresterie communautaire au Cameroun].</w:t>
      </w:r>
      <w:r>
        <w:rPr>
          <w:i/>
          <w:color w:val="EA580C"/>
          <w:sz w:val="20"/>
        </w:rPr>
        <w:t xml:space="preserve">  — à vérifier/compléter : auteurs complets, titre, éditeur, pagination (citation « Cuny et al, 2006 »).</w:t>
      </w:r>
    </w:p>
    <w:p>
      <w:pPr>
        <w:spacing w:after="100"/>
        <w:ind w:left="510" w:hanging="510"/>
        <w:jc w:val="both"/>
      </w:pPr>
      <w:r>
        <w:rPr>
          <w:sz w:val="20"/>
        </w:rPr>
        <w:t xml:space="preserve">Daget, P. (1980). [Le nombre de diversité de Hill / la végétation]. </w:t>
      </w:r>
      <w:r>
        <w:rPr>
          <w:i/>
          <w:color w:val="EA580C"/>
          <w:sz w:val="20"/>
        </w:rPr>
        <w:t xml:space="preserve">  — à vérifier/compléter : titre exact, revue, volume, pages.</w:t>
      </w:r>
    </w:p>
    <w:p>
      <w:pPr>
        <w:spacing w:after="100"/>
        <w:ind w:left="510" w:hanging="510"/>
        <w:jc w:val="both"/>
      </w:pPr>
      <w:r>
        <w:rPr>
          <w:sz w:val="20"/>
        </w:rPr>
        <w:t>De Wasseige, C., &amp; al. (2021). [État des forêts du bassin du Congo].</w:t>
      </w:r>
      <w:r>
        <w:rPr>
          <w:i/>
          <w:color w:val="EA580C"/>
          <w:sz w:val="20"/>
        </w:rPr>
        <w:t xml:space="preserve">  — à vérifier/compléter : titre, éditeur, pagination.</w:t>
      </w:r>
    </w:p>
    <w:p>
      <w:pPr>
        <w:spacing w:after="100"/>
        <w:ind w:left="510" w:hanging="510"/>
        <w:jc w:val="both"/>
      </w:pPr>
      <w:r>
        <w:rPr>
          <w:sz w:val="20"/>
        </w:rPr>
        <w:t>Dibong, S. D., &amp; al. (2015). [Plantes médicinales anti-hémorroïdaires, Cameroun].</w:t>
      </w:r>
      <w:r>
        <w:rPr>
          <w:i/>
          <w:color w:val="EA580C"/>
          <w:sz w:val="20"/>
        </w:rPr>
        <w:t xml:space="preserve">  — à vérifier/compléter : auteurs complets, titre, revue, volume, pages.</w:t>
      </w:r>
    </w:p>
    <w:p>
      <w:pPr>
        <w:spacing w:after="100"/>
        <w:ind w:left="510" w:hanging="510"/>
        <w:jc w:val="both"/>
      </w:pPr>
      <w:r>
        <w:rPr>
          <w:sz w:val="20"/>
        </w:rPr>
        <w:t>Djego, J., &amp; al. (2012).</w:t>
      </w:r>
      <w:r>
        <w:rPr>
          <w:i/>
          <w:color w:val="EA580C"/>
          <w:sz w:val="20"/>
        </w:rPr>
        <w:t xml:space="preserve">  — à vérifier/compléter : auteurs complets, titre, revue, volume, pages.</w:t>
      </w:r>
    </w:p>
    <w:p>
      <w:pPr>
        <w:spacing w:after="100"/>
        <w:ind w:left="510" w:hanging="510"/>
        <w:jc w:val="both"/>
      </w:pPr>
      <w:r>
        <w:rPr>
          <w:sz w:val="20"/>
        </w:rPr>
        <w:t>Endamana, D., &amp; al. (2016).</w:t>
      </w:r>
      <w:r>
        <w:rPr>
          <w:i/>
          <w:color w:val="EA580C"/>
          <w:sz w:val="20"/>
        </w:rPr>
        <w:t xml:space="preserve">  — à vérifier/compléter : auteurs complets, titre, revue, volume, pages, DOI.</w:t>
      </w:r>
    </w:p>
    <w:p>
      <w:pPr>
        <w:spacing w:after="100"/>
        <w:ind w:left="510" w:hanging="510"/>
        <w:jc w:val="both"/>
      </w:pPr>
      <w:r>
        <w:rPr>
          <w:sz w:val="20"/>
        </w:rPr>
        <w:t>Etchike, D. A. B., &amp; al. (2020). [Richesse des agroforêts, Ndikiniméki, Centre-Cameroun].</w:t>
      </w:r>
      <w:r>
        <w:rPr>
          <w:i/>
          <w:color w:val="EA580C"/>
          <w:sz w:val="20"/>
        </w:rPr>
        <w:t xml:space="preserve">  — à vérifier/compléter : titre exact, revue, volume, pages.</w:t>
      </w:r>
    </w:p>
    <w:p>
      <w:pPr>
        <w:spacing w:after="100"/>
        <w:ind w:left="510" w:hanging="510"/>
        <w:jc w:val="both"/>
      </w:pPr>
      <w:r>
        <w:rPr>
          <w:sz w:val="20"/>
        </w:rPr>
        <w:t>Fabrice, &amp; Happi. (2024).</w:t>
      </w:r>
      <w:r>
        <w:rPr>
          <w:i/>
          <w:color w:val="EA580C"/>
          <w:sz w:val="20"/>
        </w:rPr>
        <w:t xml:space="preserve">  — à vérifier/compléter : noms complets des auteurs, titre, support, pagination (année 2024 à confirmer).</w:t>
      </w:r>
    </w:p>
    <w:p>
      <w:pPr>
        <w:spacing w:after="100"/>
        <w:ind w:left="510" w:hanging="510"/>
        <w:jc w:val="both"/>
      </w:pPr>
      <w:r>
        <w:rPr>
          <w:sz w:val="20"/>
        </w:rPr>
        <w:t>Farichon, &amp; al. (1998).</w:t>
      </w:r>
      <w:r>
        <w:rPr>
          <w:i/>
          <w:color w:val="EA580C"/>
          <w:sz w:val="20"/>
        </w:rPr>
        <w:t xml:space="preserve">  — à vérifier/compléter : référence fragmentaire : orthographe du nom, auteurs, titre, source — existence à confirmer.</w:t>
      </w:r>
    </w:p>
    <w:p>
      <w:pPr>
        <w:spacing w:after="100"/>
        <w:ind w:left="510" w:hanging="510"/>
        <w:jc w:val="both"/>
      </w:pPr>
      <w:r>
        <w:rPr>
          <w:sz w:val="20"/>
        </w:rPr>
        <w:t>Fobane, J. L., &amp; al. (2017).</w:t>
      </w:r>
      <w:r>
        <w:rPr>
          <w:i/>
          <w:color w:val="EA580C"/>
          <w:sz w:val="20"/>
        </w:rPr>
        <w:t xml:space="preserve">  — à vérifier/compléter : auteurs complets, titre, revue, volume, pages.</w:t>
      </w:r>
    </w:p>
    <w:p>
      <w:pPr>
        <w:spacing w:after="100"/>
        <w:ind w:left="510" w:hanging="510"/>
        <w:jc w:val="both"/>
      </w:pPr>
      <w:r>
        <w:rPr>
          <w:sz w:val="20"/>
        </w:rPr>
        <w:t>Fokou, [initiale]. (2008).</w:t>
      </w:r>
      <w:r>
        <w:rPr>
          <w:i/>
          <w:color w:val="EA580C"/>
          <w:sz w:val="20"/>
        </w:rPr>
        <w:t xml:space="preserve">  — à vérifier/compléter : prénom/initiale, titre, support, pagination.</w:t>
      </w:r>
    </w:p>
    <w:p>
      <w:pPr>
        <w:spacing w:after="100"/>
        <w:ind w:left="510" w:hanging="510"/>
        <w:jc w:val="both"/>
      </w:pPr>
      <w:r>
        <w:rPr>
          <w:sz w:val="20"/>
        </w:rPr>
        <w:t>Fokunang, C. N., &amp; al. (2010). [Pharmacopée traditionnelle, Cameroun].</w:t>
      </w:r>
      <w:r>
        <w:rPr>
          <w:i/>
          <w:color w:val="EA580C"/>
          <w:sz w:val="20"/>
        </w:rPr>
        <w:t xml:space="preserve">  — à vérifier/compléter : titre exact, revue, volume, pages.</w:t>
      </w:r>
    </w:p>
    <w:p>
      <w:pPr>
        <w:spacing w:after="100"/>
        <w:ind w:left="510" w:hanging="510"/>
        <w:jc w:val="both"/>
      </w:pPr>
      <w:r>
        <w:rPr>
          <w:sz w:val="20"/>
        </w:rPr>
        <w:t>Fomekong Fotso, C., &amp; al. (2023). [Diversité des agroforêts cacaoyères, Makénéné, Centre-Cameroun].</w:t>
      </w:r>
      <w:r>
        <w:rPr>
          <w:i/>
          <w:color w:val="EA580C"/>
          <w:sz w:val="20"/>
        </w:rPr>
        <w:t xml:space="preserve">  — à vérifier/compléter : orthographe/auteurs, titre exact, revue, volume, pages, DOI.</w:t>
      </w:r>
    </w:p>
    <w:p>
      <w:pPr>
        <w:spacing w:after="100"/>
        <w:ind w:left="510" w:hanging="510"/>
        <w:jc w:val="both"/>
      </w:pPr>
      <w:r>
        <w:rPr>
          <w:sz w:val="20"/>
        </w:rPr>
        <w:t>Frontier, S., &amp; al. (2008).</w:t>
      </w:r>
      <w:r>
        <w:rPr>
          <w:i/>
          <w:color w:val="EA580C"/>
          <w:sz w:val="20"/>
        </w:rPr>
        <w:t xml:space="preserve">  — à vérifier/compléter : auteurs complets, titre de l'ouvrage, éditeur (probable : Écologie / Écosystèmes).</w:t>
      </w:r>
    </w:p>
    <w:p>
      <w:pPr>
        <w:spacing w:after="100"/>
        <w:ind w:left="510" w:hanging="510"/>
        <w:jc w:val="both"/>
      </w:pPr>
      <w:r>
        <w:rPr>
          <w:sz w:val="20"/>
        </w:rPr>
        <w:t xml:space="preserve">Frontier, S., &amp; Pichod-Viale, D. (1993). </w:t>
      </w:r>
      <w:r>
        <w:rPr>
          <w:i/>
          <w:sz w:val="20"/>
        </w:rPr>
        <w:t>Écosystèmes : Structure, fonctionnement, évolution</w:t>
      </w:r>
      <w:r>
        <w:rPr>
          <w:sz w:val="20"/>
        </w:rPr>
        <w:t>. Masson.</w:t>
      </w:r>
      <w:r>
        <w:rPr>
          <w:i/>
          <w:color w:val="EA580C"/>
          <w:sz w:val="20"/>
        </w:rPr>
        <w:t xml:space="preserve">  — à vérifier/compléter : édition et pagination exactes.</w:t>
      </w:r>
    </w:p>
    <w:p>
      <w:pPr>
        <w:spacing w:after="100"/>
        <w:ind w:left="510" w:hanging="510"/>
        <w:jc w:val="both"/>
      </w:pPr>
      <w:r>
        <w:rPr>
          <w:sz w:val="20"/>
        </w:rPr>
        <w:t xml:space="preserve">Gonmadje, C. F., &amp; al. (2011). [Diversité et structure des forêts du Sud-Cameroun]. </w:t>
      </w:r>
      <w:r>
        <w:rPr>
          <w:i/>
          <w:sz w:val="20"/>
        </w:rPr>
        <w:t>Biodiversity and Conservation</w:t>
      </w:r>
      <w:r>
        <w:rPr>
          <w:sz w:val="20"/>
        </w:rPr>
        <w:t>.</w:t>
      </w:r>
      <w:r>
        <w:rPr>
          <w:i/>
          <w:color w:val="EA580C"/>
          <w:sz w:val="20"/>
        </w:rPr>
        <w:t xml:space="preserve">  — à vérifier/compléter : titre exact, volume, numéro, pages, DOI.</w:t>
      </w:r>
    </w:p>
    <w:p>
      <w:pPr>
        <w:spacing w:after="100"/>
        <w:ind w:left="510" w:hanging="510"/>
        <w:jc w:val="both"/>
      </w:pPr>
      <w:r>
        <w:rPr>
          <w:sz w:val="20"/>
        </w:rPr>
        <w:t>Jiofack, T., &amp; al. (2009, 2010). [Plantes médicinales, Cameroun].</w:t>
      </w:r>
      <w:r>
        <w:rPr>
          <w:i/>
          <w:color w:val="EA580C"/>
          <w:sz w:val="20"/>
        </w:rPr>
        <w:t xml:space="preserve">  — à vérifier/compléter : deux références distinctes (2009 et 2010) : titres, revues, volumes, pages.</w:t>
      </w:r>
    </w:p>
    <w:p>
      <w:pPr>
        <w:spacing w:after="100"/>
        <w:ind w:left="510" w:hanging="510"/>
        <w:jc w:val="both"/>
      </w:pPr>
      <w:r>
        <w:rPr>
          <w:sz w:val="20"/>
        </w:rPr>
        <w:t>Julve, C., &amp; Vermeulen, C. (2008). [Foresterie sociale au Cameroun].</w:t>
      </w:r>
      <w:r>
        <w:rPr>
          <w:i/>
          <w:color w:val="EA580C"/>
          <w:sz w:val="20"/>
        </w:rPr>
        <w:t xml:space="preserve">  — à vérifier/compléter : titre exact, support, pagination.</w:t>
      </w:r>
    </w:p>
    <w:p>
      <w:pPr>
        <w:spacing w:after="100"/>
        <w:ind w:left="510" w:hanging="510"/>
        <w:jc w:val="both"/>
      </w:pPr>
      <w:r>
        <w:rPr>
          <w:sz w:val="20"/>
        </w:rPr>
        <w:t>Kabore, [initiale]. (2017).</w:t>
      </w:r>
      <w:r>
        <w:rPr>
          <w:i/>
          <w:color w:val="EA580C"/>
          <w:sz w:val="20"/>
        </w:rPr>
        <w:t xml:space="preserve">  — à vérifier/compléter : prénom/initiale, titre, revue/éditeur, pagination.</w:t>
      </w:r>
    </w:p>
    <w:p>
      <w:pPr>
        <w:spacing w:after="100"/>
        <w:ind w:left="510" w:hanging="510"/>
        <w:jc w:val="both"/>
      </w:pPr>
      <w:r>
        <w:rPr>
          <w:sz w:val="20"/>
        </w:rPr>
        <w:t>Kuster, [initiale]., &amp; al. (2006).</w:t>
      </w:r>
      <w:r>
        <w:rPr>
          <w:i/>
          <w:color w:val="EA580C"/>
          <w:sz w:val="20"/>
        </w:rPr>
        <w:t xml:space="preserve">  — à vérifier/compléter : orthographe (Kusters ?), auteurs, titre, revue, volume, pages.</w:t>
      </w:r>
    </w:p>
    <w:p>
      <w:pPr>
        <w:spacing w:after="100"/>
        <w:ind w:left="510" w:hanging="510"/>
        <w:jc w:val="both"/>
      </w:pPr>
      <w:r>
        <w:rPr>
          <w:sz w:val="20"/>
        </w:rPr>
        <w:t>Leakey, R. R. B. (2017). [Agroforesterie / domestication].</w:t>
      </w:r>
      <w:r>
        <w:rPr>
          <w:i/>
          <w:color w:val="EA580C"/>
          <w:sz w:val="20"/>
        </w:rPr>
        <w:t xml:space="preserve">  — à vérifier/compléter : titre exact de l'ouvrage/chapitre, éditeur, pagination.</w:t>
      </w:r>
    </w:p>
    <w:p>
      <w:pPr>
        <w:spacing w:after="100"/>
        <w:ind w:left="510" w:hanging="510"/>
        <w:jc w:val="both"/>
      </w:pPr>
      <w:r>
        <w:rPr>
          <w:sz w:val="20"/>
        </w:rPr>
        <w:t>Lebrun, J.-P., &amp; Stork, A. L. (1997). [Énumération des plantes à fleurs d'Afrique tropicale]. Conservatoire et Jardin botaniques de Genève.</w:t>
      </w:r>
      <w:r>
        <w:rPr>
          <w:i/>
          <w:color w:val="EA580C"/>
          <w:sz w:val="20"/>
        </w:rPr>
        <w:t xml:space="preserve">  — à vérifier/compléter : volume et titre exacts.</w:t>
      </w:r>
    </w:p>
    <w:p>
      <w:pPr>
        <w:spacing w:after="100"/>
        <w:ind w:left="510" w:hanging="510"/>
        <w:jc w:val="both"/>
      </w:pPr>
      <w:r>
        <w:rPr>
          <w:sz w:val="20"/>
        </w:rPr>
        <w:t xml:space="preserve">Levang, P., Lescuyer, G., Noumbissi, D., Déhu, C., &amp; Broussolle, L. (2015). Does gathering really pay? Case studies from forest areas of the East and South regions of Cameroon. </w:t>
      </w:r>
      <w:r>
        <w:rPr>
          <w:i/>
          <w:sz w:val="20"/>
        </w:rPr>
        <w:t>Forests, Trees and Livelihoods</w:t>
      </w:r>
      <w:r>
        <w:rPr>
          <w:sz w:val="20"/>
        </w:rPr>
        <w:t>, 24(2), 128–143.</w:t>
      </w:r>
      <w:r>
        <w:rPr>
          <w:i/>
          <w:color w:val="EA580C"/>
          <w:sz w:val="20"/>
        </w:rPr>
        <w:t xml:space="preserve">  — à vérifier/compléter : confirmer volume/pages (référence proposée en appui, à intégrer si utilisée).</w:t>
      </w:r>
    </w:p>
    <w:p>
      <w:pPr>
        <w:spacing w:after="100"/>
        <w:ind w:left="510" w:hanging="510"/>
        <w:jc w:val="both"/>
      </w:pPr>
      <w:r>
        <w:rPr>
          <w:sz w:val="20"/>
        </w:rPr>
        <w:t>Loubelo, E. (2012). [Impact des PFNL sur les ménages, Congo] [Thèse de doctorat].</w:t>
      </w:r>
      <w:r>
        <w:rPr>
          <w:i/>
          <w:color w:val="EA580C"/>
          <w:sz w:val="20"/>
        </w:rPr>
        <w:t xml:space="preserve">  — à vérifier/compléter : titre exact, établissement, pagination.</w:t>
      </w:r>
    </w:p>
    <w:p>
      <w:pPr>
        <w:spacing w:after="100"/>
        <w:ind w:left="510" w:hanging="510"/>
        <w:jc w:val="both"/>
      </w:pPr>
      <w:r>
        <w:rPr>
          <w:sz w:val="20"/>
        </w:rPr>
        <w:t>Mbolo, M. M. A., &amp; al. (2023).</w:t>
      </w:r>
      <w:r>
        <w:rPr>
          <w:i/>
          <w:color w:val="EA580C"/>
          <w:sz w:val="20"/>
        </w:rPr>
        <w:t xml:space="preserve">  — à vérifier/compléter : auteurs complets, titre, revue, volume, pages, DOI.</w:t>
      </w:r>
    </w:p>
    <w:p>
      <w:pPr>
        <w:spacing w:after="100"/>
        <w:ind w:left="510" w:hanging="510"/>
        <w:jc w:val="both"/>
      </w:pPr>
      <w:r>
        <w:rPr>
          <w:sz w:val="20"/>
        </w:rPr>
        <w:t>Mezogue, [initiale]., &amp; Julve, C. (2007). [Usages du moabi et des PFNL, Sud-Cameroun].</w:t>
      </w:r>
      <w:r>
        <w:rPr>
          <w:i/>
          <w:color w:val="EA580C"/>
          <w:sz w:val="20"/>
        </w:rPr>
        <w:t xml:space="preserve">  — à vérifier/compléter : auteurs, titre exact, support, pagination.</w:t>
      </w:r>
    </w:p>
    <w:p>
      <w:pPr>
        <w:spacing w:after="100"/>
        <w:ind w:left="510" w:hanging="510"/>
        <w:jc w:val="both"/>
      </w:pPr>
      <w:r>
        <w:rPr>
          <w:sz w:val="20"/>
        </w:rPr>
        <w:t>Ministère de l'Agriculture et du Développement Rural. (2022).</w:t>
      </w:r>
      <w:r>
        <w:rPr>
          <w:i/>
          <w:color w:val="EA580C"/>
          <w:sz w:val="20"/>
        </w:rPr>
        <w:t xml:space="preserve">  — à vérifier/compléter : titre exact du document MINADER (2022).</w:t>
      </w:r>
    </w:p>
    <w:p>
      <w:pPr>
        <w:spacing w:after="100"/>
        <w:ind w:left="510" w:hanging="510"/>
        <w:jc w:val="both"/>
      </w:pPr>
      <w:r>
        <w:rPr>
          <w:sz w:val="20"/>
        </w:rPr>
        <w:t>Ministère des Forêts et de la Faune. (1995). [Définition de la forêt communautaire / manuel des procédures].</w:t>
      </w:r>
      <w:r>
        <w:rPr>
          <w:i/>
          <w:color w:val="EA580C"/>
          <w:sz w:val="20"/>
        </w:rPr>
        <w:t xml:space="preserve">  — à vérifier/compléter : titre exact et référence (décret/arrêté) ; année à confirmer.</w:t>
      </w:r>
    </w:p>
    <w:p>
      <w:pPr>
        <w:spacing w:after="100"/>
        <w:ind w:left="510" w:hanging="510"/>
        <w:jc w:val="both"/>
      </w:pPr>
      <w:r>
        <w:rPr>
          <w:sz w:val="20"/>
        </w:rPr>
        <w:t>Mondo, [initiale]., &amp; al. (2024).</w:t>
      </w:r>
      <w:r>
        <w:rPr>
          <w:i/>
          <w:color w:val="EA580C"/>
          <w:sz w:val="20"/>
        </w:rPr>
        <w:t xml:space="preserve">  — à vérifier/compléter : auteurs complets, titre, revue, volume, pages, DOI.</w:t>
      </w:r>
    </w:p>
    <w:p>
      <w:pPr>
        <w:spacing w:after="100"/>
        <w:ind w:left="510" w:hanging="510"/>
        <w:jc w:val="both"/>
      </w:pPr>
      <w:r>
        <w:rPr>
          <w:sz w:val="20"/>
        </w:rPr>
        <w:t>Moupela, C., &amp; al. (2011). [Importance économique des PFNL].</w:t>
      </w:r>
      <w:r>
        <w:rPr>
          <w:i/>
          <w:color w:val="EA580C"/>
          <w:sz w:val="20"/>
        </w:rPr>
        <w:t xml:space="preserve">  — à vérifier/compléter : auteurs complets, titre, revue, volume, pages.</w:t>
      </w:r>
    </w:p>
    <w:p>
      <w:pPr>
        <w:spacing w:after="100"/>
        <w:ind w:left="510" w:hanging="510"/>
        <w:jc w:val="both"/>
      </w:pPr>
      <w:r>
        <w:rPr>
          <w:sz w:val="20"/>
        </w:rPr>
        <w:t>Muler, [initiale]., &amp; al. (2014).</w:t>
      </w:r>
      <w:r>
        <w:rPr>
          <w:i/>
          <w:color w:val="EA580C"/>
          <w:sz w:val="20"/>
        </w:rPr>
        <w:t xml:space="preserve">  — à vérifier/compléter : orthographe du nom, auteurs, titre, revue, volume, pages.</w:t>
      </w:r>
    </w:p>
    <w:p>
      <w:pPr>
        <w:spacing w:after="100"/>
        <w:ind w:left="510" w:hanging="510"/>
        <w:jc w:val="both"/>
      </w:pPr>
      <w:r>
        <w:rPr>
          <w:sz w:val="20"/>
        </w:rPr>
        <w:t>Nature+. (2024) ; Nature+. (2026). [Documents de projet UE-TRIDOM].</w:t>
      </w:r>
      <w:r>
        <w:rPr>
          <w:i/>
          <w:color w:val="EA580C"/>
          <w:sz w:val="20"/>
        </w:rPr>
        <w:t xml:space="preserve">  — à vérifier/compléter : titres exacts et types des documents institutionnels cités.</w:t>
      </w:r>
    </w:p>
    <w:p>
      <w:pPr>
        <w:spacing w:after="100"/>
        <w:ind w:left="510" w:hanging="510"/>
        <w:jc w:val="both"/>
      </w:pPr>
      <w:r>
        <w:rPr>
          <w:sz w:val="20"/>
        </w:rPr>
        <w:t>Njiofack Tadingar, T., &amp; al. (2013).</w:t>
      </w:r>
      <w:r>
        <w:rPr>
          <w:i/>
          <w:color w:val="EA580C"/>
          <w:sz w:val="20"/>
        </w:rPr>
        <w:t xml:space="preserve">  — à vérifier/compléter : auteurs complets, titre, revue, volume, pages.</w:t>
      </w:r>
    </w:p>
    <w:p>
      <w:pPr>
        <w:spacing w:after="100"/>
        <w:ind w:left="510" w:hanging="510"/>
        <w:jc w:val="both"/>
      </w:pPr>
      <w:r>
        <w:rPr>
          <w:sz w:val="20"/>
        </w:rPr>
        <w:t>Nkem, J., &amp; al. (2010). [Forêts, PFNL et adaptation, bassin du Congo].</w:t>
      </w:r>
      <w:r>
        <w:rPr>
          <w:i/>
          <w:color w:val="EA580C"/>
          <w:sz w:val="20"/>
        </w:rPr>
        <w:t xml:space="preserve">  — à vérifier/compléter : titre exact, revue/rapport, volume, pages.</w:t>
      </w:r>
    </w:p>
    <w:p>
      <w:pPr>
        <w:spacing w:after="100"/>
        <w:ind w:left="510" w:hanging="510"/>
        <w:jc w:val="both"/>
      </w:pPr>
      <w:r>
        <w:rPr>
          <w:sz w:val="20"/>
        </w:rPr>
        <w:t>Organisation des Nations Unies pour l'alimentation et l'agriculture. (1991).</w:t>
      </w:r>
      <w:r>
        <w:rPr>
          <w:i/>
          <w:color w:val="EA580C"/>
          <w:sz w:val="20"/>
        </w:rPr>
        <w:t xml:space="preserve">  — à vérifier/compléter : titre exact du document FAO (1991) cité.</w:t>
      </w:r>
    </w:p>
    <w:p>
      <w:pPr>
        <w:spacing w:after="100"/>
        <w:ind w:left="510" w:hanging="510"/>
        <w:jc w:val="both"/>
      </w:pPr>
      <w:r>
        <w:rPr>
          <w:sz w:val="20"/>
        </w:rPr>
        <w:t xml:space="preserve">Organisation des Nations Unies pour l'alimentation et l'agriculture. (1999). [Vers une définition harmonisée des PFNL]. </w:t>
      </w:r>
      <w:r>
        <w:rPr>
          <w:i/>
          <w:sz w:val="20"/>
        </w:rPr>
        <w:t>Unasylva</w:t>
      </w:r>
      <w:r>
        <w:rPr>
          <w:sz w:val="20"/>
        </w:rPr>
        <w:t>.</w:t>
      </w:r>
      <w:r>
        <w:rPr>
          <w:i/>
          <w:color w:val="EA580C"/>
          <w:sz w:val="20"/>
        </w:rPr>
        <w:t xml:space="preserve">  — à vérifier/compléter : numéro de volume et pagination exacts.</w:t>
      </w:r>
    </w:p>
    <w:p>
      <w:pPr>
        <w:spacing w:after="100"/>
        <w:ind w:left="510" w:hanging="510"/>
        <w:jc w:val="both"/>
      </w:pPr>
      <w:r>
        <w:rPr>
          <w:sz w:val="20"/>
        </w:rPr>
        <w:t>Organisation des Nations Unies pour l'alimentation et l'agriculture. (2020).</w:t>
      </w:r>
      <w:r>
        <w:rPr>
          <w:i/>
          <w:color w:val="EA580C"/>
          <w:sz w:val="20"/>
        </w:rPr>
        <w:t xml:space="preserve">  — à vérifier/compléter : titre exact du document FAO (2020) cité (définition de l'agroforesterie).</w:t>
      </w:r>
    </w:p>
    <w:p>
      <w:pPr>
        <w:spacing w:after="100"/>
        <w:ind w:left="510" w:hanging="510"/>
        <w:jc w:val="both"/>
      </w:pPr>
      <w:r>
        <w:rPr>
          <w:sz w:val="20"/>
        </w:rPr>
        <w:t>Organisation des Nations Unies pour l'alimentation et l'agriculture. (2022).</w:t>
      </w:r>
      <w:r>
        <w:rPr>
          <w:i/>
          <w:color w:val="EA580C"/>
          <w:sz w:val="20"/>
        </w:rPr>
        <w:t xml:space="preserve">  — à vérifier/compléter : titre exact du document FAO (2022) cité.</w:t>
      </w:r>
    </w:p>
    <w:p>
      <w:pPr>
        <w:spacing w:after="100"/>
        <w:ind w:left="510" w:hanging="510"/>
        <w:jc w:val="both"/>
      </w:pPr>
      <w:r>
        <w:rPr>
          <w:sz w:val="20"/>
        </w:rPr>
        <w:t>Peters, C. M. (1997). [Gestion durable des PFNL / ressources végétales].</w:t>
      </w:r>
      <w:r>
        <w:rPr>
          <w:i/>
          <w:color w:val="EA580C"/>
          <w:sz w:val="20"/>
        </w:rPr>
        <w:t xml:space="preserve">  — à vérifier/compléter : titre exact, éditeur/revue, pagination.</w:t>
      </w:r>
    </w:p>
    <w:p>
      <w:pPr>
        <w:spacing w:after="100"/>
        <w:ind w:left="510" w:hanging="510"/>
        <w:jc w:val="both"/>
      </w:pPr>
      <w:r>
        <w:rPr>
          <w:sz w:val="20"/>
        </w:rPr>
        <w:t xml:space="preserve">Picard, N., &amp; Gourlet-Fleury, S. (2008). </w:t>
      </w:r>
      <w:r>
        <w:rPr>
          <w:i/>
          <w:sz w:val="20"/>
        </w:rPr>
        <w:t>Manuel de référence pour l'installation de dispositifs permanents en forêt de production dans le bassin du Congo</w:t>
      </w:r>
      <w:r>
        <w:rPr>
          <w:sz w:val="20"/>
        </w:rPr>
        <w:t>. CIRAD / COMIFAC.</w:t>
      </w:r>
      <w:r>
        <w:rPr>
          <w:i/>
          <w:color w:val="EA580C"/>
          <w:sz w:val="20"/>
        </w:rPr>
        <w:t xml:space="preserve">  — à vérifier/compléter : pagination exacte.</w:t>
      </w:r>
    </w:p>
    <w:p>
      <w:pPr>
        <w:spacing w:after="100"/>
        <w:ind w:left="510" w:hanging="510"/>
        <w:jc w:val="both"/>
      </w:pPr>
      <w:r>
        <w:rPr>
          <w:sz w:val="20"/>
        </w:rPr>
        <w:t>Plan National de Développement des PFNL (PND-PFNL). (2024). Ministère des Forêts et de la Faune.</w:t>
      </w:r>
      <w:r>
        <w:rPr>
          <w:i/>
          <w:color w:val="EA580C"/>
          <w:sz w:val="20"/>
        </w:rPr>
        <w:t xml:space="preserve">  — à vérifier/compléter : titre exact et pagination.</w:t>
      </w:r>
    </w:p>
    <w:p>
      <w:pPr>
        <w:spacing w:after="100"/>
        <w:ind w:left="510" w:hanging="510"/>
        <w:jc w:val="both"/>
      </w:pPr>
      <w:r>
        <w:rPr>
          <w:sz w:val="20"/>
        </w:rPr>
        <w:t>RiFOP. (2023). [Agroforêts des ménages].</w:t>
      </w:r>
      <w:r>
        <w:rPr>
          <w:i/>
          <w:color w:val="EA580C"/>
          <w:sz w:val="20"/>
        </w:rPr>
        <w:t xml:space="preserve">  — à vérifier/compléter : intitulé complet de l'organisation et du document, pagination.</w:t>
      </w:r>
    </w:p>
    <w:p>
      <w:pPr>
        <w:spacing w:after="100"/>
        <w:ind w:left="510" w:hanging="510"/>
        <w:jc w:val="both"/>
      </w:pPr>
      <w:r>
        <w:rPr>
          <w:sz w:val="20"/>
        </w:rPr>
        <w:t xml:space="preserve">Schrauf, R. W., &amp; Sánchez, J. (2008). [Fréquence de citation / analyse de listes libres]. </w:t>
      </w:r>
      <w:r>
        <w:rPr>
          <w:i/>
          <w:color w:val="EA580C"/>
          <w:sz w:val="20"/>
        </w:rPr>
        <w:t xml:space="preserve">  — à vérifier/compléter : titre exact, revue, volume, pages.</w:t>
      </w:r>
    </w:p>
    <w:p>
      <w:pPr>
        <w:spacing w:after="100"/>
        <w:ind w:left="510" w:hanging="510"/>
        <w:jc w:val="both"/>
      </w:pPr>
      <w:r>
        <w:rPr>
          <w:sz w:val="20"/>
        </w:rPr>
        <w:t>Scott, [initiale]., &amp; al. (1993).</w:t>
      </w:r>
      <w:r>
        <w:rPr>
          <w:i/>
          <w:color w:val="EA580C"/>
          <w:sz w:val="20"/>
        </w:rPr>
        <w:t xml:space="preserve">  — à vérifier/compléter : auteurs complets, titre, revue, volume, pages.</w:t>
      </w:r>
    </w:p>
    <w:p>
      <w:pPr>
        <w:spacing w:after="100"/>
        <w:ind w:left="510" w:hanging="510"/>
        <w:jc w:val="both"/>
      </w:pPr>
      <w:r>
        <w:rPr>
          <w:sz w:val="20"/>
        </w:rPr>
        <w:t xml:space="preserve">Shackleton, C. M., &amp; de Vos, A. (2022). [PFNL et moyens de subsistance]. </w:t>
      </w:r>
      <w:r>
        <w:rPr>
          <w:i/>
          <w:color w:val="EA580C"/>
          <w:sz w:val="20"/>
        </w:rPr>
        <w:t xml:space="preserve">  — à vérifier/compléter : titre exact, revue, volume, pages, DOI.</w:t>
      </w:r>
    </w:p>
    <w:p>
      <w:pPr>
        <w:spacing w:after="100"/>
        <w:ind w:left="510" w:hanging="510"/>
        <w:jc w:val="both"/>
      </w:pPr>
      <w:r>
        <w:rPr>
          <w:sz w:val="20"/>
        </w:rPr>
        <w:t>Tayo Gamo, K. (2014). [Diversité des agroforêts cacaoyères, Cameroun] [Mémoire/Thèse].</w:t>
      </w:r>
      <w:r>
        <w:rPr>
          <w:i/>
          <w:color w:val="EA580C"/>
          <w:sz w:val="20"/>
        </w:rPr>
        <w:t xml:space="preserve">  — à vérifier/compléter : titre exact, établissement, pagination.</w:t>
      </w:r>
    </w:p>
    <w:p>
      <w:pPr>
        <w:spacing w:after="100"/>
        <w:ind w:left="510" w:hanging="510"/>
        <w:jc w:val="both"/>
      </w:pPr>
      <w:r>
        <w:rPr>
          <w:sz w:val="20"/>
        </w:rPr>
        <w:t>Tchaleu, B., &amp; al. (2022).</w:t>
      </w:r>
      <w:r>
        <w:rPr>
          <w:i/>
          <w:color w:val="EA580C"/>
          <w:sz w:val="20"/>
        </w:rPr>
        <w:t xml:space="preserve">  — à vérifier/compléter : auteurs complets, titre, revue, volume, pages, DOI.</w:t>
      </w:r>
    </w:p>
    <w:p>
      <w:pPr>
        <w:spacing w:after="100"/>
        <w:ind w:left="510" w:hanging="510"/>
        <w:jc w:val="both"/>
      </w:pPr>
      <w:r>
        <w:rPr>
          <w:sz w:val="20"/>
        </w:rPr>
        <w:t>Tchatat, M., &amp; al. (2002). [Produits forestiers non ligneux, Cameroun].</w:t>
      </w:r>
      <w:r>
        <w:rPr>
          <w:i/>
          <w:color w:val="EA580C"/>
          <w:sz w:val="20"/>
        </w:rPr>
        <w:t xml:space="preserve">  — à vérifier/compléter : auteurs complets, titre, revue/rapport, volume, pages.</w:t>
      </w:r>
    </w:p>
    <w:p>
      <w:pPr>
        <w:spacing w:after="100"/>
        <w:ind w:left="510" w:hanging="510"/>
        <w:jc w:val="both"/>
      </w:pPr>
      <w:r>
        <w:rPr>
          <w:sz w:val="20"/>
        </w:rPr>
        <w:t xml:space="preserve">Tchatat, M., &amp; Ndoye, O. (2006). Étude des produits forestiers non ligneux d'Afrique centrale : Réalités et perspectives. </w:t>
      </w:r>
      <w:r>
        <w:rPr>
          <w:i/>
          <w:sz w:val="20"/>
        </w:rPr>
        <w:t>Bois et Forêts des Tropiques</w:t>
      </w:r>
      <w:r>
        <w:rPr>
          <w:sz w:val="20"/>
        </w:rPr>
        <w:t>, 288(2), 27–39.</w:t>
      </w:r>
      <w:r>
        <w:rPr>
          <w:i/>
          <w:color w:val="EA580C"/>
          <w:sz w:val="20"/>
        </w:rPr>
        <w:t xml:space="preserve">  — à vérifier/compléter : confirmer volume/numéro et pagination exacts.</w:t>
      </w:r>
    </w:p>
    <w:p>
      <w:pPr>
        <w:spacing w:after="100"/>
        <w:ind w:left="510" w:hanging="510"/>
        <w:jc w:val="both"/>
      </w:pPr>
      <w:r>
        <w:rPr>
          <w:sz w:val="20"/>
        </w:rPr>
        <w:t xml:space="preserve">Ticktin, T. (2004). The ecological implications of harvesting non-timber forest products. </w:t>
      </w:r>
      <w:r>
        <w:rPr>
          <w:i/>
          <w:sz w:val="20"/>
        </w:rPr>
        <w:t>Journal of Applied Ecology</w:t>
      </w:r>
      <w:r>
        <w:rPr>
          <w:sz w:val="20"/>
        </w:rPr>
        <w:t>, 41(1), 11–21.</w:t>
      </w:r>
      <w:r>
        <w:rPr>
          <w:i/>
          <w:color w:val="EA580C"/>
          <w:sz w:val="20"/>
        </w:rPr>
        <w:t xml:space="preserve">  — à vérifier/compléter : confirmer volume et pagination exacts.</w:t>
      </w:r>
    </w:p>
    <w:p>
      <w:pPr>
        <w:spacing w:after="100"/>
        <w:ind w:left="510" w:hanging="510"/>
        <w:jc w:val="both"/>
      </w:pPr>
      <w:r>
        <w:rPr>
          <w:sz w:val="20"/>
        </w:rPr>
        <w:t>Vermeulen, C. (2017) ; Vermeulen, C. (2025). [Agroforêts des ménages / foresterie communautaire au Cameroun].</w:t>
      </w:r>
      <w:r>
        <w:rPr>
          <w:i/>
          <w:color w:val="EA580C"/>
          <w:sz w:val="20"/>
        </w:rPr>
        <w:t xml:space="preserve">  — à vérifier/compléter : titres exacts, supports et pagination des deux documents.</w:t>
      </w:r>
    </w:p>
    <w:p>
      <w:pPr>
        <w:spacing w:after="100"/>
        <w:ind w:left="510" w:hanging="510"/>
        <w:jc w:val="both"/>
      </w:pPr>
      <w:r>
        <w:rPr>
          <w:sz w:val="20"/>
        </w:rPr>
        <w:t>Vermeulen, C., &amp; al. (2011). [Forêts communautaires et PFNL au Cameroun].</w:t>
      </w:r>
      <w:r>
        <w:rPr>
          <w:i/>
          <w:color w:val="EA580C"/>
          <w:sz w:val="20"/>
        </w:rPr>
        <w:t xml:space="preserve">  — à vérifier/compléter : auteurs complets, titre, revue/ouvrage, volume, pages.</w:t>
      </w:r>
    </w:p>
    <w:p>
      <w:pPr>
        <w:spacing w:after="100"/>
        <w:ind w:left="510" w:hanging="510"/>
        <w:jc w:val="both"/>
      </w:pPr>
      <w:r>
        <w:rPr>
          <w:sz w:val="20"/>
        </w:rPr>
        <w:t>Von Stieglitz, F. (2000). [Définition de la foresterie sociale].</w:t>
      </w:r>
      <w:r>
        <w:rPr>
          <w:i/>
          <w:color w:val="EA580C"/>
          <w:sz w:val="20"/>
        </w:rPr>
        <w:t xml:space="preserve">  — à vérifier/compléter : titre exact, support, pagination.</w:t>
      </w:r>
    </w:p>
    <w:p>
      <w:r>
        <w:br w:type="page"/>
      </w:r>
    </w:p>
    <w:p>
      <w:pPr>
        <w:pBdr>
          <w:bottom w:val="single" w:sz="16" w:color="0FB69C" w:space="4"/>
        </w:pBdr>
        <w:spacing w:before="200"/>
      </w:pPr>
      <w:r>
        <w:rPr>
          <w:rFonts w:ascii="Calibri" w:hAnsi="Calibri"/>
          <w:b/>
          <w:color w:val="0A1628"/>
          <w:sz w:val="30"/>
        </w:rPr>
        <w:t>3. Rapport de traitement de la bibliographie</w:t>
      </w:r>
    </w:p>
    <w:p>
      <w:pPr>
        <w:spacing w:before="160"/>
      </w:pPr>
      <w:r>
        <w:rPr>
          <w:rFonts w:ascii="Calibri" w:hAnsi="Calibri"/>
          <w:b/>
          <w:color w:val="0A8A75"/>
          <w:sz w:val="25"/>
        </w:rPr>
        <w:t>Statistiques</w:t>
      </w:r>
    </w:p>
    <w:p>
      <w:pPr>
        <w:spacing w:after="60"/>
      </w:pPr>
      <w:r>
        <w:rPr>
          <w:b/>
          <w:sz w:val="21"/>
        </w:rPr>
        <w:t xml:space="preserve">• Références distinctes citées dans le texte : </w:t>
      </w:r>
      <w:r>
        <w:rPr>
          <w:sz w:val="21"/>
        </w:rPr>
        <w:t>environ 82 (après regroupement des citations multiples et des occurrences répétées)</w:t>
      </w:r>
    </w:p>
    <w:p>
      <w:pPr>
        <w:spacing w:after="60"/>
      </w:pPr>
      <w:r>
        <w:rPr>
          <w:b/>
          <w:sz w:val="21"/>
        </w:rPr>
        <w:t xml:space="preserve">• Références figurant dans la bibliographie du mémoire avant traitement : </w:t>
      </w:r>
      <w:r>
        <w:rPr>
          <w:sz w:val="21"/>
        </w:rPr>
        <w:t>0 (la section « Références bibliographiques » du document était vide)</w:t>
      </w:r>
    </w:p>
    <w:p>
      <w:pPr>
        <w:spacing w:after="60"/>
      </w:pPr>
      <w:r>
        <w:rPr>
          <w:b/>
          <w:sz w:val="21"/>
        </w:rPr>
        <w:t xml:space="preserve">• Références mises en forme en liste principale (APA 7, fiables) : </w:t>
      </w:r>
      <w:r>
        <w:rPr>
          <w:sz w:val="21"/>
        </w:rPr>
        <w:t>24</w:t>
      </w:r>
    </w:p>
    <w:p>
      <w:pPr>
        <w:spacing w:after="60"/>
      </w:pPr>
      <w:r>
        <w:rPr>
          <w:b/>
          <w:sz w:val="21"/>
        </w:rPr>
        <w:t xml:space="preserve">• Références placées en « Références à vérifier » : </w:t>
      </w:r>
      <w:r>
        <w:rPr>
          <w:sz w:val="21"/>
        </w:rPr>
        <w:t>environ 58</w:t>
      </w:r>
    </w:p>
    <w:p>
      <w:pPr>
        <w:spacing w:after="60"/>
      </w:pPr>
      <w:r>
        <w:rPr>
          <w:b/>
          <w:sz w:val="21"/>
        </w:rPr>
        <w:t xml:space="preserve">• Doublons / occurrences répétées consolidés : </w:t>
      </w:r>
      <w:r>
        <w:rPr>
          <w:sz w:val="21"/>
        </w:rPr>
        <w:t>plusieurs auteurs cités à des années multiples ont été regroupés (ex. Vermeulen 2011/2017/2025 ; FAO 1991/1999/2020/2022 ; COMIFAC 2010/2011/2021 ; Jagoret 2011/2021 ; Jiofack 2009/2010 ; Awono 2009/2013/2016)</w:t>
      </w:r>
    </w:p>
    <w:p>
      <w:pPr>
        <w:spacing w:after="60"/>
      </w:pPr>
      <w:r>
        <w:rPr>
          <w:b/>
          <w:sz w:val="21"/>
        </w:rPr>
        <w:t xml:space="preserve">• Références corrigées : </w:t>
      </w:r>
      <w:r>
        <w:rPr>
          <w:sz w:val="21"/>
        </w:rPr>
        <w:t>≥ 6 corrections de forme (voir ci-dessous)</w:t>
      </w:r>
    </w:p>
    <w:p>
      <w:pPr>
        <w:spacing w:before="160"/>
      </w:pPr>
      <w:r>
        <w:rPr>
          <w:rFonts w:ascii="Calibri" w:hAnsi="Calibri"/>
          <w:b/>
          <w:color w:val="0A8A75"/>
          <w:sz w:val="25"/>
        </w:rPr>
        <w:t>Corrections apportées</w:t>
      </w:r>
    </w:p>
    <w:p>
      <w:pPr>
        <w:pStyle w:val="ListBullet"/>
        <w:jc w:val="both"/>
      </w:pPr>
      <w:r>
        <w:rPr>
          <w:sz w:val="21"/>
        </w:rPr>
        <w:t xml:space="preserve">Pielou : l'année a été rétablie à </w:t>
      </w:r>
      <w:r>
        <w:rPr>
          <w:b/>
          <w:sz w:val="21"/>
        </w:rPr>
        <w:t>1966</w:t>
      </w:r>
      <w:r>
        <w:rPr>
          <w:sz w:val="21"/>
        </w:rPr>
        <w:t xml:space="preserve"> (le mémoire indiquait 1996) et le titre corrigé (« The measurement of diversity in different types of biological collections », Journal of Theoretical Biology, 13, 131–144).</w:t>
      </w:r>
    </w:p>
    <w:p>
      <w:pPr>
        <w:pStyle w:val="ListBullet"/>
        <w:jc w:val="both"/>
      </w:pPr>
      <w:r>
        <w:rPr>
          <w:sz w:val="21"/>
        </w:rPr>
        <w:t xml:space="preserve">Simpson (1949) : pagination corrigée en </w:t>
      </w:r>
      <w:r>
        <w:rPr>
          <w:b/>
          <w:sz w:val="21"/>
        </w:rPr>
        <w:t>Nature, 163, 688</w:t>
      </w:r>
      <w:r>
        <w:rPr>
          <w:sz w:val="21"/>
        </w:rPr>
        <w:t xml:space="preserve"> (le mémoire indiquait 160–163).</w:t>
      </w:r>
    </w:p>
    <w:p>
      <w:pPr>
        <w:pStyle w:val="ListBullet"/>
        <w:jc w:val="both"/>
      </w:pPr>
      <w:r>
        <w:rPr>
          <w:sz w:val="21"/>
        </w:rPr>
        <w:t>Noms d'auteurs normalisés au format APA (initiales après le nom) : « Shannon C.E » → Shannon, C. E. ; « Simpson EH. » → Simpson, E. H. ; « Cédric Vermeulen » → Vermeulen, C.</w:t>
      </w:r>
    </w:p>
    <w:p>
      <w:pPr>
        <w:pStyle w:val="ListBullet"/>
        <w:jc w:val="both"/>
      </w:pPr>
      <w:r>
        <w:rPr>
          <w:sz w:val="21"/>
        </w:rPr>
        <w:t>Institutions développées puis normalisées : COMIFAC → Commission des Forêts d'Afrique Centrale ; FAO → Organisation des Nations Unies pour l'alimentation et l'agriculture ; MINFOF, MINADER développés.</w:t>
      </w:r>
    </w:p>
    <w:p>
      <w:pPr>
        <w:pStyle w:val="ListBullet"/>
        <w:jc w:val="both"/>
      </w:pPr>
      <w:r>
        <w:rPr>
          <w:sz w:val="21"/>
        </w:rPr>
        <w:t>Ponctuation et casse APA appliquées (titres en casse de phrase, revues en italique, virgule avant l'esperluette, année entre parenthèses).</w:t>
      </w:r>
    </w:p>
    <w:p>
      <w:pPr>
        <w:pStyle w:val="ListBullet"/>
        <w:jc w:val="both"/>
      </w:pPr>
      <w:r>
        <w:rPr>
          <w:sz w:val="21"/>
        </w:rPr>
        <w:t>Citations fragmentaires signalées (« Farichon et al., 1998 » ; « Schrauf et Sanchez, 2008 » ; « Charly, 2007 ») et renvoyées en section « à vérifier ».</w:t>
      </w:r>
    </w:p>
    <w:p>
      <w:pPr>
        <w:spacing w:before="160"/>
      </w:pPr>
      <w:r>
        <w:rPr>
          <w:rFonts w:ascii="Calibri" w:hAnsi="Calibri"/>
          <w:b/>
          <w:color w:val="0A8A75"/>
          <w:sz w:val="25"/>
        </w:rPr>
        <w:t>Incohérences détectées entre les citations du texte et la bibliographie</w:t>
      </w:r>
    </w:p>
    <w:p>
      <w:pPr>
        <w:pStyle w:val="ListBullet"/>
        <w:jc w:val="both"/>
      </w:pPr>
      <w:r>
        <w:rPr>
          <w:sz w:val="21"/>
        </w:rPr>
        <w:t xml:space="preserve">Incohérence majeure : la section « Références bibliographiques » du mémoire est </w:t>
      </w:r>
      <w:r>
        <w:rPr>
          <w:b/>
          <w:sz w:val="21"/>
        </w:rPr>
        <w:t>vide</w:t>
      </w:r>
      <w:r>
        <w:rPr>
          <w:sz w:val="21"/>
        </w:rPr>
        <w:t>, alors que le corps du texte mobilise environ 82 références. La totalité des citations est donc actuellement dépourvue d'entrée bibliographique — c'est le point à corriger en priorité avant tout dépôt.</w:t>
      </w:r>
    </w:p>
    <w:p>
      <w:pPr>
        <w:pStyle w:val="ListBullet"/>
        <w:jc w:val="both"/>
      </w:pPr>
      <w:r>
        <w:rPr>
          <w:sz w:val="21"/>
        </w:rPr>
        <w:t>« Charly, 2007 » dans le texte correspond vraisemblablement au nom « Messie Anicet Charly (2007) » : l'entrée doit être classée au nom de famille exact de l'auteur (à confirmer).</w:t>
      </w:r>
    </w:p>
    <w:p>
      <w:pPr>
        <w:pStyle w:val="ListBullet"/>
        <w:jc w:val="both"/>
      </w:pPr>
      <w:r>
        <w:rPr>
          <w:sz w:val="21"/>
        </w:rPr>
        <w:t xml:space="preserve">Année incertaine pour Zapfack : le texte cite « Zapfack et al., 2016 » ; la référence bien établie sur l'impact de la conversion des terres sur la biodiversité végétale au Cameroun est de </w:t>
      </w:r>
      <w:r>
        <w:rPr>
          <w:b/>
          <w:sz w:val="21"/>
        </w:rPr>
        <w:t>2002</w:t>
      </w:r>
      <w:r>
        <w:rPr>
          <w:sz w:val="21"/>
        </w:rPr>
        <w:t>. Vérifier s'il s'agit de deux travaux distincts.</w:t>
      </w:r>
    </w:p>
    <w:p>
      <w:pPr>
        <w:pStyle w:val="ListBullet"/>
        <w:jc w:val="both"/>
      </w:pPr>
      <w:r>
        <w:rPr>
          <w:sz w:val="21"/>
        </w:rPr>
        <w:t xml:space="preserve">Carrière est cité à deux années (« 2002 » et « 2003 ») : l'ouvrage de référence (« Les orphelins de la forêt ») est de </w:t>
      </w:r>
      <w:r>
        <w:rPr>
          <w:b/>
          <w:sz w:val="21"/>
        </w:rPr>
        <w:t>2003</w:t>
      </w:r>
      <w:r>
        <w:rPr>
          <w:sz w:val="21"/>
        </w:rPr>
        <w:t xml:space="preserve"> ; confirmer si « Carrière, 2002 » renvoie à un autre travail.</w:t>
      </w:r>
    </w:p>
    <w:p>
      <w:pPr>
        <w:pStyle w:val="ListBullet"/>
        <w:jc w:val="both"/>
      </w:pPr>
      <w:r>
        <w:rPr>
          <w:sz w:val="21"/>
        </w:rPr>
        <w:t>« PND-PFNL, 2024 », « PFNL, 2024 » et « Plan National de Développement des PFNL » désignent le même document : à uniformiser.</w:t>
      </w:r>
    </w:p>
    <w:p>
      <w:pPr>
        <w:pStyle w:val="ListBullet"/>
        <w:jc w:val="both"/>
      </w:pPr>
      <w:r>
        <w:rPr>
          <w:sz w:val="21"/>
        </w:rPr>
        <w:t>« Schure et Levang, 2013 » et « Awono, Ingram, Schure &amp; Levang (2013) » pourraient renvoyer au même guide CIFOR : à vérifier et fusionner le cas échéant.</w:t>
      </w:r>
    </w:p>
    <w:p>
      <w:pPr>
        <w:spacing w:before="160"/>
      </w:pPr>
      <w:r>
        <w:rPr>
          <w:rFonts w:ascii="Calibri" w:hAnsi="Calibri"/>
          <w:b/>
          <w:color w:val="0A8A75"/>
          <w:sz w:val="25"/>
        </w:rPr>
        <w:t>Recommandation</w:t>
      </w:r>
    </w:p>
    <w:p>
      <w:pPr>
        <w:jc w:val="both"/>
      </w:pPr>
      <w:r>
        <w:rPr>
          <w:i w:val="0"/>
          <w:sz w:val="21"/>
        </w:rPr>
        <w:t>Il est recommandé de compléter les références de la section « à vérifier » à partir des bases bibliographiques fiables (Google Scholar, CIFOR Publications, base de la FAO, portails d'éditeurs), d'ajouter les DOI/URL lorsqu'ils existent, puis de fusionner les deux listes en une bibliographie unique classée alphabétiquement. Aucune référence ne doit être conservée si son existence ne peut être confirmée.</w:t>
      </w:r>
    </w:p>
    <w:sectPr w:rsidR="00FC693F" w:rsidRPr="0006063C" w:rsidSect="00034616">
      <w:pgSz w:w="12240" w:h="15840"/>
      <w:pgMar w:top="1247"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