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color="0FB69C" w:space="4"/>
        </w:pBdr>
      </w:pPr>
      <w:r>
        <w:rPr>
          <w:rFonts w:ascii="Calibri" w:hAnsi="Calibri"/>
          <w:b/>
          <w:color w:val="0A1628"/>
          <w:sz w:val="34"/>
        </w:rPr>
        <w:t>CHAPITRE 4 — DISCUSSION</w:t>
      </w:r>
    </w:p>
    <w:p>
      <w:pPr>
        <w:jc w:val="both"/>
      </w:pPr>
      <w:r>
        <w:rPr>
          <w:sz w:val="22"/>
        </w:rPr>
        <w:t>Ce chapitre confronte de manière indépendante l'ensemble des résultats de l'étude à la littérature scientifique portant sur le Cameroun, le Bassin du Congo et l'Afrique centrale. Les références mobilisées sont celles déjà présentes dans le mémoire ainsi que des travaux de référence du domaine ; conformément à l'exigence de rigueur, aucune source n'a été inventée, et l'auteure devra vérifier la présence de chacune dans la bibliographie finale (voir rapport de corrections).</w:t>
      </w:r>
    </w:p>
    <w:p>
      <w:pPr>
        <w:keepNext/>
        <w:spacing w:before="240" w:after="120"/>
      </w:pPr>
      <w:r>
        <w:rPr>
          <w:rFonts w:ascii="Calibri" w:hAnsi="Calibri"/>
          <w:b/>
          <w:color w:val="0A1628"/>
          <w:sz w:val="28"/>
        </w:rPr>
        <w:t>4.1 Caractérisation des types d'utilisation des terres</w:t>
      </w:r>
    </w:p>
    <w:p>
      <w:pPr>
        <w:jc w:val="both"/>
      </w:pPr>
      <w:r>
        <w:rPr>
          <w:sz w:val="22"/>
        </w:rPr>
        <w:t>La dominance des jachères (≈ 40 % de la superficie) confirme leur rôle central dans le maintien de la durabilité des agroforêts des ménages de Lomié, notamment pour la reconstitution du stock de nutriments des sols ferralitiques et la restauration du couvert végétal (Carrière, 2002). Avec près de 30 % de la superficie, les cacaoyères s'affirment comme la principale culture pérenne, en cohérence avec les dynamiques agricoles documentées dans les régions forestières du Cameroun (Jagoret et al., 2021). L'apparition d'extensions de cacao (≈ 5 %) révèle une dynamique d'expansion cacaoyère, dans un contexte de cours mondiaux favorables (Fabrice &amp; Happi, 2024) ; une réduction excessive des jachères au profit des cacaoyères compromettrait toutefois la durabilité écologique de l'agroforêt (Vermeulen et al., 2011). Cette tension entre intensification cacaoyère et maintien de la mosaïque agroforestière est au cœur des enjeux de conservation du paysage TRIDOM.</w:t>
      </w:r>
    </w:p>
    <w:p>
      <w:pPr>
        <w:keepNext/>
        <w:spacing w:before="240" w:after="120"/>
      </w:pPr>
      <w:r>
        <w:rPr>
          <w:rFonts w:ascii="Calibri" w:hAnsi="Calibri"/>
          <w:b/>
          <w:color w:val="0A1628"/>
          <w:sz w:val="28"/>
        </w:rPr>
        <w:t>4.2 Diversité floristique des agroforêts des ménages</w:t>
      </w:r>
    </w:p>
    <w:p>
      <w:pPr>
        <w:jc w:val="both"/>
      </w:pPr>
      <w:r>
        <w:rPr>
          <w:sz w:val="22"/>
        </w:rPr>
        <w:t xml:space="preserve">L'inventaire a recensé 2 379 individus ligneux répartis en 240 morpho-espèces (68 identifiées, 58 genres, 25 familles). Les indices de Shannon obtenus (2,84 à 3,58) traduisent une diversité floristique </w:t>
      </w:r>
      <w:r>
        <w:rPr>
          <w:b/>
          <w:sz w:val="22"/>
        </w:rPr>
        <w:t>élevée</w:t>
      </w:r>
      <w:r>
        <w:rPr>
          <w:sz w:val="22"/>
        </w:rPr>
        <w:t xml:space="preserve"> au regard de la grille de Barmo et al. (2019). Ces valeurs sont nettement supérieures à celles des agroforêts cacaoyères sur précédent savanicole du Centre-Cameroun (H' ≈ 1,6 ; Fomekong et al., 2023) et comparables à celles des agroforêts cacaoyères multistrates de la zone forestière humide du Centre et du Sud (Sonwa et al., 2007 ; Zapfack et al., 2016). Elles restent inférieures aux valeurs des forêts naturelles peu perturbées de la périphérie de la Réserve du Dja (Gonmadje et al., 2011). Les agroforêts des ménages de Lomié se positionnent ainsi dans un </w:t>
      </w:r>
      <w:r>
        <w:rPr>
          <w:b/>
          <w:sz w:val="22"/>
        </w:rPr>
        <w:t>registre intermédiaire entre forêt secondaire avancée et forêt naturelle</w:t>
      </w:r>
      <w:r>
        <w:rPr>
          <w:sz w:val="22"/>
        </w:rPr>
        <w:t>, caractéristique des systèmes agroforestiers complexes qui conservent une grande diversité ligneuse tout en maintenant une fonction productive.</w:t>
      </w:r>
    </w:p>
    <w:p>
      <w:pPr>
        <w:jc w:val="both"/>
      </w:pPr>
      <w:r>
        <w:rPr>
          <w:sz w:val="22"/>
        </w:rPr>
        <w:t xml:space="preserve">La dominance de </w:t>
      </w:r>
      <w:r>
        <w:rPr>
          <w:i/>
          <w:sz w:val="22"/>
        </w:rPr>
        <w:t>Musanga cecropioides</w:t>
      </w:r>
      <w:r>
        <w:rPr>
          <w:sz w:val="22"/>
        </w:rPr>
        <w:t xml:space="preserve"> (26 % des individus), pionnière héliophile des recrus et des jachères, signale une dynamique de régénération post-perturbation active, particulièrement dans l'agroforêt Mekoul. La faible similarité floristique entre agroforêts (Sørensen de 23 % à 41 %) révèle une forte </w:t>
      </w:r>
      <w:r>
        <w:rPr>
          <w:b/>
          <w:sz w:val="22"/>
        </w:rPr>
        <w:t>diversité bêta</w:t>
      </w:r>
      <w:r>
        <w:rPr>
          <w:sz w:val="22"/>
        </w:rPr>
        <w:t xml:space="preserve"> : chaque agroforêt possède un cortège d'espèces en grande partie propre, résultat de trajectoires de gestion distinctes. Le maintien d'un réseau d'agroforêts hétérogènes préserve donc davantage d'espèces qu'un système homogène. Les seize espèces communes aux quatre sites, à haute valeur d'usage (Moabi, Djansang, Mango, Mbalaka), constituent un noyau floristique délibérément conservé par les ménages, conformément à la logique de conservation sélective des espèces utiles documentée dans les agroforêts complexes d'Afrique centrale (Saj et al., 2017).</w:t>
      </w:r>
    </w:p>
    <w:p>
      <w:pPr>
        <w:jc w:val="both"/>
      </w:pPr>
      <w:r>
        <w:rPr>
          <w:sz w:val="22"/>
        </w:rPr>
        <w:t xml:space="preserve">La structure des peuplements en « J inversé » et la persistance d'individus de très grand diamètre (Moabi jusqu'à 287 cm de DHP) témoignent d'une régénération active et d'une continuité de gestion transmise sur plusieurs générations. Ces arbres géants confèrent aux agroforêts une </w:t>
      </w:r>
      <w:r>
        <w:rPr>
          <w:b/>
          <w:sz w:val="22"/>
        </w:rPr>
        <w:t>fonction écologique de connectivité</w:t>
      </w:r>
      <w:r>
        <w:rPr>
          <w:sz w:val="22"/>
        </w:rPr>
        <w:t xml:space="preserve"> pour la faune forestière en périphérie de la Réserve de Biosphère du Dja, argument fort en faveur de la reconnaissance et de la conservation de ces systèmes dans le paysage TRIDOM.</w:t>
      </w:r>
    </w:p>
    <w:p>
      <w:pPr>
        <w:keepNext/>
        <w:spacing w:before="240" w:after="120"/>
      </w:pPr>
      <w:r>
        <w:rPr>
          <w:rFonts w:ascii="Calibri" w:hAnsi="Calibri"/>
          <w:b/>
          <w:color w:val="0A1628"/>
          <w:sz w:val="28"/>
        </w:rPr>
        <w:t>4.3 PFNL valorisés et contribution aux moyens de subsistance</w:t>
      </w:r>
    </w:p>
    <w:p>
      <w:pPr>
        <w:jc w:val="both"/>
      </w:pPr>
      <w:r>
        <w:rPr>
          <w:sz w:val="22"/>
        </w:rPr>
        <w:t>La fréquence de citation quasi universelle du Mango (</w:t>
      </w:r>
      <w:r>
        <w:rPr>
          <w:i/>
          <w:sz w:val="22"/>
        </w:rPr>
        <w:t>Irvingia gabonensis</w:t>
      </w:r>
      <w:r>
        <w:rPr>
          <w:sz w:val="22"/>
        </w:rPr>
        <w:t xml:space="preserve">, 96 %) confirme le statut de </w:t>
      </w:r>
      <w:r>
        <w:rPr>
          <w:b/>
          <w:sz w:val="22"/>
        </w:rPr>
        <w:t>PFNL pivot</w:t>
      </w:r>
      <w:r>
        <w:rPr>
          <w:sz w:val="22"/>
        </w:rPr>
        <w:t xml:space="preserve"> de cette espèce dans les économies forestières d'Afrique centrale, déjà souligné par Ingram (2014) et Awono et al. (2016) à l'échelle nationale camerounaise. Sa présence fréquente comme arbre relique conservé au sein des cacaoyères et jachères rejoint la logique de conservation « par l'usage » décrite par Tane Fomekong et al. (2023) : le Mango constitue un trait d'union concret entre conservation de la biodiversité et développement économique local.</w:t>
      </w:r>
    </w:p>
    <w:p>
      <w:pPr>
        <w:jc w:val="both"/>
      </w:pPr>
      <w:r>
        <w:rPr>
          <w:sz w:val="22"/>
        </w:rPr>
        <w:t xml:space="preserve">Le revenu PFNL moyen (≈ 555 140 FCFA par ménage) illustre localement l'importance macroéconomique des PFNL déjà quantifiée nationalement par Awono et al. (2016), qui évaluaient la valeur annuelle de seize PFNL camerounais à 32 milliards de FCFA et l'emploi généré à 283 000 personnes. Dans le contexte du Haut-Nyong, où l'économie repose sur une cacaoculture exposée à la volatilité des cours (Fabrice &amp; Happi, 2024), cette contribution constitue un </w:t>
      </w:r>
      <w:r>
        <w:rPr>
          <w:b/>
          <w:sz w:val="22"/>
        </w:rPr>
        <w:t>mécanisme de diversification et d'amortissement des chocs de revenu</w:t>
      </w:r>
      <w:r>
        <w:rPr>
          <w:sz w:val="22"/>
        </w:rPr>
        <w:t>, dont la corrélation positive entre diversité du panier et revenu (ρ = 0,52) confirme la logique de portefeuille.</w:t>
      </w:r>
    </w:p>
    <w:p>
      <w:pPr>
        <w:jc w:val="both"/>
      </w:pPr>
      <w:r>
        <w:rPr>
          <w:sz w:val="22"/>
        </w:rPr>
        <w:t xml:space="preserve">Le contraste entre PFNL quasi exclusivement marchands (Mbalaka 100 %, Rondelle 98 % vendus) et un PFNL à forte autoconsommation (Moabi, 34,7 %) recoupe la distinction fonctionnelle établie par Mezogue &amp; Julve (2007) pour l'huile de Moabi dans le Sud-Cameroun. Cette </w:t>
      </w:r>
      <w:r>
        <w:rPr>
          <w:b/>
          <w:sz w:val="22"/>
        </w:rPr>
        <w:t>typologie fonctionnelle</w:t>
      </w:r>
      <w:r>
        <w:rPr>
          <w:sz w:val="22"/>
        </w:rPr>
        <w:t xml:space="preserve"> — PFNL de rente contre PFNL vivriers — a une portée opérationnelle : elle suggère de différencier les stratégies d'appui selon la nature du produit. L'affectation prioritaire des revenus à la scolarisation des enfants (96 %), à l'alimentation (48 %) et à la santé (24 %) démontre en outre que les PFNL financent les </w:t>
      </w:r>
      <w:r>
        <w:rPr>
          <w:b/>
          <w:sz w:val="22"/>
        </w:rPr>
        <w:t>besoins fondamentaux</w:t>
      </w:r>
      <w:r>
        <w:rPr>
          <w:sz w:val="22"/>
        </w:rPr>
        <w:t xml:space="preserve"> du ménage, confirmant leur fonction de filet de sécurité économique et social, en particulier pour les ménages monoparentaux vulnérables.</w:t>
      </w:r>
    </w:p>
    <w:p>
      <w:pPr>
        <w:jc w:val="both"/>
      </w:pPr>
      <w:r>
        <w:rPr>
          <w:sz w:val="22"/>
        </w:rPr>
        <w:t xml:space="preserve">L'organisation familiale (86 %) et féminine (72 %) de la collecte, ainsi que la prédominance du ramassage direct, rejoignent les constats de Tchatat et al. (2002) sur l'organisation faiblement professionnalisée de la filière PFNL en Afrique centrale. Le recours par 28 % des ménages à une main-d'œuvre exclusivement Baka, articulé au revenu significativement plus faible des ménages Baka eux-mêmes, met en lumière une </w:t>
      </w:r>
      <w:r>
        <w:rPr>
          <w:b/>
          <w:sz w:val="22"/>
        </w:rPr>
        <w:t>structuration sociale du travail</w:t>
      </w:r>
      <w:r>
        <w:rPr>
          <w:sz w:val="22"/>
        </w:rPr>
        <w:t xml:space="preserve"> dans laquelle les populations autochtones apparaissent davantage insérées comme force de travail que comme bénéficiaires de la commercialisation. Cette observation, à interpréter avec prudence au vu des effectifs, interroge l'équité des dispositifs d'appui et rejoint les préoccupations de la COMIFAC (2011) relatives à la participation de tous les acteurs à la gestion durable des espèces à PFNL.</w:t>
      </w:r>
    </w:p>
    <w:p>
      <w:pPr>
        <w:keepNext/>
        <w:spacing w:before="240" w:after="120"/>
      </w:pPr>
      <w:r>
        <w:rPr>
          <w:rFonts w:ascii="Calibri" w:hAnsi="Calibri"/>
          <w:b/>
          <w:color w:val="0A1628"/>
          <w:sz w:val="28"/>
        </w:rPr>
        <w:t>4.4 Déterminants du revenu et logique de la valorisation</w:t>
      </w:r>
    </w:p>
    <w:p>
      <w:pPr>
        <w:jc w:val="both"/>
      </w:pPr>
      <w:r>
        <w:rPr>
          <w:sz w:val="22"/>
        </w:rPr>
        <w:t>L'analyse des déterminants révèle que le revenu PFNL dépend moins des dotations individuelles des ménages (sexe, taille, instruction — tous non significatifs) que de trois leviers : l'</w:t>
      </w:r>
      <w:r>
        <w:rPr>
          <w:b/>
          <w:sz w:val="22"/>
        </w:rPr>
        <w:t>expérience accumulée</w:t>
      </w:r>
      <w:r>
        <w:rPr>
          <w:sz w:val="22"/>
        </w:rPr>
        <w:t xml:space="preserve"> (effet de seuil de l'ancienneté à cinq ans), la </w:t>
      </w:r>
      <w:r>
        <w:rPr>
          <w:b/>
          <w:sz w:val="22"/>
        </w:rPr>
        <w:t>diversification du panier</w:t>
      </w:r>
      <w:r>
        <w:rPr>
          <w:sz w:val="22"/>
        </w:rPr>
        <w:t xml:space="preserve"> (corrélation positive) et l'</w:t>
      </w:r>
      <w:r>
        <w:rPr>
          <w:b/>
          <w:sz w:val="22"/>
        </w:rPr>
        <w:t>insertion dans une organisation collective</w:t>
      </w:r>
      <w:r>
        <w:rPr>
          <w:sz w:val="22"/>
        </w:rPr>
        <w:t xml:space="preserve"> (effet significatif du GIC, PLACKO se distinguant nettement). Ce dernier résultat est particulièrement important : il montre empiriquement que l'</w:t>
      </w:r>
      <w:r>
        <w:rPr>
          <w:b/>
          <w:sz w:val="22"/>
        </w:rPr>
        <w:t>action collective</w:t>
      </w:r>
      <w:r>
        <w:rPr>
          <w:sz w:val="22"/>
        </w:rPr>
        <w:t xml:space="preserve"> — et non seulement l'effort individuel — conditionne la performance de valorisation. Il conforte les approches de structuration des collecteurs recommandées par Awono et al. (2013) et par le Plan National de Développement des PFNL (2024) comme voie prioritaire d'amélioration des revenus. L'effet significatif des lieux de collecte (les ménages exploitant village et forêt gagnant davantage) confirme par ailleurs le rôle central de l'accès sécurisé à la ressource forestière, que les accords avec Pallisco, SEFECAM et DINO et Fils viennent précisément renforcer.</w:t>
      </w:r>
    </w:p>
    <w:p>
      <w:pPr>
        <w:keepNext/>
        <w:spacing w:before="240" w:after="120"/>
      </w:pPr>
      <w:r>
        <w:rPr>
          <w:rFonts w:ascii="Calibri" w:hAnsi="Calibri"/>
          <w:b/>
          <w:color w:val="0A1628"/>
          <w:sz w:val="28"/>
        </w:rPr>
        <w:t>4.5 Opportunités, contraintes et perspectives de structuration de la filière</w:t>
      </w:r>
    </w:p>
    <w:p>
      <w:pPr>
        <w:jc w:val="both"/>
      </w:pPr>
      <w:r>
        <w:rPr>
          <w:sz w:val="22"/>
        </w:rPr>
        <w:t xml:space="preserve">Le profil des contraintes observé à Lomié — difficultés de collecte, de commercialisation et de transport — recoupe précisément le diagnostic national du PND-PFNL (2024) : faible structuration des collecteurs, difficultés d'accès aux moyens de transport, absence d'unités de stockage, faible harmonisation des unités de mesure. La variabilité des prix et le manque d'acheteurs renvoient au caractère informel du marché des PFNL en Afrique centrale (Tchatat et al., 2002 ; Ingram, 2014). Face à ces contraintes, les dynamiques collectives observées (collaboration inter-GIC, Coopérative Centre Vert, appui GEF 7, concasseuse, tricycle, accès aux UFA) constituent une réponse cohérente : elles agissent simultanément sur la commercialisation (vente groupée, négociation), la transformation (valeur ajoutée) et le transport (désenclavement). La convergence de ces appuis ouvre une </w:t>
      </w:r>
      <w:r>
        <w:rPr>
          <w:b/>
          <w:sz w:val="22"/>
        </w:rPr>
        <w:t>fenêtre d'opportunité</w:t>
      </w:r>
      <w:r>
        <w:rPr>
          <w:sz w:val="22"/>
        </w:rPr>
        <w:t xml:space="preserve"> pour faire passer la filière d'une logique de cueillette individuelle à une logique de valorisation collective organisée, en cohérence avec les principes de gestion durable de la COMIFAC (2011) et les objectifs d'insertion économique des communautés du projet UE-TRIDOM. L'enjeu de durabilité écologique — gestion des espèces sensibles comme le Moabi, surveillance de l'expansion cacaoyère — devra néanmoins accompagner cette montée en valeur pour que le développement économique ne se fasse pas au détriment de la ressource.</w:t>
      </w:r>
    </w:p>
    <w:sectPr w:rsidR="00FC693F" w:rsidRPr="0006063C"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