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CONCLUSION GÉNÉRALE, RECOMMANDATIONS ET PERSPECTIVES</w:t>
      </w:r>
    </w:p>
    <w:p>
      <w:pPr>
        <w:jc w:val="both"/>
      </w:pPr>
      <w:r>
        <w:rPr>
          <w:sz w:val="22"/>
        </w:rPr>
        <w:t>Ce document propose une rédaction finalisée de la conclusion générale, des recommandations et des perspectives du mémoire, sur la base des résultats consolidés de l'étude menée dans l'arrondissement de Lomié.</w:t>
      </w:r>
    </w:p>
    <w:p>
      <w:pPr>
        <w:keepNext/>
        <w:spacing w:before="240" w:after="120"/>
      </w:pPr>
      <w:r>
        <w:rPr>
          <w:rFonts w:ascii="Calibri" w:hAnsi="Calibri"/>
          <w:b/>
          <w:color w:val="0A1628"/>
          <w:sz w:val="28"/>
        </w:rPr>
        <w:t>CONCLUSION GÉNÉRALE</w:t>
      </w:r>
    </w:p>
    <w:p>
      <w:pPr>
        <w:jc w:val="both"/>
      </w:pPr>
      <w:r>
        <w:rPr>
          <w:sz w:val="22"/>
        </w:rPr>
        <w:t>La présente étude visait à estimer la diversité ligneuse des agroforêts des ménages de l'arrondissement de Lomié et à décrire la manière dont les communautés y valorisent leurs Produits Forestiers Non Ligneux (PFNL), afin de concilier conservation de la biodiversité et développement économique local. Elle a mobilisé une démarche mixte associant inventaires floristiques (2 379 arbres dans quatre agroforêts) et enquêtes socio-économiques (50 ménages). Au terme de ce travail, les quatre objectifs spécifiques ont été atteints.</w:t>
      </w:r>
    </w:p>
    <w:p>
      <w:pPr>
        <w:keepNext/>
        <w:spacing w:before="180" w:after="80"/>
      </w:pPr>
      <w:r>
        <w:rPr>
          <w:rFonts w:ascii="Calibri" w:hAnsi="Calibri"/>
          <w:b/>
          <w:color w:val="0A8A75"/>
          <w:sz w:val="24"/>
        </w:rPr>
        <w:t>Concernant la caractérisation des types d'utilisation des terres (objectif 1)</w:t>
      </w:r>
    </w:p>
    <w:p>
      <w:pPr>
        <w:jc w:val="both"/>
      </w:pPr>
      <w:r>
        <w:rPr>
          <w:sz w:val="22"/>
        </w:rPr>
        <w:t>Quatre TUT structurent les agroforêts des ménages de Lomié : les jachères (≈ 40 % de la superficie), les cacaoyères (≈ 30 %), les champs vivriers (≈ 23 %) et les extensions de cacao (≈ 5 %). La prédominance des jachères atteste du maintien d'un système agraire encore durable, fondé sur la régénération naturelle de la fertilité des sols. L'émergence des extensions de cacao signale toutefois une dynamique d'intensification cacaoyère qu'il conviendra de surveiller.</w:t>
      </w:r>
    </w:p>
    <w:p>
      <w:pPr>
        <w:keepNext/>
        <w:spacing w:before="180" w:after="80"/>
      </w:pPr>
      <w:r>
        <w:rPr>
          <w:rFonts w:ascii="Calibri" w:hAnsi="Calibri"/>
          <w:b/>
          <w:color w:val="0A8A75"/>
          <w:sz w:val="24"/>
        </w:rPr>
        <w:t>Concernant la diversité de la flore ligneuse (objectif 2)</w:t>
      </w:r>
    </w:p>
    <w:p>
      <w:pPr>
        <w:jc w:val="both"/>
      </w:pPr>
      <w:r>
        <w:rPr>
          <w:sz w:val="22"/>
        </w:rPr>
        <w:t>Les quatre agroforêts hébergent une flore ligneuse remarquablement diversifiée : 2 379 individus répartis en 240 morpho-espèces (68 identifiées, 58 genres, 25 familles). Les indices de Shannon (2,84 à 3,58) traduisent une diversité élevée, comparable à celle des agroforêts cacaoyères multistrates du Centre-Cameroun et intermédiaire entre forêt secondaire et forêt naturelle. La faible similarité floristique entre agroforêts (23 % à 41 %) et la présence de seize espèces communes à haute valeur d'usage confirment que ces systèmes contribuent significativement à la conservation de la biodiversité ligneuse à l'échelle du paysage TRIDOM, tout en maintenant une fonction productive.</w:t>
      </w:r>
    </w:p>
    <w:p>
      <w:pPr>
        <w:keepNext/>
        <w:spacing w:before="180" w:after="80"/>
      </w:pPr>
      <w:r>
        <w:rPr>
          <w:rFonts w:ascii="Calibri" w:hAnsi="Calibri"/>
          <w:b/>
          <w:color w:val="0A8A75"/>
          <w:sz w:val="24"/>
        </w:rPr>
        <w:t>Concernant les PFNL et leur contribution aux moyens de subsistance (objectif 3)</w:t>
      </w:r>
    </w:p>
    <w:p>
      <w:pPr>
        <w:jc w:val="both"/>
      </w:pPr>
      <w:r>
        <w:rPr>
          <w:sz w:val="22"/>
        </w:rPr>
        <w:t>Onze PFNL, exclusivement végétaux, sont valorisés par les ménages (3,44 en moyenne par ménage), dominés par cinq espèces majeures : Mango, Rondelle, Mbalaka, Djansang et Moabi. Leur contribution économique est substantielle : un revenu PFNL moyen de 555 140 FCFA par ménage, majoritairement affecté à la scolarisation des enfants (96 %), à l'alimentation (48 %) et à la santé (24 %). Ces produits, très majoritairement collectés en forêt (UFA, forêts communautaires) par une main-d'œuvre familiale et féminine, constituent un véritable filet de sécurité économique et social pour les ménages ruraux de Lomié, en complément de la cacaoculture.</w:t>
      </w:r>
    </w:p>
    <w:p>
      <w:pPr>
        <w:keepNext/>
        <w:spacing w:before="180" w:after="80"/>
      </w:pPr>
      <w:r>
        <w:rPr>
          <w:rFonts w:ascii="Calibri" w:hAnsi="Calibri"/>
          <w:b/>
          <w:color w:val="0A8A75"/>
          <w:sz w:val="24"/>
        </w:rPr>
        <w:t>Concernant les opportunités et contraintes à la valorisation (objectif 4)</w:t>
      </w:r>
    </w:p>
    <w:p>
      <w:pPr>
        <w:jc w:val="both"/>
      </w:pPr>
      <w:r>
        <w:rPr>
          <w:sz w:val="22"/>
        </w:rPr>
        <w:t>La valorisation des PFNL est entravée pour 92 % des ménages, principalement aux maillons de la collecte (pénibilité, insécurité, éloignement), de la commercialisation (variabilité des prix, manque d'acheteurs) et du transport (enclavement). Ces contraintes, cohérentes avec le diagnostic national du PND-PFNL (2024), coexistent néanmoins avec de réelles opportunités : ressource abondante, demande régionale, tissu associatif (GIC) et appui institutionnel (UE-TRIDOM, MINFOF). La structuration collective de la filière apparaît comme la réponse la plus adaptée pour transformer ces opportunités en gains durables.</w:t>
      </w:r>
    </w:p>
    <w:p>
      <w:pPr>
        <w:keepNext/>
        <w:spacing w:before="180" w:after="80"/>
      </w:pPr>
      <w:r>
        <w:rPr>
          <w:rFonts w:ascii="Calibri" w:hAnsi="Calibri"/>
          <w:b/>
          <w:color w:val="0A8A75"/>
          <w:sz w:val="24"/>
        </w:rPr>
        <w:t>Apports et limites de l'étude</w:t>
      </w:r>
    </w:p>
    <w:p>
      <w:pPr>
        <w:jc w:val="both"/>
      </w:pPr>
      <w:r>
        <w:rPr>
          <w:sz w:val="22"/>
        </w:rPr>
        <w:t>Sur le plan scientifique, cette étude établit une base de données inédite sur la flore ligneuse et l'économie des PFNL des agroforêts des ménages de Lomié, un modèle de foresterie sociale encore peu documenté. Sur le plan pratique, elle fournit des éléments d'aide à la décision pour la reconnaissance légale des agroforêts des ménages et pour la structuration de la filière PFNL. Elle comporte toutefois des limites : un échantillonnage non probabiliste (ménages membres de GIC partenaires) qui restreint la généralisation ; des revenus estimés en valeur brute, sans déduction des coûts de collecte ni prise en compte de la variabilité inter-annuelle ; et une évaluation de la diversité limitée aux ligneux de DHP ≥ 10 cm, excluant la régénération et les herbacées.</w:t>
      </w:r>
    </w:p>
    <w:p>
      <w:pPr>
        <w:keepNext/>
        <w:spacing w:before="240" w:after="120"/>
      </w:pPr>
      <w:r>
        <w:rPr>
          <w:rFonts w:ascii="Calibri" w:hAnsi="Calibri"/>
          <w:b/>
          <w:color w:val="0A1628"/>
          <w:sz w:val="28"/>
        </w:rPr>
        <w:t>RECOMMANDATIONS</w:t>
      </w:r>
    </w:p>
    <w:p>
      <w:pPr>
        <w:jc w:val="both"/>
      </w:pPr>
      <w:r>
        <w:rPr>
          <w:sz w:val="22"/>
        </w:rPr>
        <w:t>Les recommandations suivantes découlent directement des résultats et sont hiérarchisées par catégorie d'acteurs.</w:t>
      </w:r>
    </w:p>
    <w:p>
      <w:pPr>
        <w:keepNext/>
        <w:spacing w:before="180" w:after="80"/>
      </w:pPr>
      <w:r>
        <w:rPr>
          <w:rFonts w:ascii="Calibri" w:hAnsi="Calibri"/>
          <w:b/>
          <w:color w:val="0A8A75"/>
          <w:sz w:val="24"/>
        </w:rPr>
        <w:t>Aux ménages et aux GIC</w:t>
      </w:r>
    </w:p>
    <w:p>
      <w:pPr>
        <w:pStyle w:val="ListBullet"/>
        <w:jc w:val="both"/>
      </w:pPr>
      <w:r>
        <w:rPr>
          <w:sz w:val="21"/>
        </w:rPr>
        <w:t xml:space="preserve">Organiser la </w:t>
      </w:r>
      <w:r>
        <w:rPr>
          <w:b/>
          <w:sz w:val="21"/>
        </w:rPr>
        <w:t>collecte groupée</w:t>
      </w:r>
      <w:r>
        <w:rPr>
          <w:sz w:val="21"/>
        </w:rPr>
        <w:t xml:space="preserve"> et la </w:t>
      </w:r>
      <w:r>
        <w:rPr>
          <w:b/>
          <w:sz w:val="21"/>
        </w:rPr>
        <w:t>vente en commun</w:t>
      </w:r>
      <w:r>
        <w:rPr>
          <w:sz w:val="21"/>
        </w:rPr>
        <w:t xml:space="preserve"> des PFNL à travers les GIC existants, afin de mutualiser le transport, sécuriser les débouchés et renforcer le pouvoir de négociation des prix.</w:t>
      </w:r>
    </w:p>
    <w:p>
      <w:pPr>
        <w:pStyle w:val="ListBullet"/>
        <w:jc w:val="both"/>
      </w:pPr>
      <w:r>
        <w:rPr>
          <w:sz w:val="21"/>
        </w:rPr>
        <w:t>Diversifier le panier de PFNL collectés, la diversité du portefeuille étant statistiquement associée à un revenu supérieur.</w:t>
      </w:r>
    </w:p>
    <w:p>
      <w:pPr>
        <w:pStyle w:val="ListBullet"/>
        <w:jc w:val="both"/>
      </w:pPr>
      <w:r>
        <w:rPr>
          <w:sz w:val="21"/>
        </w:rPr>
        <w:t xml:space="preserve">Développer la </w:t>
      </w:r>
      <w:r>
        <w:rPr>
          <w:b/>
          <w:sz w:val="21"/>
        </w:rPr>
        <w:t>transformation</w:t>
      </w:r>
      <w:r>
        <w:rPr>
          <w:sz w:val="21"/>
        </w:rPr>
        <w:t xml:space="preserve"> (à l'image des boules de Mango et de l'huile de Moabi) pour accroître la valeur ajoutée et la conservabilité des produits, notamment pour la Rondelle et le Mbalaka.</w:t>
      </w:r>
    </w:p>
    <w:p>
      <w:pPr>
        <w:pStyle w:val="ListBullet"/>
        <w:jc w:val="both"/>
      </w:pPr>
      <w:r>
        <w:rPr>
          <w:sz w:val="21"/>
        </w:rPr>
        <w:t>Maintenir volontairement les arbres à PFNL (moabi, djansang, mango, mbalaka) lors des défrichements et conserver une proportion suffisante de jachères.</w:t>
      </w:r>
    </w:p>
    <w:p>
      <w:pPr>
        <w:keepNext/>
        <w:spacing w:before="180" w:after="80"/>
      </w:pPr>
      <w:r>
        <w:rPr>
          <w:rFonts w:ascii="Calibri" w:hAnsi="Calibri"/>
          <w:b/>
          <w:color w:val="0A8A75"/>
          <w:sz w:val="24"/>
        </w:rPr>
        <w:t>Aux décideurs locaux et à la Commune de Lomié</w:t>
      </w:r>
    </w:p>
    <w:p>
      <w:pPr>
        <w:pStyle w:val="ListBullet"/>
        <w:jc w:val="both"/>
      </w:pPr>
      <w:r>
        <w:rPr>
          <w:sz w:val="21"/>
        </w:rPr>
        <w:t xml:space="preserve">Appuyer le </w:t>
      </w:r>
      <w:r>
        <w:rPr>
          <w:b/>
          <w:sz w:val="21"/>
        </w:rPr>
        <w:t>désenclavement</w:t>
      </w:r>
      <w:r>
        <w:rPr>
          <w:sz w:val="21"/>
        </w:rPr>
        <w:t xml:space="preserve"> des zones de collecte (pistes, organisation du transport) pour réduire le coût d'accès au marché, principal facteur limitant des villages éloignés (Eschambior).</w:t>
      </w:r>
    </w:p>
    <w:p>
      <w:pPr>
        <w:pStyle w:val="ListBullet"/>
        <w:jc w:val="both"/>
      </w:pPr>
      <w:r>
        <w:rPr>
          <w:sz w:val="21"/>
        </w:rPr>
        <w:t>Faciliter la mise en place d'</w:t>
      </w:r>
      <w:r>
        <w:rPr>
          <w:b/>
          <w:sz w:val="21"/>
        </w:rPr>
        <w:t>infrastructures de stockage et de marchés locaux</w:t>
      </w:r>
      <w:r>
        <w:rPr>
          <w:sz w:val="21"/>
        </w:rPr>
        <w:t xml:space="preserve"> dédiés aux PFNL.</w:t>
      </w:r>
    </w:p>
    <w:p>
      <w:pPr>
        <w:keepNext/>
        <w:spacing w:before="180" w:after="80"/>
      </w:pPr>
      <w:r>
        <w:rPr>
          <w:rFonts w:ascii="Calibri" w:hAnsi="Calibri"/>
          <w:b/>
          <w:color w:val="0A8A75"/>
          <w:sz w:val="24"/>
        </w:rPr>
        <w:t>Au Ministère des Forêts et de la Faune (MINFOF)</w:t>
      </w:r>
    </w:p>
    <w:p>
      <w:pPr>
        <w:pStyle w:val="ListBullet"/>
        <w:jc w:val="both"/>
      </w:pPr>
      <w:r>
        <w:rPr>
          <w:sz w:val="21"/>
        </w:rPr>
        <w:t xml:space="preserve">Accélérer la </w:t>
      </w:r>
      <w:r>
        <w:rPr>
          <w:b/>
          <w:sz w:val="21"/>
        </w:rPr>
        <w:t>reconnaissance légale des agroforêts des ménages</w:t>
      </w:r>
      <w:r>
        <w:rPr>
          <w:sz w:val="21"/>
        </w:rPr>
        <w:t xml:space="preserve"> comme modèle de foresterie sociale, sur la base des résultats démontrant leur double fonction de conservation et de production.</w:t>
      </w:r>
    </w:p>
    <w:p>
      <w:pPr>
        <w:pStyle w:val="ListBullet"/>
        <w:jc w:val="both"/>
      </w:pPr>
      <w:r>
        <w:rPr>
          <w:sz w:val="21"/>
        </w:rPr>
        <w:t xml:space="preserve">Appliquer et vulgariser le cadre réglementaire des PFNL (loi n° 2024/008 ; décisions MINFOF de classification et de circulation) et les orientations du </w:t>
      </w:r>
      <w:r>
        <w:rPr>
          <w:b/>
          <w:sz w:val="21"/>
        </w:rPr>
        <w:t>PND-PFNL (2024)</w:t>
      </w:r>
      <w:r>
        <w:rPr>
          <w:sz w:val="21"/>
        </w:rPr>
        <w:t xml:space="preserve"> au niveau de l'arrondissement.</w:t>
      </w:r>
    </w:p>
    <w:p>
      <w:pPr>
        <w:pStyle w:val="ListBullet"/>
        <w:jc w:val="both"/>
      </w:pPr>
      <w:r>
        <w:rPr>
          <w:sz w:val="21"/>
        </w:rPr>
        <w:t xml:space="preserve">Encadrer la collecte durable des espèces sensibles (Moabi, </w:t>
      </w:r>
      <w:r>
        <w:rPr>
          <w:i/>
          <w:sz w:val="21"/>
        </w:rPr>
        <w:t>Baillonella toxisperma</w:t>
      </w:r>
      <w:r>
        <w:rPr>
          <w:sz w:val="21"/>
        </w:rPr>
        <w:t>), à croissance lente et à forte valeur de bois d'œuvre, pour prévenir la surexploitation.</w:t>
      </w:r>
    </w:p>
    <w:p>
      <w:pPr>
        <w:keepNext/>
        <w:spacing w:before="180" w:after="80"/>
      </w:pPr>
      <w:r>
        <w:rPr>
          <w:rFonts w:ascii="Calibri" w:hAnsi="Calibri"/>
          <w:b/>
          <w:color w:val="0A8A75"/>
          <w:sz w:val="24"/>
        </w:rPr>
        <w:t>Aux ONG et au projet UE-TRIDOM / Nature+</w:t>
      </w:r>
    </w:p>
    <w:p>
      <w:pPr>
        <w:pStyle w:val="ListBullet"/>
        <w:jc w:val="both"/>
      </w:pPr>
      <w:r>
        <w:rPr>
          <w:sz w:val="21"/>
        </w:rPr>
        <w:t xml:space="preserve">Cibler l'accompagnement sur les </w:t>
      </w:r>
      <w:r>
        <w:rPr>
          <w:b/>
          <w:sz w:val="21"/>
        </w:rPr>
        <w:t>collecteurs débutants</w:t>
      </w:r>
      <w:r>
        <w:rPr>
          <w:sz w:val="21"/>
        </w:rPr>
        <w:t xml:space="preserve"> (moins de 5 ans d'expérience), dont le revenu est significativement plus faible, via un compagnonnage avec les collecteurs expérimentés.</w:t>
      </w:r>
    </w:p>
    <w:p>
      <w:pPr>
        <w:pStyle w:val="ListBullet"/>
        <w:jc w:val="both"/>
      </w:pPr>
      <w:r>
        <w:rPr>
          <w:sz w:val="21"/>
        </w:rPr>
        <w:t xml:space="preserve">Doter les collecteurs de </w:t>
      </w:r>
      <w:r>
        <w:rPr>
          <w:b/>
          <w:sz w:val="21"/>
        </w:rPr>
        <w:t>matériel de collecte</w:t>
      </w:r>
      <w:r>
        <w:rPr>
          <w:sz w:val="21"/>
        </w:rPr>
        <w:t xml:space="preserve"> adapté et sécurisé, et organiser des mécanismes de mise en marché groupée.</w:t>
      </w:r>
    </w:p>
    <w:p>
      <w:pPr>
        <w:pStyle w:val="ListBullet"/>
        <w:jc w:val="both"/>
      </w:pPr>
      <w:r>
        <w:rPr>
          <w:sz w:val="21"/>
        </w:rPr>
        <w:t xml:space="preserve">Concevoir des dispositifs garantissant une </w:t>
      </w:r>
      <w:r>
        <w:rPr>
          <w:b/>
          <w:sz w:val="21"/>
        </w:rPr>
        <w:t>rémunération équitable de la main-d'œuvre Baka</w:t>
      </w:r>
      <w:r>
        <w:rPr>
          <w:sz w:val="21"/>
        </w:rPr>
        <w:t>, dont l'insertion actuelle comme prestataires limite les bénéfices propres.</w:t>
      </w:r>
    </w:p>
    <w:p>
      <w:pPr>
        <w:keepNext/>
        <w:spacing w:before="180" w:after="80"/>
      </w:pPr>
      <w:r>
        <w:rPr>
          <w:rFonts w:ascii="Calibri" w:hAnsi="Calibri"/>
          <w:b/>
          <w:color w:val="0A8A75"/>
          <w:sz w:val="24"/>
        </w:rPr>
        <w:t>Aux chercheurs</w:t>
      </w:r>
    </w:p>
    <w:p>
      <w:pPr>
        <w:pStyle w:val="ListBullet"/>
        <w:jc w:val="both"/>
      </w:pPr>
      <w:r>
        <w:rPr>
          <w:sz w:val="21"/>
        </w:rPr>
        <w:t xml:space="preserve">Documenter la </w:t>
      </w:r>
      <w:r>
        <w:rPr>
          <w:b/>
          <w:sz w:val="21"/>
        </w:rPr>
        <w:t>saisonnalité inter-annuelle</w:t>
      </w:r>
      <w:r>
        <w:rPr>
          <w:sz w:val="21"/>
        </w:rPr>
        <w:t xml:space="preserve"> de la production et les </w:t>
      </w:r>
      <w:r>
        <w:rPr>
          <w:b/>
          <w:sz w:val="21"/>
        </w:rPr>
        <w:t>coûts de collecte</w:t>
      </w:r>
      <w:r>
        <w:rPr>
          <w:sz w:val="21"/>
        </w:rPr>
        <w:t xml:space="preserve"> pour passer du revenu brut à la marge nette.</w:t>
      </w:r>
    </w:p>
    <w:p>
      <w:pPr>
        <w:pStyle w:val="ListBullet"/>
        <w:jc w:val="both"/>
      </w:pPr>
      <w:r>
        <w:rPr>
          <w:sz w:val="21"/>
        </w:rPr>
        <w:t xml:space="preserve">Étudier la </w:t>
      </w:r>
      <w:r>
        <w:rPr>
          <w:b/>
          <w:sz w:val="21"/>
        </w:rPr>
        <w:t>régénération</w:t>
      </w:r>
      <w:r>
        <w:rPr>
          <w:sz w:val="21"/>
        </w:rPr>
        <w:t xml:space="preserve"> des espèces à PFNL (individus de DHP &lt; 10 cm) pour évaluer la durabilité écologique de la collecte.</w:t>
      </w:r>
    </w:p>
    <w:p>
      <w:pPr>
        <w:pStyle w:val="ListBullet"/>
        <w:jc w:val="both"/>
      </w:pPr>
      <w:r>
        <w:rPr>
          <w:sz w:val="21"/>
        </w:rPr>
        <w:t xml:space="preserve">Approfondir l'analyse socio-économique de la </w:t>
      </w:r>
      <w:r>
        <w:rPr>
          <w:b/>
          <w:sz w:val="21"/>
        </w:rPr>
        <w:t>place des populations Baka</w:t>
      </w:r>
      <w:r>
        <w:rPr>
          <w:sz w:val="21"/>
        </w:rPr>
        <w:t xml:space="preserve"> dans la filière PFNL.</w:t>
      </w:r>
    </w:p>
    <w:p>
      <w:pPr>
        <w:keepNext/>
        <w:spacing w:before="240" w:after="120"/>
      </w:pPr>
      <w:r>
        <w:rPr>
          <w:rFonts w:ascii="Calibri" w:hAnsi="Calibri"/>
          <w:b/>
          <w:color w:val="0A1628"/>
          <w:sz w:val="28"/>
        </w:rPr>
        <w:t>PERSPECTIVES</w:t>
      </w:r>
    </w:p>
    <w:p>
      <w:pPr>
        <w:jc w:val="both"/>
      </w:pPr>
      <w:r>
        <w:rPr>
          <w:sz w:val="22"/>
        </w:rPr>
        <w:t>Ce travail ouvre plusieurs pistes de recherche et d'action pour l'avenir :</w:t>
      </w:r>
    </w:p>
    <w:p>
      <w:pPr>
        <w:pStyle w:val="ListBullet"/>
        <w:jc w:val="both"/>
      </w:pPr>
      <w:r>
        <w:rPr>
          <w:sz w:val="21"/>
        </w:rPr>
        <w:t>Étendre l'inventaire floristique à un plus grand nombre d'agroforêts et intégrer la strate de régénération, afin d'affiner l'évaluation de la durabilité écologique.</w:t>
      </w:r>
    </w:p>
    <w:p>
      <w:pPr>
        <w:pStyle w:val="ListBullet"/>
        <w:jc w:val="both"/>
      </w:pPr>
      <w:r>
        <w:rPr>
          <w:sz w:val="21"/>
        </w:rPr>
        <w:t xml:space="preserve">Réaliser une </w:t>
      </w:r>
      <w:r>
        <w:rPr>
          <w:b/>
          <w:sz w:val="21"/>
        </w:rPr>
        <w:t>étude de filière complète</w:t>
      </w:r>
      <w:r>
        <w:rPr>
          <w:sz w:val="21"/>
        </w:rPr>
        <w:t xml:space="preserve"> (de la collecte au consommateur final sur les marchés de Bertoua, Abong-Mbang et Yaoundé) pour cartographier la chaîne de valeur et la formation des prix.</w:t>
      </w:r>
    </w:p>
    <w:p>
      <w:pPr>
        <w:pStyle w:val="ListBullet"/>
        <w:jc w:val="both"/>
      </w:pPr>
      <w:r>
        <w:rPr>
          <w:sz w:val="21"/>
        </w:rPr>
        <w:t xml:space="preserve">Évaluer le </w:t>
      </w:r>
      <w:r>
        <w:rPr>
          <w:b/>
          <w:sz w:val="21"/>
        </w:rPr>
        <w:t>stock de carbone</w:t>
      </w:r>
      <w:r>
        <w:rPr>
          <w:sz w:val="21"/>
        </w:rPr>
        <w:t xml:space="preserve"> des agroforêts des ménages, à partir des données dendrométriques déjà collectées (DHP), pour valoriser leur rôle climatique dans le cadre des mécanismes de paiement pour services environnementaux.</w:t>
      </w:r>
    </w:p>
    <w:p>
      <w:pPr>
        <w:pStyle w:val="ListBullet"/>
        <w:jc w:val="both"/>
      </w:pPr>
      <w:r>
        <w:rPr>
          <w:sz w:val="21"/>
        </w:rPr>
        <w:t xml:space="preserve">Expérimenter des </w:t>
      </w:r>
      <w:r>
        <w:rPr>
          <w:b/>
          <w:sz w:val="21"/>
        </w:rPr>
        <w:t>modèles de domestication</w:t>
      </w:r>
      <w:r>
        <w:rPr>
          <w:sz w:val="21"/>
        </w:rPr>
        <w:t xml:space="preserve"> des PFNL prioritaires (Djansang, Rondelle, Mango) au sein des agroforêts, pour sécuriser l'approvisionnement et réduire la pression sur la forêt naturelle.</w:t>
      </w:r>
    </w:p>
    <w:p>
      <w:pPr>
        <w:pStyle w:val="ListBullet"/>
        <w:jc w:val="both"/>
      </w:pPr>
      <w:r>
        <w:rPr>
          <w:sz w:val="21"/>
        </w:rPr>
        <w:t xml:space="preserve">Suivre dans le temps la </w:t>
      </w:r>
      <w:r>
        <w:rPr>
          <w:b/>
          <w:sz w:val="21"/>
        </w:rPr>
        <w:t>dynamique des extensions de cacao</w:t>
      </w:r>
      <w:r>
        <w:rPr>
          <w:sz w:val="21"/>
        </w:rPr>
        <w:t xml:space="preserve"> afin d'anticiper d'éventuels effets d'intensification sur la diversité ligneuse et la durabilité des agroforêts.</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