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8" w:color="0FB69C" w:space="4"/>
        </w:pBdr>
      </w:pPr>
      <w:r>
        <w:rPr>
          <w:rFonts w:ascii="Calibri" w:hAnsi="Calibri"/>
          <w:b/>
          <w:color w:val="0A1628"/>
          <w:sz w:val="34"/>
        </w:rPr>
        <w:t>RÉSUMÉ ET ABSTRACT</w:t>
      </w:r>
    </w:p>
    <w:p>
      <w:pPr>
        <w:keepNext/>
        <w:spacing w:before="240" w:after="120"/>
      </w:pPr>
      <w:r>
        <w:rPr>
          <w:rFonts w:ascii="Calibri" w:hAnsi="Calibri"/>
          <w:b/>
          <w:color w:val="0A1628"/>
          <w:sz w:val="28"/>
        </w:rPr>
        <w:t>RÉSUMÉ</w:t>
      </w:r>
    </w:p>
    <w:p>
      <w:pPr>
        <w:jc w:val="both"/>
      </w:pPr>
      <w:r>
        <w:rPr>
          <w:sz w:val="22"/>
        </w:rPr>
        <w:t>Les agroforêts des ménages constituent un modèle innovant de foresterie sociale visant à concilier production agricole, valorisation des Produits Forestiers Non Ligneux (PFNL) et conservation de la biodiversité dans le paysage du Tri-national Dja-Odzala-Minkébé (TRIDOM). Cette étude, menée dans l'arrondissement de Lomié (Haut-Nyong, Est-Cameroun), avait pour objectif d'évaluer la diversité floristique de quatre agroforêts des ménages et de caractériser la valorisation des PFNL par les communautés locales. Une démarche mixte a été adoptée, combinant un inventaire floristique exhaustif des ligneux de DHP ≥ 10 cm (2 379 individus) et des enquêtes socio-économiques auprès de 50 ménages.</w:t>
      </w:r>
    </w:p>
    <w:p>
      <w:pPr>
        <w:jc w:val="both"/>
      </w:pPr>
      <w:r>
        <w:rPr>
          <w:sz w:val="22"/>
        </w:rPr>
        <w:t>Quatre types d'utilisation des terres structurent les agroforêts : les jachères (40,2 %), les cacaoyères (29,6 %), les champs vivriers (22,7 %) et les extensions de cacao (5,3 %). L'inventaire a recensé 240 morpho-espèces (68 identifiées, 58 genres, 25 familles) ; les indices de Shannon (2,84 à 3,58) et de Piélou (0,61 à 0,86) traduisent une diversité floristique élevée, et la faible similarité de Sørensen entre sites (23 % à 41 %) révèle une forte diversité bêta. Onze PFNL végétaux sont valorisés (3,44 ± 1,69 par ménage), dominés par cinq espèces majeures : le Mango (</w:t>
      </w:r>
      <w:r>
        <w:rPr>
          <w:i/>
          <w:sz w:val="22"/>
        </w:rPr>
        <w:t>Irvingia gabonensis</w:t>
      </w:r>
      <w:r>
        <w:rPr>
          <w:sz w:val="22"/>
        </w:rPr>
        <w:t>, fc = 96 %), la Rondelle (</w:t>
      </w:r>
      <w:r>
        <w:rPr>
          <w:i/>
          <w:sz w:val="22"/>
        </w:rPr>
        <w:t>Afrostyrax lepidophyllus</w:t>
      </w:r>
      <w:r>
        <w:rPr>
          <w:sz w:val="22"/>
        </w:rPr>
        <w:t>, 62 %), le Mbalaka (</w:t>
      </w:r>
      <w:r>
        <w:rPr>
          <w:i/>
          <w:sz w:val="22"/>
        </w:rPr>
        <w:t>Pentaclethra macrophylla</w:t>
      </w:r>
      <w:r>
        <w:rPr>
          <w:sz w:val="22"/>
        </w:rPr>
        <w:t>, 60 %), le Djansang (</w:t>
      </w:r>
      <w:r>
        <w:rPr>
          <w:i/>
          <w:sz w:val="22"/>
        </w:rPr>
        <w:t>Ricinodendron heudelotii</w:t>
      </w:r>
      <w:r>
        <w:rPr>
          <w:sz w:val="22"/>
        </w:rPr>
        <w:t>, 40 %) et le Moabi (</w:t>
      </w:r>
      <w:r>
        <w:rPr>
          <w:i/>
          <w:sz w:val="22"/>
        </w:rPr>
        <w:t>Baillonella toxisperma</w:t>
      </w:r>
      <w:r>
        <w:rPr>
          <w:sz w:val="22"/>
        </w:rPr>
        <w:t>, 34 %). Ces PFNL génèrent un revenu moyen de 555 140 FCFA par ménage, affecté prioritairement à la scolarisation des enfants (96 %), à l'alimentation (48 %) et à la santé (24 %). La valorisation reste toutefois contrainte pour 92 % des ménages, aux maillons de la collecte, de la commercialisation et du transport.</w:t>
      </w:r>
    </w:p>
    <w:p>
      <w:pPr>
        <w:jc w:val="both"/>
      </w:pPr>
      <w:r>
        <w:rPr>
          <w:sz w:val="22"/>
        </w:rPr>
        <w:t>Ces résultats démontrent que les agroforêts des ménages de Lomié conjuguent une biodiversité ligneuse élevée et une contribution économique substantielle des PFNL aux moyens de subsistance. Ils plaident pour la reconnaissance légale de ce modèle et pour une structuration collective de la filière PFNL, appuyée sur les organisations paysannes existantes.</w:t>
      </w:r>
    </w:p>
    <w:p>
      <w:r>
        <w:rPr>
          <w:b/>
        </w:rPr>
        <w:t xml:space="preserve">Mots-clés : </w:t>
      </w:r>
      <w:r>
        <w:t>agroforêts des ménages ; diversité floristique ; Produits Forestiers Non Ligneux ; moyens de subsistance ; Lomié ; Est-Cameroun ; TRIDOM.</w:t>
      </w:r>
    </w:p>
    <w:p/>
    <w:p>
      <w:pPr>
        <w:keepNext/>
        <w:spacing w:before="240" w:after="120"/>
      </w:pPr>
      <w:r>
        <w:rPr>
          <w:rFonts w:ascii="Calibri" w:hAnsi="Calibri"/>
          <w:b/>
          <w:color w:val="0A1628"/>
          <w:sz w:val="28"/>
        </w:rPr>
        <w:t>ABSTRACT</w:t>
      </w:r>
    </w:p>
    <w:p>
      <w:pPr>
        <w:jc w:val="both"/>
      </w:pPr>
      <w:r>
        <w:rPr>
          <w:sz w:val="22"/>
        </w:rPr>
        <w:t>Household agroforests are an innovative social forestry model aimed at reconciling agricultural production, valorisation of Non-Timber Forest Products (NTFPs) and biodiversity conservation within the Dja-Odzala-Minkébé Tri-national landscape (TRIDOM). This study, carried out in the Lomié subdivision (Haut-Nyong, East Cameroon), aimed to assess the floristic diversity of four household agroforests and to characterise the valorisation of NTFPs by local communities. A mixed approach was adopted, combining an exhaustive floristic inventory of woody plants with DBH ≥ 10 cm (2,379 individuals) and socio-economic surveys of 50 households.</w:t>
      </w:r>
    </w:p>
    <w:p>
      <w:pPr>
        <w:jc w:val="both"/>
      </w:pPr>
      <w:r>
        <w:rPr>
          <w:sz w:val="22"/>
        </w:rPr>
        <w:t>Four land-use types structure the agroforests: fallows (40.2%), cocoa plantations (29.6%), food crops (22.7%) and cocoa extensions (5.3%). The inventory recorded 240 morphospecies (68 identified, 58 genera, 25 families); Shannon (2.84–3.58) and Pielou (0.61–0.86) indices indicate a high floristic diversity, while the low Sørensen similarity between sites (23%–41%) reveals a strong beta diversity. Eleven plant NTFPs are harvested (3.44 ± 1.69 per household), dominated by five major species: bush mango (</w:t>
      </w:r>
      <w:r>
        <w:rPr>
          <w:i/>
          <w:sz w:val="22"/>
        </w:rPr>
        <w:t>Irvingia gabonensis</w:t>
      </w:r>
      <w:r>
        <w:rPr>
          <w:sz w:val="22"/>
        </w:rPr>
        <w:t xml:space="preserve">, citation frequency = 96%), </w:t>
      </w:r>
      <w:r>
        <w:rPr>
          <w:i/>
          <w:sz w:val="22"/>
        </w:rPr>
        <w:t>Afrostyrax lepidophyllus</w:t>
      </w:r>
      <w:r>
        <w:rPr>
          <w:sz w:val="22"/>
        </w:rPr>
        <w:t xml:space="preserve"> (62%), </w:t>
      </w:r>
      <w:r>
        <w:rPr>
          <w:i/>
          <w:sz w:val="22"/>
        </w:rPr>
        <w:t>Pentaclethra macrophylla</w:t>
      </w:r>
      <w:r>
        <w:rPr>
          <w:sz w:val="22"/>
        </w:rPr>
        <w:t xml:space="preserve"> (60%), </w:t>
      </w:r>
      <w:r>
        <w:rPr>
          <w:i/>
          <w:sz w:val="22"/>
        </w:rPr>
        <w:t>Ricinodendron heudelotii</w:t>
      </w:r>
      <w:r>
        <w:rPr>
          <w:sz w:val="22"/>
        </w:rPr>
        <w:t xml:space="preserve"> (40%) and </w:t>
      </w:r>
      <w:r>
        <w:rPr>
          <w:i/>
          <w:sz w:val="22"/>
        </w:rPr>
        <w:t>Baillonella toxisperma</w:t>
      </w:r>
      <w:r>
        <w:rPr>
          <w:sz w:val="22"/>
        </w:rPr>
        <w:t xml:space="preserve"> (34%). These NTFPs generate an average income of 555 140 FCFA per household, primarily allocated to children's schooling (96%), food (48%) and health (24%). However, valorisation remains constrained for 92% of households, at the harvesting, marketing and transport stages.</w:t>
      </w:r>
    </w:p>
    <w:p>
      <w:pPr>
        <w:jc w:val="both"/>
      </w:pPr>
      <w:r>
        <w:rPr>
          <w:sz w:val="22"/>
        </w:rPr>
        <w:t>These findings show that the household agroforests of Lomié combine high woody biodiversity with a substantial economic contribution of NTFPs to livelihoods. They argue for the legal recognition of this model and for a collective structuring of the NTFP value chain, building on existing farmer organisations.</w:t>
      </w:r>
    </w:p>
    <w:p>
      <w:r>
        <w:rPr>
          <w:b/>
        </w:rPr>
        <w:t xml:space="preserve">Keywords: </w:t>
      </w:r>
      <w:r>
        <w:t>household agroforests; floristic diversity; Non-Timber Forest Products; livelihoods; Lomié; East Cameroon; TRIDOM.</w:t>
      </w:r>
    </w:p>
    <w:sectPr w:rsidR="00FC693F" w:rsidRPr="0006063C"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