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RÉSULTATS COMPLÉMENTAIRES — Profil social, organisation de la collecte, déterminants du revenu, limites et SWOT</w:t>
      </w:r>
    </w:p>
    <w:p>
      <w:pPr>
        <w:jc w:val="both"/>
      </w:pPr>
      <w:r>
        <w:rPr>
          <w:sz w:val="22"/>
        </w:rPr>
        <w:t>Ce document rassemble les résultats complémentaires demandés, entièrement rédigés et directement intégrables au mémoire. Toutes les valeurs proviennent de la base finale (50 ménages ; inventaire de 2 379 arbres) de l'arrondissement de Lomié. Les analyses ont été produites sous Python 3.11 (pandas, NumPy, SciPy, scikit-posthocs) et vérifiées.</w:t>
      </w:r>
    </w:p>
    <w:p>
      <w:pPr>
        <w:keepNext/>
        <w:spacing w:before="240" w:after="120"/>
      </w:pPr>
      <w:r>
        <w:rPr>
          <w:rFonts w:ascii="Calibri" w:hAnsi="Calibri"/>
          <w:b/>
          <w:color w:val="0A1628"/>
          <w:sz w:val="28"/>
        </w:rPr>
        <w:t>1. Profil social des enquêtés</w:t>
      </w:r>
    </w:p>
    <w:p>
      <w:pPr>
        <w:jc w:val="center"/>
      </w:pPr>
      <w:r>
        <w:drawing>
          <wp:inline xmlns:a="http://schemas.openxmlformats.org/drawingml/2006/main" xmlns:pic="http://schemas.openxmlformats.org/drawingml/2006/picture">
            <wp:extent cx="5760000" cy="4410884"/>
            <wp:docPr id="1" name="Picture 1"/>
            <wp:cNvGraphicFramePr>
              <a:graphicFrameLocks noChangeAspect="1"/>
            </wp:cNvGraphicFramePr>
            <a:graphic>
              <a:graphicData uri="http://schemas.openxmlformats.org/drawingml/2006/picture">
                <pic:pic>
                  <pic:nvPicPr>
                    <pic:cNvPr id="0" name="fig10_profil.png"/>
                    <pic:cNvPicPr/>
                  </pic:nvPicPr>
                  <pic:blipFill>
                    <a:blip r:embed="rId9"/>
                    <a:stretch>
                      <a:fillRect/>
                    </a:stretch>
                  </pic:blipFill>
                  <pic:spPr>
                    <a:xfrm>
                      <a:off x="0" y="0"/>
                      <a:ext cx="5760000" cy="4410884"/>
                    </a:xfrm>
                    <a:prstGeom prst="rect"/>
                  </pic:spPr>
                </pic:pic>
              </a:graphicData>
            </a:graphic>
          </wp:inline>
        </w:drawing>
      </w:r>
    </w:p>
    <w:p>
      <w:pPr>
        <w:spacing w:before="40"/>
        <w:jc w:val="center"/>
      </w:pPr>
      <w:r>
        <w:rPr>
          <w:rFonts w:ascii="Calibri" w:hAnsi="Calibri"/>
          <w:i/>
          <w:color w:val="64748B"/>
          <w:sz w:val="18"/>
        </w:rPr>
        <w:t>Figure 1. Profil social des enquêtés (sexe, tranche d'âge, statut matrimonial, niveau d'instruction ; n = 50).</w:t>
      </w:r>
    </w:p>
    <w:p>
      <w:pPr>
        <w:keepNext/>
        <w:spacing w:before="160" w:after="40"/>
      </w:pPr>
      <w:r>
        <w:rPr>
          <w:rFonts w:ascii="Calibri" w:hAnsi="Calibri"/>
          <w:b/>
          <w:color w:val="0A1628"/>
          <w:sz w:val="19"/>
        </w:rPr>
        <w:t>Tableau 1. Profil social des enquêtés (n = 50)</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0A1628"/>
          </w:tcPr>
          <w:p>
            <w:pPr>
              <w:jc w:val="center"/>
            </w:pPr>
            <w:r>
              <w:rPr>
                <w:rFonts w:ascii="Calibri" w:hAnsi="Calibri"/>
                <w:b/>
                <w:color w:val="FFFFFF"/>
                <w:sz w:val="17"/>
              </w:rPr>
              <w:t>Variable / modalité</w:t>
            </w:r>
          </w:p>
        </w:tc>
        <w:tc>
          <w:tcPr>
            <w:tcW w:type="dxa" w:w="3211"/>
            <w:shd w:val="clear" w:fill="0A1628"/>
          </w:tcPr>
          <w:p>
            <w:pPr>
              <w:jc w:val="center"/>
            </w:pPr>
            <w:r>
              <w:rPr>
                <w:rFonts w:ascii="Calibri" w:hAnsi="Calibri"/>
                <w:b/>
                <w:color w:val="FFFFFF"/>
                <w:sz w:val="17"/>
              </w:rPr>
              <w:t>Effectif</w:t>
            </w:r>
          </w:p>
        </w:tc>
        <w:tc>
          <w:tcPr>
            <w:tcW w:type="dxa" w:w="3211"/>
            <w:shd w:val="clear" w:fill="0A1628"/>
          </w:tcPr>
          <w:p>
            <w:pPr>
              <w:jc w:val="center"/>
            </w:pPr>
            <w:r>
              <w:rPr>
                <w:rFonts w:ascii="Calibri" w:hAnsi="Calibri"/>
                <w:b/>
                <w:color w:val="FFFFFF"/>
                <w:sz w:val="17"/>
              </w:rPr>
              <w:t>%</w:t>
            </w:r>
          </w:p>
        </w:tc>
      </w:tr>
      <w:tr>
        <w:tc>
          <w:tcPr>
            <w:tcW w:type="dxa" w:w="3211"/>
            <w:shd w:val="clear" w:fill="0A8A75"/>
          </w:tcPr>
          <w:p>
            <w:pPr>
              <w:jc w:val="left"/>
            </w:pPr>
            <w:r>
              <w:rPr>
                <w:rFonts w:ascii="Calibri" w:hAnsi="Calibri"/>
                <w:b/>
                <w:color w:val="FFFFFF"/>
                <w:sz w:val="16"/>
              </w:rPr>
              <w:t>SEXE</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shd w:val="clear" w:fill="F1F5F9"/>
          </w:tcPr>
          <w:p>
            <w:pPr>
              <w:jc w:val="left"/>
            </w:pPr>
            <w:r>
              <w:rPr>
                <w:rFonts w:ascii="Calibri" w:hAnsi="Calibri"/>
                <w:sz w:val="16"/>
              </w:rPr>
              <w:t>F</w:t>
            </w:r>
          </w:p>
        </w:tc>
        <w:tc>
          <w:tcPr>
            <w:tcW w:type="dxa" w:w="3211"/>
            <w:shd w:val="clear" w:fill="F1F5F9"/>
          </w:tcPr>
          <w:p>
            <w:pPr>
              <w:jc w:val="right"/>
            </w:pPr>
            <w:r>
              <w:rPr>
                <w:rFonts w:ascii="Calibri" w:hAnsi="Calibri"/>
                <w:sz w:val="16"/>
              </w:rPr>
              <w:t>36</w:t>
            </w:r>
          </w:p>
        </w:tc>
        <w:tc>
          <w:tcPr>
            <w:tcW w:type="dxa" w:w="3211"/>
            <w:shd w:val="clear" w:fill="F1F5F9"/>
          </w:tcPr>
          <w:p>
            <w:pPr>
              <w:jc w:val="right"/>
            </w:pPr>
            <w:r>
              <w:rPr>
                <w:rFonts w:ascii="Calibri" w:hAnsi="Calibri"/>
                <w:sz w:val="16"/>
              </w:rPr>
              <w:t>72,0</w:t>
            </w:r>
          </w:p>
        </w:tc>
      </w:tr>
      <w:tr>
        <w:tc>
          <w:tcPr>
            <w:tcW w:type="dxa" w:w="3211"/>
          </w:tcPr>
          <w:p>
            <w:pPr>
              <w:jc w:val="left"/>
            </w:pPr>
            <w:r>
              <w:rPr>
                <w:rFonts w:ascii="Calibri" w:hAnsi="Calibri"/>
                <w:sz w:val="16"/>
              </w:rPr>
              <w:t>M</w:t>
            </w:r>
          </w:p>
        </w:tc>
        <w:tc>
          <w:tcPr>
            <w:tcW w:type="dxa" w:w="3211"/>
          </w:tcPr>
          <w:p>
            <w:pPr>
              <w:jc w:val="right"/>
            </w:pPr>
            <w:r>
              <w:rPr>
                <w:rFonts w:ascii="Calibri" w:hAnsi="Calibri"/>
                <w:sz w:val="16"/>
              </w:rPr>
              <w:t>14</w:t>
            </w:r>
          </w:p>
        </w:tc>
        <w:tc>
          <w:tcPr>
            <w:tcW w:type="dxa" w:w="3211"/>
          </w:tcPr>
          <w:p>
            <w:pPr>
              <w:jc w:val="right"/>
            </w:pPr>
            <w:r>
              <w:rPr>
                <w:rFonts w:ascii="Calibri" w:hAnsi="Calibri"/>
                <w:sz w:val="16"/>
              </w:rPr>
              <w:t>28,0</w:t>
            </w:r>
          </w:p>
        </w:tc>
      </w:tr>
      <w:tr>
        <w:tc>
          <w:tcPr>
            <w:tcW w:type="dxa" w:w="3211"/>
            <w:shd w:val="clear" w:fill="0A8A75"/>
          </w:tcPr>
          <w:p>
            <w:pPr>
              <w:jc w:val="left"/>
            </w:pPr>
            <w:r>
              <w:rPr>
                <w:rFonts w:ascii="Calibri" w:hAnsi="Calibri"/>
                <w:b/>
                <w:color w:val="FFFFFF"/>
                <w:sz w:val="16"/>
              </w:rPr>
              <w:t>TRANCHE D'ÂGE</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tcPr>
          <w:p>
            <w:pPr>
              <w:jc w:val="left"/>
            </w:pPr>
            <w:r>
              <w:rPr>
                <w:rFonts w:ascii="Calibri" w:hAnsi="Calibri"/>
                <w:sz w:val="16"/>
              </w:rPr>
              <w:t>[50;65[</w:t>
            </w:r>
          </w:p>
        </w:tc>
        <w:tc>
          <w:tcPr>
            <w:tcW w:type="dxa" w:w="3211"/>
          </w:tcPr>
          <w:p>
            <w:pPr>
              <w:jc w:val="right"/>
            </w:pPr>
            <w:r>
              <w:rPr>
                <w:rFonts w:ascii="Calibri" w:hAnsi="Calibri"/>
                <w:sz w:val="16"/>
              </w:rPr>
              <w:t>21</w:t>
            </w:r>
          </w:p>
        </w:tc>
        <w:tc>
          <w:tcPr>
            <w:tcW w:type="dxa" w:w="3211"/>
          </w:tcPr>
          <w:p>
            <w:pPr>
              <w:jc w:val="right"/>
            </w:pPr>
            <w:r>
              <w:rPr>
                <w:rFonts w:ascii="Calibri" w:hAnsi="Calibri"/>
                <w:sz w:val="16"/>
              </w:rPr>
              <w:t>42,0</w:t>
            </w:r>
          </w:p>
        </w:tc>
      </w:tr>
      <w:tr>
        <w:tc>
          <w:tcPr>
            <w:tcW w:type="dxa" w:w="3211"/>
            <w:shd w:val="clear" w:fill="F1F5F9"/>
          </w:tcPr>
          <w:p>
            <w:pPr>
              <w:jc w:val="left"/>
            </w:pPr>
            <w:r>
              <w:rPr>
                <w:rFonts w:ascii="Calibri" w:hAnsi="Calibri"/>
                <w:sz w:val="16"/>
              </w:rPr>
              <w:t>[35;50[</w:t>
            </w:r>
          </w:p>
        </w:tc>
        <w:tc>
          <w:tcPr>
            <w:tcW w:type="dxa" w:w="3211"/>
            <w:shd w:val="clear" w:fill="F1F5F9"/>
          </w:tcPr>
          <w:p>
            <w:pPr>
              <w:jc w:val="right"/>
            </w:pPr>
            <w:r>
              <w:rPr>
                <w:rFonts w:ascii="Calibri" w:hAnsi="Calibri"/>
                <w:sz w:val="16"/>
              </w:rPr>
              <w:t>18</w:t>
            </w:r>
          </w:p>
        </w:tc>
        <w:tc>
          <w:tcPr>
            <w:tcW w:type="dxa" w:w="3211"/>
            <w:shd w:val="clear" w:fill="F1F5F9"/>
          </w:tcPr>
          <w:p>
            <w:pPr>
              <w:jc w:val="right"/>
            </w:pPr>
            <w:r>
              <w:rPr>
                <w:rFonts w:ascii="Calibri" w:hAnsi="Calibri"/>
                <w:sz w:val="16"/>
              </w:rPr>
              <w:t>36,0</w:t>
            </w:r>
          </w:p>
        </w:tc>
      </w:tr>
      <w:tr>
        <w:tc>
          <w:tcPr>
            <w:tcW w:type="dxa" w:w="3211"/>
          </w:tcPr>
          <w:p>
            <w:pPr>
              <w:jc w:val="left"/>
            </w:pPr>
            <w:r>
              <w:rPr>
                <w:rFonts w:ascii="Calibri" w:hAnsi="Calibri"/>
                <w:sz w:val="16"/>
              </w:rPr>
              <w:t>[18;35[</w:t>
            </w:r>
          </w:p>
        </w:tc>
        <w:tc>
          <w:tcPr>
            <w:tcW w:type="dxa" w:w="3211"/>
          </w:tcPr>
          <w:p>
            <w:pPr>
              <w:jc w:val="right"/>
            </w:pPr>
            <w:r>
              <w:rPr>
                <w:rFonts w:ascii="Calibri" w:hAnsi="Calibri"/>
                <w:sz w:val="16"/>
              </w:rPr>
              <w:t>6</w:t>
            </w:r>
          </w:p>
        </w:tc>
        <w:tc>
          <w:tcPr>
            <w:tcW w:type="dxa" w:w="3211"/>
          </w:tcPr>
          <w:p>
            <w:pPr>
              <w:jc w:val="right"/>
            </w:pPr>
            <w:r>
              <w:rPr>
                <w:rFonts w:ascii="Calibri" w:hAnsi="Calibri"/>
                <w:sz w:val="16"/>
              </w:rPr>
              <w:t>12,0</w:t>
            </w:r>
          </w:p>
        </w:tc>
      </w:tr>
      <w:tr>
        <w:tc>
          <w:tcPr>
            <w:tcW w:type="dxa" w:w="3211"/>
            <w:shd w:val="clear" w:fill="F1F5F9"/>
          </w:tcPr>
          <w:p>
            <w:pPr>
              <w:jc w:val="left"/>
            </w:pPr>
            <w:r>
              <w:rPr>
                <w:rFonts w:ascii="Calibri" w:hAnsi="Calibri"/>
                <w:sz w:val="16"/>
              </w:rPr>
              <w:t>[65;80[</w:t>
            </w:r>
          </w:p>
        </w:tc>
        <w:tc>
          <w:tcPr>
            <w:tcW w:type="dxa" w:w="3211"/>
            <w:shd w:val="clear" w:fill="F1F5F9"/>
          </w:tcPr>
          <w:p>
            <w:pPr>
              <w:jc w:val="right"/>
            </w:pPr>
            <w:r>
              <w:rPr>
                <w:rFonts w:ascii="Calibri" w:hAnsi="Calibri"/>
                <w:sz w:val="16"/>
              </w:rPr>
              <w:t>5</w:t>
            </w:r>
          </w:p>
        </w:tc>
        <w:tc>
          <w:tcPr>
            <w:tcW w:type="dxa" w:w="3211"/>
            <w:shd w:val="clear" w:fill="F1F5F9"/>
          </w:tcPr>
          <w:p>
            <w:pPr>
              <w:jc w:val="right"/>
            </w:pPr>
            <w:r>
              <w:rPr>
                <w:rFonts w:ascii="Calibri" w:hAnsi="Calibri"/>
                <w:sz w:val="16"/>
              </w:rPr>
              <w:t>10,0</w:t>
            </w:r>
          </w:p>
        </w:tc>
      </w:tr>
      <w:tr>
        <w:tc>
          <w:tcPr>
            <w:tcW w:type="dxa" w:w="3211"/>
            <w:shd w:val="clear" w:fill="0A8A75"/>
          </w:tcPr>
          <w:p>
            <w:pPr>
              <w:jc w:val="left"/>
            </w:pPr>
            <w:r>
              <w:rPr>
                <w:rFonts w:ascii="Calibri" w:hAnsi="Calibri"/>
                <w:b/>
                <w:color w:val="FFFFFF"/>
                <w:sz w:val="16"/>
              </w:rPr>
              <w:t>STATUT MATRIMONIAL</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shd w:val="clear" w:fill="F1F5F9"/>
          </w:tcPr>
          <w:p>
            <w:pPr>
              <w:jc w:val="left"/>
            </w:pPr>
            <w:r>
              <w:rPr>
                <w:rFonts w:ascii="Calibri" w:hAnsi="Calibri"/>
                <w:sz w:val="16"/>
              </w:rPr>
              <w:t>Marié</w:t>
            </w:r>
          </w:p>
        </w:tc>
        <w:tc>
          <w:tcPr>
            <w:tcW w:type="dxa" w:w="3211"/>
            <w:shd w:val="clear" w:fill="F1F5F9"/>
          </w:tcPr>
          <w:p>
            <w:pPr>
              <w:jc w:val="right"/>
            </w:pPr>
            <w:r>
              <w:rPr>
                <w:rFonts w:ascii="Calibri" w:hAnsi="Calibri"/>
                <w:sz w:val="16"/>
              </w:rPr>
              <w:t>29</w:t>
            </w:r>
          </w:p>
        </w:tc>
        <w:tc>
          <w:tcPr>
            <w:tcW w:type="dxa" w:w="3211"/>
            <w:shd w:val="clear" w:fill="F1F5F9"/>
          </w:tcPr>
          <w:p>
            <w:pPr>
              <w:jc w:val="right"/>
            </w:pPr>
            <w:r>
              <w:rPr>
                <w:rFonts w:ascii="Calibri" w:hAnsi="Calibri"/>
                <w:sz w:val="16"/>
              </w:rPr>
              <w:t>58,0</w:t>
            </w:r>
          </w:p>
        </w:tc>
      </w:tr>
      <w:tr>
        <w:tc>
          <w:tcPr>
            <w:tcW w:type="dxa" w:w="3211"/>
          </w:tcPr>
          <w:p>
            <w:pPr>
              <w:jc w:val="left"/>
            </w:pPr>
            <w:r>
              <w:rPr>
                <w:rFonts w:ascii="Calibri" w:hAnsi="Calibri"/>
                <w:sz w:val="16"/>
              </w:rPr>
              <w:t>Veuve</w:t>
            </w:r>
          </w:p>
        </w:tc>
        <w:tc>
          <w:tcPr>
            <w:tcW w:type="dxa" w:w="3211"/>
          </w:tcPr>
          <w:p>
            <w:pPr>
              <w:jc w:val="right"/>
            </w:pPr>
            <w:r>
              <w:rPr>
                <w:rFonts w:ascii="Calibri" w:hAnsi="Calibri"/>
                <w:sz w:val="16"/>
              </w:rPr>
              <w:t>9</w:t>
            </w:r>
          </w:p>
        </w:tc>
        <w:tc>
          <w:tcPr>
            <w:tcW w:type="dxa" w:w="3211"/>
          </w:tcPr>
          <w:p>
            <w:pPr>
              <w:jc w:val="right"/>
            </w:pPr>
            <w:r>
              <w:rPr>
                <w:rFonts w:ascii="Calibri" w:hAnsi="Calibri"/>
                <w:sz w:val="16"/>
              </w:rPr>
              <w:t>18,0</w:t>
            </w:r>
          </w:p>
        </w:tc>
      </w:tr>
      <w:tr>
        <w:tc>
          <w:tcPr>
            <w:tcW w:type="dxa" w:w="3211"/>
            <w:shd w:val="clear" w:fill="F1F5F9"/>
          </w:tcPr>
          <w:p>
            <w:pPr>
              <w:jc w:val="left"/>
            </w:pPr>
            <w:r>
              <w:rPr>
                <w:rFonts w:ascii="Calibri" w:hAnsi="Calibri"/>
                <w:sz w:val="16"/>
              </w:rPr>
              <w:t>Célibataire</w:t>
            </w:r>
          </w:p>
        </w:tc>
        <w:tc>
          <w:tcPr>
            <w:tcW w:type="dxa" w:w="3211"/>
            <w:shd w:val="clear" w:fill="F1F5F9"/>
          </w:tcPr>
          <w:p>
            <w:pPr>
              <w:jc w:val="right"/>
            </w:pPr>
            <w:r>
              <w:rPr>
                <w:rFonts w:ascii="Calibri" w:hAnsi="Calibri"/>
                <w:sz w:val="16"/>
              </w:rPr>
              <w:t>8</w:t>
            </w:r>
          </w:p>
        </w:tc>
        <w:tc>
          <w:tcPr>
            <w:tcW w:type="dxa" w:w="3211"/>
            <w:shd w:val="clear" w:fill="F1F5F9"/>
          </w:tcPr>
          <w:p>
            <w:pPr>
              <w:jc w:val="right"/>
            </w:pPr>
            <w:r>
              <w:rPr>
                <w:rFonts w:ascii="Calibri" w:hAnsi="Calibri"/>
                <w:sz w:val="16"/>
              </w:rPr>
              <w:t>16,0</w:t>
            </w:r>
          </w:p>
        </w:tc>
      </w:tr>
      <w:tr>
        <w:tc>
          <w:tcPr>
            <w:tcW w:type="dxa" w:w="3211"/>
          </w:tcPr>
          <w:p>
            <w:pPr>
              <w:jc w:val="left"/>
            </w:pPr>
            <w:r>
              <w:rPr>
                <w:rFonts w:ascii="Calibri" w:hAnsi="Calibri"/>
                <w:sz w:val="16"/>
              </w:rPr>
              <w:t>Divorcé</w:t>
            </w:r>
          </w:p>
        </w:tc>
        <w:tc>
          <w:tcPr>
            <w:tcW w:type="dxa" w:w="3211"/>
          </w:tcPr>
          <w:p>
            <w:pPr>
              <w:jc w:val="right"/>
            </w:pPr>
            <w:r>
              <w:rPr>
                <w:rFonts w:ascii="Calibri" w:hAnsi="Calibri"/>
                <w:sz w:val="16"/>
              </w:rPr>
              <w:t>4</w:t>
            </w:r>
          </w:p>
        </w:tc>
        <w:tc>
          <w:tcPr>
            <w:tcW w:type="dxa" w:w="3211"/>
          </w:tcPr>
          <w:p>
            <w:pPr>
              <w:jc w:val="right"/>
            </w:pPr>
            <w:r>
              <w:rPr>
                <w:rFonts w:ascii="Calibri" w:hAnsi="Calibri"/>
                <w:sz w:val="16"/>
              </w:rPr>
              <w:t>8,0</w:t>
            </w:r>
          </w:p>
        </w:tc>
      </w:tr>
      <w:tr>
        <w:tc>
          <w:tcPr>
            <w:tcW w:type="dxa" w:w="3211"/>
            <w:shd w:val="clear" w:fill="0A8A75"/>
          </w:tcPr>
          <w:p>
            <w:pPr>
              <w:jc w:val="left"/>
            </w:pPr>
            <w:r>
              <w:rPr>
                <w:rFonts w:ascii="Calibri" w:hAnsi="Calibri"/>
                <w:b/>
                <w:color w:val="FFFFFF"/>
                <w:sz w:val="16"/>
              </w:rPr>
              <w:t>NIVEAU D'INSTRUCTION</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tcPr>
          <w:p>
            <w:pPr>
              <w:jc w:val="left"/>
            </w:pPr>
            <w:r>
              <w:rPr>
                <w:rFonts w:ascii="Calibri" w:hAnsi="Calibri"/>
                <w:sz w:val="16"/>
              </w:rPr>
              <w:t>Secondaire premier cycle</w:t>
            </w:r>
          </w:p>
        </w:tc>
        <w:tc>
          <w:tcPr>
            <w:tcW w:type="dxa" w:w="3211"/>
          </w:tcPr>
          <w:p>
            <w:pPr>
              <w:jc w:val="right"/>
            </w:pPr>
            <w:r>
              <w:rPr>
                <w:rFonts w:ascii="Calibri" w:hAnsi="Calibri"/>
                <w:sz w:val="16"/>
              </w:rPr>
              <w:t>23</w:t>
            </w:r>
          </w:p>
        </w:tc>
        <w:tc>
          <w:tcPr>
            <w:tcW w:type="dxa" w:w="3211"/>
          </w:tcPr>
          <w:p>
            <w:pPr>
              <w:jc w:val="right"/>
            </w:pPr>
            <w:r>
              <w:rPr>
                <w:rFonts w:ascii="Calibri" w:hAnsi="Calibri"/>
                <w:sz w:val="16"/>
              </w:rPr>
              <w:t>46,0</w:t>
            </w:r>
          </w:p>
        </w:tc>
      </w:tr>
      <w:tr>
        <w:tc>
          <w:tcPr>
            <w:tcW w:type="dxa" w:w="3211"/>
            <w:shd w:val="clear" w:fill="F1F5F9"/>
          </w:tcPr>
          <w:p>
            <w:pPr>
              <w:jc w:val="left"/>
            </w:pPr>
            <w:r>
              <w:rPr>
                <w:rFonts w:ascii="Calibri" w:hAnsi="Calibri"/>
                <w:sz w:val="16"/>
              </w:rPr>
              <w:t>Primaire</w:t>
            </w:r>
          </w:p>
        </w:tc>
        <w:tc>
          <w:tcPr>
            <w:tcW w:type="dxa" w:w="3211"/>
            <w:shd w:val="clear" w:fill="F1F5F9"/>
          </w:tcPr>
          <w:p>
            <w:pPr>
              <w:jc w:val="right"/>
            </w:pPr>
            <w:r>
              <w:rPr>
                <w:rFonts w:ascii="Calibri" w:hAnsi="Calibri"/>
                <w:sz w:val="16"/>
              </w:rPr>
              <w:t>20</w:t>
            </w:r>
          </w:p>
        </w:tc>
        <w:tc>
          <w:tcPr>
            <w:tcW w:type="dxa" w:w="3211"/>
            <w:shd w:val="clear" w:fill="F1F5F9"/>
          </w:tcPr>
          <w:p>
            <w:pPr>
              <w:jc w:val="right"/>
            </w:pPr>
            <w:r>
              <w:rPr>
                <w:rFonts w:ascii="Calibri" w:hAnsi="Calibri"/>
                <w:sz w:val="16"/>
              </w:rPr>
              <w:t>40,0</w:t>
            </w:r>
          </w:p>
        </w:tc>
      </w:tr>
      <w:tr>
        <w:tc>
          <w:tcPr>
            <w:tcW w:type="dxa" w:w="3211"/>
          </w:tcPr>
          <w:p>
            <w:pPr>
              <w:jc w:val="left"/>
            </w:pPr>
            <w:r>
              <w:rPr>
                <w:rFonts w:ascii="Calibri" w:hAnsi="Calibri"/>
                <w:sz w:val="16"/>
              </w:rPr>
              <w:t>Aucun</w:t>
            </w:r>
          </w:p>
        </w:tc>
        <w:tc>
          <w:tcPr>
            <w:tcW w:type="dxa" w:w="3211"/>
          </w:tcPr>
          <w:p>
            <w:pPr>
              <w:jc w:val="right"/>
            </w:pPr>
            <w:r>
              <w:rPr>
                <w:rFonts w:ascii="Calibri" w:hAnsi="Calibri"/>
                <w:sz w:val="16"/>
              </w:rPr>
              <w:t>4</w:t>
            </w:r>
          </w:p>
        </w:tc>
        <w:tc>
          <w:tcPr>
            <w:tcW w:type="dxa" w:w="3211"/>
          </w:tcPr>
          <w:p>
            <w:pPr>
              <w:jc w:val="right"/>
            </w:pPr>
            <w:r>
              <w:rPr>
                <w:rFonts w:ascii="Calibri" w:hAnsi="Calibri"/>
                <w:sz w:val="16"/>
              </w:rPr>
              <w:t>8,0</w:t>
            </w:r>
          </w:p>
        </w:tc>
      </w:tr>
      <w:tr>
        <w:tc>
          <w:tcPr>
            <w:tcW w:type="dxa" w:w="3211"/>
            <w:shd w:val="clear" w:fill="F1F5F9"/>
          </w:tcPr>
          <w:p>
            <w:pPr>
              <w:jc w:val="left"/>
            </w:pPr>
            <w:r>
              <w:rPr>
                <w:rFonts w:ascii="Calibri" w:hAnsi="Calibri"/>
                <w:sz w:val="16"/>
              </w:rPr>
              <w:t>Secondaire second cycle</w:t>
            </w:r>
          </w:p>
        </w:tc>
        <w:tc>
          <w:tcPr>
            <w:tcW w:type="dxa" w:w="3211"/>
            <w:shd w:val="clear" w:fill="F1F5F9"/>
          </w:tcPr>
          <w:p>
            <w:pPr>
              <w:jc w:val="right"/>
            </w:pPr>
            <w:r>
              <w:rPr>
                <w:rFonts w:ascii="Calibri" w:hAnsi="Calibri"/>
                <w:sz w:val="16"/>
              </w:rPr>
              <w:t>3</w:t>
            </w:r>
          </w:p>
        </w:tc>
        <w:tc>
          <w:tcPr>
            <w:tcW w:type="dxa" w:w="3211"/>
            <w:shd w:val="clear" w:fill="F1F5F9"/>
          </w:tcPr>
          <w:p>
            <w:pPr>
              <w:jc w:val="right"/>
            </w:pPr>
            <w:r>
              <w:rPr>
                <w:rFonts w:ascii="Calibri" w:hAnsi="Calibri"/>
                <w:sz w:val="16"/>
              </w:rPr>
              <w:t>6,0</w:t>
            </w:r>
          </w:p>
        </w:tc>
      </w:tr>
    </w:tbl>
    <w:p>
      <w:pPr>
        <w:jc w:val="both"/>
      </w:pPr>
      <w:r>
        <w:rPr>
          <w:sz w:val="22"/>
        </w:rPr>
        <w:t xml:space="preserve">L'échantillon présente une </w:t>
      </w:r>
      <w:r>
        <w:rPr>
          <w:b/>
          <w:sz w:val="22"/>
        </w:rPr>
        <w:t>forte prédominance féminine</w:t>
      </w:r>
      <w:r>
        <w:rPr>
          <w:sz w:val="22"/>
        </w:rPr>
        <w:t xml:space="preserve"> : 72,0 % de femmes contre 28,0 % d'hommes. Cette structure n'est pas un artefact d'échantillonnage mais un résultat en soi : dans l'arrondissement de Lomié comme dans l'ensemble du Bassin du Congo, la collecte, la transformation et la commercialisation des PFNL constituent un espace économique structurellement porté par les femmes, en complément des revenus agricoles du ménage (Ingram, 2014 ; Awono et al., 2016).</w:t>
      </w:r>
    </w:p>
    <w:p>
      <w:pPr>
        <w:jc w:val="both"/>
      </w:pPr>
      <w:r>
        <w:rPr>
          <w:sz w:val="22"/>
        </w:rPr>
        <w:t xml:space="preserve">Sur le plan de l'âge, les classes [35 ; 50[ et [50 ; 65[ concentrent </w:t>
      </w:r>
      <w:r>
        <w:rPr>
          <w:b/>
          <w:sz w:val="22"/>
        </w:rPr>
        <w:t>78,0 %</w:t>
      </w:r>
      <w:r>
        <w:rPr>
          <w:sz w:val="22"/>
        </w:rPr>
        <w:t xml:space="preserve"> des enquêtés. La collecte est donc l'affaire d'</w:t>
      </w:r>
      <w:r>
        <w:rPr>
          <w:b/>
          <w:sz w:val="22"/>
        </w:rPr>
        <w:t>adultes d'âge mûr</w:t>
      </w:r>
      <w:r>
        <w:rPr>
          <w:sz w:val="22"/>
        </w:rPr>
        <w:t>, détenteurs de la connaissance fine du territoire, des calendriers phénologiques et des réseaux de commercialisation qu'exige l'activité. La faible participation des 18-35 ans (12,0 %) interroge la transmission intergénérationnelle des savoirs de collecte et l'attractivité de la filière pour les jeunes.</w:t>
      </w:r>
    </w:p>
    <w:p>
      <w:pPr>
        <w:jc w:val="both"/>
      </w:pPr>
      <w:r>
        <w:rPr>
          <w:sz w:val="22"/>
        </w:rPr>
        <w:t xml:space="preserve">Sur le plan matrimonial, si les personnes mariées sont majoritaires (58,0 %), une fraction appréciable de l'échantillon relève de configurations monoparentales ou isolées — veuves (18,0 %), célibataires (16,0 %) et divorcés (8,0 %), soit environ 42 % cumulés. Cette proportion souligne la </w:t>
      </w:r>
      <w:r>
        <w:rPr>
          <w:b/>
          <w:sz w:val="22"/>
        </w:rPr>
        <w:t>vulnérabilité socio-économique</w:t>
      </w:r>
      <w:r>
        <w:rPr>
          <w:sz w:val="22"/>
        </w:rPr>
        <w:t xml:space="preserve"> d'une partie des ménages, pour lesquels le revenu des PFNL peut constituer une ressource de subsistance déterminante plutôt qu'un simple appoint.</w:t>
      </w:r>
    </w:p>
    <w:p>
      <w:pPr>
        <w:jc w:val="both"/>
      </w:pPr>
      <w:r>
        <w:rPr>
          <w:sz w:val="22"/>
        </w:rPr>
        <w:t>Enfin, le niveau d'instruction demeure faible : 8,0 % des enquêtés sont sans scolarisation et 40,0 % se sont arrêtés au primaire ; le second cycle du secondaire ne concerne que 6,0 %. Ce profil, caractéristique du milieu rural forestier de l'Est-Cameroun, conditionne les modalités d'accompagnement de la filière : privilégier l'appui pratique, la démonstration et l'oralité sur les supports écrits complexes.</w:t>
      </w:r>
    </w:p>
    <w:p>
      <w:pPr>
        <w:keepNext/>
        <w:spacing w:before="240" w:after="120"/>
      </w:pPr>
      <w:r>
        <w:rPr>
          <w:rFonts w:ascii="Calibri" w:hAnsi="Calibri"/>
          <w:b/>
          <w:color w:val="0A1628"/>
          <w:sz w:val="28"/>
        </w:rPr>
        <w:t>2. Organisation de la collecte des PFNL par les ménages</w:t>
      </w:r>
    </w:p>
    <w:p>
      <w:pPr>
        <w:jc w:val="center"/>
      </w:pPr>
      <w:r>
        <w:drawing>
          <wp:inline xmlns:a="http://schemas.openxmlformats.org/drawingml/2006/main" xmlns:pic="http://schemas.openxmlformats.org/drawingml/2006/picture">
            <wp:extent cx="5760000" cy="2905691"/>
            <wp:docPr id="2" name="Picture 2"/>
            <wp:cNvGraphicFramePr>
              <a:graphicFrameLocks noChangeAspect="1"/>
            </wp:cNvGraphicFramePr>
            <a:graphic>
              <a:graphicData uri="http://schemas.openxmlformats.org/drawingml/2006/picture">
                <pic:pic>
                  <pic:nvPicPr>
                    <pic:cNvPr id="0" name="fig03_organisation.png"/>
                    <pic:cNvPicPr/>
                  </pic:nvPicPr>
                  <pic:blipFill>
                    <a:blip r:embed="rId10"/>
                    <a:stretch>
                      <a:fillRect/>
                    </a:stretch>
                  </pic:blipFill>
                  <pic:spPr>
                    <a:xfrm>
                      <a:off x="0" y="0"/>
                      <a:ext cx="5760000" cy="2905691"/>
                    </a:xfrm>
                    <a:prstGeom prst="rect"/>
                  </pic:spPr>
                </pic:pic>
              </a:graphicData>
            </a:graphic>
          </wp:inline>
        </w:drawing>
      </w:r>
    </w:p>
    <w:p>
      <w:pPr>
        <w:spacing w:before="40"/>
        <w:jc w:val="center"/>
      </w:pPr>
      <w:r>
        <w:rPr>
          <w:rFonts w:ascii="Calibri" w:hAnsi="Calibri"/>
          <w:i/>
          <w:color w:val="64748B"/>
          <w:sz w:val="18"/>
        </w:rPr>
        <w:t>Figure 2. Organisation de la collecte des PFNL par les ménages (méthode, type, main-d'œuvre extérieure ; n = 50).</w:t>
      </w:r>
    </w:p>
    <w:p>
      <w:pPr>
        <w:keepNext/>
        <w:spacing w:before="160" w:after="40"/>
      </w:pPr>
      <w:r>
        <w:rPr>
          <w:rFonts w:ascii="Calibri" w:hAnsi="Calibri"/>
          <w:b/>
          <w:color w:val="0A1628"/>
          <w:sz w:val="19"/>
        </w:rPr>
        <w:t>Tableau 2. Organisation de la collecte des PFNL (n = 50)</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0A1628"/>
          </w:tcPr>
          <w:p>
            <w:pPr>
              <w:jc w:val="center"/>
            </w:pPr>
            <w:r>
              <w:rPr>
                <w:rFonts w:ascii="Calibri" w:hAnsi="Calibri"/>
                <w:b/>
                <w:color w:val="FFFFFF"/>
                <w:sz w:val="17"/>
              </w:rPr>
              <w:t>Modalité</w:t>
            </w:r>
          </w:p>
        </w:tc>
        <w:tc>
          <w:tcPr>
            <w:tcW w:type="dxa" w:w="3211"/>
            <w:shd w:val="clear" w:fill="0A1628"/>
          </w:tcPr>
          <w:p>
            <w:pPr>
              <w:jc w:val="center"/>
            </w:pPr>
            <w:r>
              <w:rPr>
                <w:rFonts w:ascii="Calibri" w:hAnsi="Calibri"/>
                <w:b/>
                <w:color w:val="FFFFFF"/>
                <w:sz w:val="17"/>
              </w:rPr>
              <w:t>Effectif</w:t>
            </w:r>
          </w:p>
        </w:tc>
        <w:tc>
          <w:tcPr>
            <w:tcW w:type="dxa" w:w="3211"/>
            <w:shd w:val="clear" w:fill="0A1628"/>
          </w:tcPr>
          <w:p>
            <w:pPr>
              <w:jc w:val="center"/>
            </w:pPr>
            <w:r>
              <w:rPr>
                <w:rFonts w:ascii="Calibri" w:hAnsi="Calibri"/>
                <w:b/>
                <w:color w:val="FFFFFF"/>
                <w:sz w:val="17"/>
              </w:rPr>
              <w:t>%</w:t>
            </w:r>
          </w:p>
        </w:tc>
      </w:tr>
      <w:tr>
        <w:tc>
          <w:tcPr>
            <w:tcW w:type="dxa" w:w="3211"/>
            <w:shd w:val="clear" w:fill="0A8A75"/>
          </w:tcPr>
          <w:p>
            <w:pPr>
              <w:jc w:val="left"/>
            </w:pPr>
            <w:r>
              <w:rPr>
                <w:rFonts w:ascii="Calibri" w:hAnsi="Calibri"/>
                <w:b/>
                <w:color w:val="FFFFFF"/>
                <w:sz w:val="16"/>
              </w:rPr>
              <w:t>MÉTHODE DE COLLECTE</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shd w:val="clear" w:fill="F1F5F9"/>
          </w:tcPr>
          <w:p>
            <w:pPr>
              <w:jc w:val="left"/>
            </w:pPr>
            <w:r>
              <w:rPr>
                <w:rFonts w:ascii="Calibri" w:hAnsi="Calibri"/>
                <w:sz w:val="16"/>
              </w:rPr>
              <w:t>Ramassage seul</w:t>
            </w:r>
          </w:p>
        </w:tc>
        <w:tc>
          <w:tcPr>
            <w:tcW w:type="dxa" w:w="3211"/>
            <w:shd w:val="clear" w:fill="F1F5F9"/>
          </w:tcPr>
          <w:p>
            <w:pPr>
              <w:jc w:val="right"/>
            </w:pPr>
            <w:r>
              <w:rPr>
                <w:rFonts w:ascii="Calibri" w:hAnsi="Calibri"/>
                <w:sz w:val="16"/>
              </w:rPr>
              <w:t>33</w:t>
            </w:r>
          </w:p>
        </w:tc>
        <w:tc>
          <w:tcPr>
            <w:tcW w:type="dxa" w:w="3211"/>
            <w:shd w:val="clear" w:fill="F1F5F9"/>
          </w:tcPr>
          <w:p>
            <w:pPr>
              <w:jc w:val="right"/>
            </w:pPr>
            <w:r>
              <w:rPr>
                <w:rFonts w:ascii="Calibri" w:hAnsi="Calibri"/>
                <w:sz w:val="16"/>
              </w:rPr>
              <w:t>66,0</w:t>
            </w:r>
          </w:p>
        </w:tc>
      </w:tr>
      <w:tr>
        <w:tc>
          <w:tcPr>
            <w:tcW w:type="dxa" w:w="3211"/>
          </w:tcPr>
          <w:p>
            <w:pPr>
              <w:jc w:val="left"/>
            </w:pPr>
            <w:r>
              <w:rPr>
                <w:rFonts w:ascii="Calibri" w:hAnsi="Calibri"/>
                <w:sz w:val="16"/>
              </w:rPr>
              <w:t>Ramassage + achat</w:t>
            </w:r>
          </w:p>
        </w:tc>
        <w:tc>
          <w:tcPr>
            <w:tcW w:type="dxa" w:w="3211"/>
          </w:tcPr>
          <w:p>
            <w:pPr>
              <w:jc w:val="right"/>
            </w:pPr>
            <w:r>
              <w:rPr>
                <w:rFonts w:ascii="Calibri" w:hAnsi="Calibri"/>
                <w:sz w:val="16"/>
              </w:rPr>
              <w:t>16</w:t>
            </w:r>
          </w:p>
        </w:tc>
        <w:tc>
          <w:tcPr>
            <w:tcW w:type="dxa" w:w="3211"/>
          </w:tcPr>
          <w:p>
            <w:pPr>
              <w:jc w:val="right"/>
            </w:pPr>
            <w:r>
              <w:rPr>
                <w:rFonts w:ascii="Calibri" w:hAnsi="Calibri"/>
                <w:sz w:val="16"/>
              </w:rPr>
              <w:t>32,0</w:t>
            </w:r>
          </w:p>
        </w:tc>
      </w:tr>
      <w:tr>
        <w:tc>
          <w:tcPr>
            <w:tcW w:type="dxa" w:w="3211"/>
            <w:shd w:val="clear" w:fill="F1F5F9"/>
          </w:tcPr>
          <w:p>
            <w:pPr>
              <w:jc w:val="left"/>
            </w:pPr>
            <w:r>
              <w:rPr>
                <w:rFonts w:ascii="Calibri" w:hAnsi="Calibri"/>
                <w:sz w:val="16"/>
              </w:rPr>
              <w:t>Achat seul</w:t>
            </w:r>
          </w:p>
        </w:tc>
        <w:tc>
          <w:tcPr>
            <w:tcW w:type="dxa" w:w="3211"/>
            <w:shd w:val="clear" w:fill="F1F5F9"/>
          </w:tcPr>
          <w:p>
            <w:pPr>
              <w:jc w:val="right"/>
            </w:pPr>
            <w:r>
              <w:rPr>
                <w:rFonts w:ascii="Calibri" w:hAnsi="Calibri"/>
                <w:sz w:val="16"/>
              </w:rPr>
              <w:t>1</w:t>
            </w:r>
          </w:p>
        </w:tc>
        <w:tc>
          <w:tcPr>
            <w:tcW w:type="dxa" w:w="3211"/>
            <w:shd w:val="clear" w:fill="F1F5F9"/>
          </w:tcPr>
          <w:p>
            <w:pPr>
              <w:jc w:val="right"/>
            </w:pPr>
            <w:r>
              <w:rPr>
                <w:rFonts w:ascii="Calibri" w:hAnsi="Calibri"/>
                <w:sz w:val="16"/>
              </w:rPr>
              <w:t>2,0</w:t>
            </w:r>
          </w:p>
        </w:tc>
      </w:tr>
      <w:tr>
        <w:tc>
          <w:tcPr>
            <w:tcW w:type="dxa" w:w="3211"/>
            <w:shd w:val="clear" w:fill="0A8A75"/>
          </w:tcPr>
          <w:p>
            <w:pPr>
              <w:jc w:val="left"/>
            </w:pPr>
            <w:r>
              <w:rPr>
                <w:rFonts w:ascii="Calibri" w:hAnsi="Calibri"/>
                <w:b/>
                <w:color w:val="FFFFFF"/>
                <w:sz w:val="16"/>
              </w:rPr>
              <w:t>TYPE DE COLLECTE</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shd w:val="clear" w:fill="F1F5F9"/>
          </w:tcPr>
          <w:p>
            <w:pPr>
              <w:jc w:val="left"/>
            </w:pPr>
            <w:r>
              <w:rPr>
                <w:rFonts w:ascii="Calibri" w:hAnsi="Calibri"/>
                <w:sz w:val="16"/>
              </w:rPr>
              <w:t>Collecte en famille</w:t>
            </w:r>
          </w:p>
        </w:tc>
        <w:tc>
          <w:tcPr>
            <w:tcW w:type="dxa" w:w="3211"/>
            <w:shd w:val="clear" w:fill="F1F5F9"/>
          </w:tcPr>
          <w:p>
            <w:pPr>
              <w:jc w:val="right"/>
            </w:pPr>
            <w:r>
              <w:rPr>
                <w:rFonts w:ascii="Calibri" w:hAnsi="Calibri"/>
                <w:sz w:val="16"/>
              </w:rPr>
              <w:t>43</w:t>
            </w:r>
          </w:p>
        </w:tc>
        <w:tc>
          <w:tcPr>
            <w:tcW w:type="dxa" w:w="3211"/>
            <w:shd w:val="clear" w:fill="F1F5F9"/>
          </w:tcPr>
          <w:p>
            <w:pPr>
              <w:jc w:val="right"/>
            </w:pPr>
            <w:r>
              <w:rPr>
                <w:rFonts w:ascii="Calibri" w:hAnsi="Calibri"/>
                <w:sz w:val="16"/>
              </w:rPr>
              <w:t>86,0</w:t>
            </w:r>
          </w:p>
        </w:tc>
      </w:tr>
      <w:tr>
        <w:tc>
          <w:tcPr>
            <w:tcW w:type="dxa" w:w="3211"/>
          </w:tcPr>
          <w:p>
            <w:pPr>
              <w:jc w:val="left"/>
            </w:pPr>
            <w:r>
              <w:rPr>
                <w:rFonts w:ascii="Calibri" w:hAnsi="Calibri"/>
                <w:sz w:val="16"/>
              </w:rPr>
              <w:t>Collecte individuelle</w:t>
            </w:r>
          </w:p>
        </w:tc>
        <w:tc>
          <w:tcPr>
            <w:tcW w:type="dxa" w:w="3211"/>
          </w:tcPr>
          <w:p>
            <w:pPr>
              <w:jc w:val="right"/>
            </w:pPr>
            <w:r>
              <w:rPr>
                <w:rFonts w:ascii="Calibri" w:hAnsi="Calibri"/>
                <w:sz w:val="16"/>
              </w:rPr>
              <w:t>7</w:t>
            </w:r>
          </w:p>
        </w:tc>
        <w:tc>
          <w:tcPr>
            <w:tcW w:type="dxa" w:w="3211"/>
          </w:tcPr>
          <w:p>
            <w:pPr>
              <w:jc w:val="right"/>
            </w:pPr>
            <w:r>
              <w:rPr>
                <w:rFonts w:ascii="Calibri" w:hAnsi="Calibri"/>
                <w:sz w:val="16"/>
              </w:rPr>
              <w:t>14,0</w:t>
            </w:r>
          </w:p>
        </w:tc>
      </w:tr>
      <w:tr>
        <w:tc>
          <w:tcPr>
            <w:tcW w:type="dxa" w:w="3211"/>
            <w:shd w:val="clear" w:fill="0A8A75"/>
          </w:tcPr>
          <w:p>
            <w:pPr>
              <w:jc w:val="left"/>
            </w:pPr>
            <w:r>
              <w:rPr>
                <w:rFonts w:ascii="Calibri" w:hAnsi="Calibri"/>
                <w:b/>
                <w:color w:val="FFFFFF"/>
                <w:sz w:val="16"/>
              </w:rPr>
              <w:t>MAIN-D'ŒUVRE EXTÉRIEURE</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tcPr>
          <w:p>
            <w:pPr>
              <w:jc w:val="left"/>
            </w:pPr>
            <w:r>
              <w:rPr>
                <w:rFonts w:ascii="Calibri" w:hAnsi="Calibri"/>
                <w:sz w:val="16"/>
              </w:rPr>
              <w:t>Non</w:t>
            </w:r>
          </w:p>
        </w:tc>
        <w:tc>
          <w:tcPr>
            <w:tcW w:type="dxa" w:w="3211"/>
          </w:tcPr>
          <w:p>
            <w:pPr>
              <w:jc w:val="right"/>
            </w:pPr>
            <w:r>
              <w:rPr>
                <w:rFonts w:ascii="Calibri" w:hAnsi="Calibri"/>
                <w:sz w:val="16"/>
              </w:rPr>
              <w:t>35</w:t>
            </w:r>
          </w:p>
        </w:tc>
        <w:tc>
          <w:tcPr>
            <w:tcW w:type="dxa" w:w="3211"/>
          </w:tcPr>
          <w:p>
            <w:pPr>
              <w:jc w:val="right"/>
            </w:pPr>
            <w:r>
              <w:rPr>
                <w:rFonts w:ascii="Calibri" w:hAnsi="Calibri"/>
                <w:sz w:val="16"/>
              </w:rPr>
              <w:t>70,0</w:t>
            </w:r>
          </w:p>
        </w:tc>
      </w:tr>
      <w:tr>
        <w:tc>
          <w:tcPr>
            <w:tcW w:type="dxa" w:w="3211"/>
            <w:shd w:val="clear" w:fill="F1F5F9"/>
          </w:tcPr>
          <w:p>
            <w:pPr>
              <w:jc w:val="left"/>
            </w:pPr>
            <w:r>
              <w:rPr>
                <w:rFonts w:ascii="Calibri" w:hAnsi="Calibri"/>
                <w:sz w:val="16"/>
              </w:rPr>
              <w:t>Oui</w:t>
            </w:r>
          </w:p>
        </w:tc>
        <w:tc>
          <w:tcPr>
            <w:tcW w:type="dxa" w:w="3211"/>
            <w:shd w:val="clear" w:fill="F1F5F9"/>
          </w:tcPr>
          <w:p>
            <w:pPr>
              <w:jc w:val="right"/>
            </w:pPr>
            <w:r>
              <w:rPr>
                <w:rFonts w:ascii="Calibri" w:hAnsi="Calibri"/>
                <w:sz w:val="16"/>
              </w:rPr>
              <w:t>14</w:t>
            </w:r>
          </w:p>
        </w:tc>
        <w:tc>
          <w:tcPr>
            <w:tcW w:type="dxa" w:w="3211"/>
            <w:shd w:val="clear" w:fill="F1F5F9"/>
          </w:tcPr>
          <w:p>
            <w:pPr>
              <w:jc w:val="right"/>
            </w:pPr>
            <w:r>
              <w:rPr>
                <w:rFonts w:ascii="Calibri" w:hAnsi="Calibri"/>
                <w:sz w:val="16"/>
              </w:rPr>
              <w:t>28,0</w:t>
            </w:r>
          </w:p>
        </w:tc>
      </w:tr>
      <w:tr>
        <w:tc>
          <w:tcPr>
            <w:tcW w:type="dxa" w:w="3211"/>
          </w:tcPr>
          <w:p>
            <w:pPr>
              <w:jc w:val="left"/>
            </w:pPr>
            <w:r>
              <w:rPr>
                <w:rFonts w:ascii="Calibri" w:hAnsi="Calibri"/>
                <w:sz w:val="16"/>
              </w:rPr>
              <w:t>Non renseigné</w:t>
            </w:r>
          </w:p>
        </w:tc>
        <w:tc>
          <w:tcPr>
            <w:tcW w:type="dxa" w:w="3211"/>
          </w:tcPr>
          <w:p>
            <w:pPr>
              <w:jc w:val="right"/>
            </w:pPr>
            <w:r>
              <w:rPr>
                <w:rFonts w:ascii="Calibri" w:hAnsi="Calibri"/>
                <w:sz w:val="16"/>
              </w:rPr>
              <w:t>1</w:t>
            </w:r>
          </w:p>
        </w:tc>
        <w:tc>
          <w:tcPr>
            <w:tcW w:type="dxa" w:w="3211"/>
          </w:tcPr>
          <w:p>
            <w:pPr>
              <w:jc w:val="right"/>
            </w:pPr>
            <w:r>
              <w:rPr>
                <w:rFonts w:ascii="Calibri" w:hAnsi="Calibri"/>
                <w:sz w:val="16"/>
              </w:rPr>
              <w:t>2,0</w:t>
            </w:r>
          </w:p>
        </w:tc>
      </w:tr>
    </w:tbl>
    <w:p>
      <w:pPr>
        <w:jc w:val="both"/>
      </w:pPr>
      <w:r>
        <w:rPr>
          <w:sz w:val="22"/>
        </w:rPr>
        <w:t xml:space="preserve">Le </w:t>
      </w:r>
      <w:r>
        <w:rPr>
          <w:b/>
          <w:sz w:val="22"/>
        </w:rPr>
        <w:t>ramassage direct</w:t>
      </w:r>
      <w:r>
        <w:rPr>
          <w:sz w:val="22"/>
        </w:rPr>
        <w:t xml:space="preserve"> constitue la méthode de collecte dominante : cité par 98 % des ménages, il traduit le caractère de </w:t>
      </w:r>
      <w:r>
        <w:rPr>
          <w:b/>
          <w:sz w:val="22"/>
        </w:rPr>
        <w:t>cueillette</w:t>
      </w:r>
      <w:r>
        <w:rPr>
          <w:sz w:val="22"/>
        </w:rPr>
        <w:t xml:space="preserve"> de l'activité, et non de négoce. Un tiers des ménages (32,0 %) complètent ce ramassage par l'</w:t>
      </w:r>
      <w:r>
        <w:rPr>
          <w:b/>
          <w:sz w:val="22"/>
        </w:rPr>
        <w:t>achat auprès d'autres collecteurs</w:t>
      </w:r>
      <w:r>
        <w:rPr>
          <w:sz w:val="22"/>
        </w:rPr>
        <w:t>, stratégie de consolidation des volumes commercialisables lorsque la production propre est insuffisante ; le recours exclusif à l'achat demeure marginal (2,0 %).</w:t>
      </w:r>
    </w:p>
    <w:p>
      <w:pPr>
        <w:jc w:val="both"/>
      </w:pPr>
      <w:r>
        <w:rPr>
          <w:sz w:val="22"/>
        </w:rPr>
        <w:t>La collecte s'organise très majoritairement à l'</w:t>
      </w:r>
      <w:r>
        <w:rPr>
          <w:b/>
          <w:sz w:val="22"/>
        </w:rPr>
        <w:t>échelle familiale</w:t>
      </w:r>
      <w:r>
        <w:rPr>
          <w:sz w:val="22"/>
        </w:rPr>
        <w:t xml:space="preserve"> (86,0 %) plutôt qu'individuelle (14,0 %) : elle mobilise l'ensemble des membres du ménage, à l'exception des femmes enceintes et des enfants de moins de dix ans. Ce caractère familial, caractéristique des économies forestières d'Afrique centrale (Tchatat et al., 2002), fait de la collecte des PFNL une activité de complémentarité avec les autres travaux agricoles.</w:t>
      </w:r>
    </w:p>
    <w:p>
      <w:pPr>
        <w:jc w:val="both"/>
      </w:pPr>
      <w:r>
        <w:rPr>
          <w:sz w:val="22"/>
        </w:rPr>
        <w:t xml:space="preserve">Enfin, </w:t>
      </w:r>
      <w:r>
        <w:rPr>
          <w:b/>
          <w:sz w:val="22"/>
        </w:rPr>
        <w:t>28,0 % des ménages ont recours à une main-d'œuvre extérieure, exclusivement composée de Pygmées Baka</w:t>
      </w:r>
      <w:r>
        <w:rPr>
          <w:sz w:val="22"/>
        </w:rPr>
        <w:t xml:space="preserve">. Ce résultat éclaire une dimension socialement structurante et sensible de l'économie locale : les populations autochtones Baka interviennent fréquemment comme </w:t>
      </w:r>
      <w:r>
        <w:rPr>
          <w:b/>
          <w:sz w:val="22"/>
        </w:rPr>
        <w:t>prestataires de collecte</w:t>
      </w:r>
      <w:r>
        <w:rPr>
          <w:sz w:val="22"/>
        </w:rPr>
        <w:t xml:space="preserve"> pour le compte des ménages bantous, plutôt que comme collecteurs pour leur propre compte — configuration à mettre en regard de leur revenu PFNL significativement plus faible (section 3).</w:t>
      </w:r>
    </w:p>
    <w:p>
      <w:pPr>
        <w:keepNext/>
        <w:spacing w:before="240" w:after="120"/>
      </w:pPr>
      <w:r>
        <w:rPr>
          <w:rFonts w:ascii="Calibri" w:hAnsi="Calibri"/>
          <w:b/>
          <w:color w:val="0A1628"/>
          <w:sz w:val="28"/>
        </w:rPr>
        <w:t>3. Facteurs déterminant les revenus tirés des PFNL</w:t>
      </w:r>
    </w:p>
    <w:p>
      <w:pPr>
        <w:jc w:val="both"/>
      </w:pPr>
      <w:r>
        <w:rPr>
          <w:sz w:val="22"/>
        </w:rPr>
        <w:t xml:space="preserve">Le revenu PFNL total du ménage (somme des revenus des cinq PFNL majeurs) a été mis en relation avec dix facteurs socio-économiques et organisationnels. Les distributions de revenu étant fortement asymétriques (coefficient de variation de 71 %, valeurs extrêmes), des </w:t>
      </w:r>
      <w:r>
        <w:rPr>
          <w:b/>
          <w:sz w:val="22"/>
        </w:rPr>
        <w:t>tests non paramétriques</w:t>
      </w:r>
      <w:r>
        <w:rPr>
          <w:sz w:val="22"/>
        </w:rPr>
        <w:t xml:space="preserve"> ont été mobilisés — test de </w:t>
      </w:r>
      <w:r>
        <w:rPr>
          <w:b/>
          <w:sz w:val="22"/>
        </w:rPr>
        <w:t>Mann-Whitney</w:t>
      </w:r>
      <w:r>
        <w:rPr>
          <w:sz w:val="22"/>
        </w:rPr>
        <w:t xml:space="preserve"> (deux groupes), test de </w:t>
      </w:r>
      <w:r>
        <w:rPr>
          <w:b/>
          <w:sz w:val="22"/>
        </w:rPr>
        <w:t>Kruskal-Wallis</w:t>
      </w:r>
      <w:r>
        <w:rPr>
          <w:sz w:val="22"/>
        </w:rPr>
        <w:t xml:space="preserve"> (plus de deux groupes) suivi du post-hoc de </w:t>
      </w:r>
      <w:r>
        <w:rPr>
          <w:b/>
          <w:sz w:val="22"/>
        </w:rPr>
        <w:t>Dunn</w:t>
      </w:r>
      <w:r>
        <w:rPr>
          <w:sz w:val="22"/>
        </w:rPr>
        <w:t xml:space="preserve"> (correction de Bonferroni), et corrélation des rangs de </w:t>
      </w:r>
      <w:r>
        <w:rPr>
          <w:b/>
          <w:sz w:val="22"/>
        </w:rPr>
        <w:t>Spearman</w:t>
      </w:r>
      <w:r>
        <w:rPr>
          <w:sz w:val="22"/>
        </w:rPr>
        <w:t>. Ce choix est justifié par la non-normalité des données et la robustesse de ces tests sur petits effectifs.</w:t>
      </w:r>
    </w:p>
    <w:p>
      <w:pPr>
        <w:jc w:val="center"/>
      </w:pPr>
      <w:r>
        <w:drawing>
          <wp:inline xmlns:a="http://schemas.openxmlformats.org/drawingml/2006/main" xmlns:pic="http://schemas.openxmlformats.org/drawingml/2006/picture">
            <wp:extent cx="5760000" cy="3257854"/>
            <wp:docPr id="3" name="Picture 3"/>
            <wp:cNvGraphicFramePr>
              <a:graphicFrameLocks noChangeAspect="1"/>
            </wp:cNvGraphicFramePr>
            <a:graphic>
              <a:graphicData uri="http://schemas.openxmlformats.org/drawingml/2006/picture">
                <pic:pic>
                  <pic:nvPicPr>
                    <pic:cNvPr id="0" name="f_det_summary.png"/>
                    <pic:cNvPicPr/>
                  </pic:nvPicPr>
                  <pic:blipFill>
                    <a:blip r:embed="rId11"/>
                    <a:stretch>
                      <a:fillRect/>
                    </a:stretch>
                  </pic:blipFill>
                  <pic:spPr>
                    <a:xfrm>
                      <a:off x="0" y="0"/>
                      <a:ext cx="5760000" cy="3257854"/>
                    </a:xfrm>
                    <a:prstGeom prst="rect"/>
                  </pic:spPr>
                </pic:pic>
              </a:graphicData>
            </a:graphic>
          </wp:inline>
        </w:drawing>
      </w:r>
    </w:p>
    <w:p>
      <w:pPr>
        <w:spacing w:before="40"/>
        <w:jc w:val="center"/>
      </w:pPr>
      <w:r>
        <w:rPr>
          <w:rFonts w:ascii="Calibri" w:hAnsi="Calibri"/>
          <w:i/>
          <w:color w:val="64748B"/>
          <w:sz w:val="18"/>
        </w:rPr>
        <w:t>Figure 3. Déterminants du revenu PFNL classés par significativité (en vert : facteurs significatifs à p &lt; 0,05).</w:t>
      </w:r>
    </w:p>
    <w:p>
      <w:pPr>
        <w:keepNext/>
        <w:spacing w:before="160" w:after="40"/>
      </w:pPr>
      <w:r>
        <w:rPr>
          <w:rFonts w:ascii="Calibri" w:hAnsi="Calibri"/>
          <w:b/>
          <w:color w:val="0A1628"/>
          <w:sz w:val="19"/>
        </w:rPr>
        <w:t>Tableau 3. Facteurs déterminant le revenu PFNL : synthèse des tests statistiques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fill="0A1628"/>
          </w:tcPr>
          <w:p>
            <w:pPr>
              <w:jc w:val="center"/>
            </w:pPr>
            <w:r>
              <w:rPr>
                <w:rFonts w:ascii="Calibri" w:hAnsi="Calibri"/>
                <w:b/>
                <w:color w:val="FFFFFF"/>
                <w:sz w:val="17"/>
              </w:rPr>
              <w:t>Facteur</w:t>
            </w:r>
          </w:p>
        </w:tc>
        <w:tc>
          <w:tcPr>
            <w:tcW w:type="dxa" w:w="1926"/>
            <w:shd w:val="clear" w:fill="0A1628"/>
          </w:tcPr>
          <w:p>
            <w:pPr>
              <w:jc w:val="center"/>
            </w:pPr>
            <w:r>
              <w:rPr>
                <w:rFonts w:ascii="Calibri" w:hAnsi="Calibri"/>
                <w:b/>
                <w:color w:val="FFFFFF"/>
                <w:sz w:val="17"/>
              </w:rPr>
              <w:t>Test</w:t>
            </w:r>
          </w:p>
        </w:tc>
        <w:tc>
          <w:tcPr>
            <w:tcW w:type="dxa" w:w="1926"/>
            <w:shd w:val="clear" w:fill="0A1628"/>
          </w:tcPr>
          <w:p>
            <w:pPr>
              <w:jc w:val="center"/>
            </w:pPr>
            <w:r>
              <w:rPr>
                <w:rFonts w:ascii="Calibri" w:hAnsi="Calibri"/>
                <w:b/>
                <w:color w:val="FFFFFF"/>
                <w:sz w:val="17"/>
              </w:rPr>
              <w:t>Statistique</w:t>
            </w:r>
          </w:p>
        </w:tc>
        <w:tc>
          <w:tcPr>
            <w:tcW w:type="dxa" w:w="1926"/>
            <w:shd w:val="clear" w:fill="0A1628"/>
          </w:tcPr>
          <w:p>
            <w:pPr>
              <w:jc w:val="center"/>
            </w:pPr>
            <w:r>
              <w:rPr>
                <w:rFonts w:ascii="Calibri" w:hAnsi="Calibri"/>
                <w:b/>
                <w:color w:val="FFFFFF"/>
                <w:sz w:val="17"/>
              </w:rPr>
              <w:t>p</w:t>
            </w:r>
          </w:p>
        </w:tc>
        <w:tc>
          <w:tcPr>
            <w:tcW w:type="dxa" w:w="1926"/>
            <w:shd w:val="clear" w:fill="0A1628"/>
          </w:tcPr>
          <w:p>
            <w:pPr>
              <w:jc w:val="center"/>
            </w:pPr>
            <w:r>
              <w:rPr>
                <w:rFonts w:ascii="Calibri" w:hAnsi="Calibri"/>
                <w:b/>
                <w:color w:val="FFFFFF"/>
                <w:sz w:val="17"/>
              </w:rPr>
              <w:t>Conclusion</w:t>
            </w:r>
          </w:p>
        </w:tc>
      </w:tr>
      <w:tr>
        <w:tc>
          <w:tcPr>
            <w:tcW w:type="dxa" w:w="1926"/>
            <w:shd w:val="clear" w:fill="FDECD9"/>
          </w:tcPr>
          <w:p>
            <w:pPr>
              <w:jc w:val="left"/>
            </w:pPr>
            <w:r>
              <w:rPr>
                <w:rFonts w:ascii="Calibri" w:hAnsi="Calibri"/>
                <w:sz w:val="16"/>
              </w:rPr>
              <w:t>Ancienneté dans la collecte</w:t>
            </w:r>
          </w:p>
        </w:tc>
        <w:tc>
          <w:tcPr>
            <w:tcW w:type="dxa" w:w="1926"/>
            <w:shd w:val="clear" w:fill="FDECD9"/>
          </w:tcPr>
          <w:p>
            <w:pPr>
              <w:jc w:val="left"/>
            </w:pPr>
            <w:r>
              <w:rPr>
                <w:rFonts w:ascii="Calibri" w:hAnsi="Calibri"/>
                <w:sz w:val="16"/>
              </w:rPr>
              <w:t>Kruskal-Wallis</w:t>
            </w:r>
          </w:p>
        </w:tc>
        <w:tc>
          <w:tcPr>
            <w:tcW w:type="dxa" w:w="1926"/>
            <w:shd w:val="clear" w:fill="FDECD9"/>
          </w:tcPr>
          <w:p>
            <w:pPr>
              <w:jc w:val="right"/>
            </w:pPr>
            <w:r>
              <w:rPr>
                <w:rFonts w:ascii="Calibri" w:hAnsi="Calibri"/>
                <w:sz w:val="16"/>
              </w:rPr>
              <w:t>H = 27,23</w:t>
            </w:r>
          </w:p>
        </w:tc>
        <w:tc>
          <w:tcPr>
            <w:tcW w:type="dxa" w:w="1926"/>
            <w:shd w:val="clear" w:fill="FDECD9"/>
          </w:tcPr>
          <w:p>
            <w:pPr>
              <w:jc w:val="right"/>
            </w:pPr>
            <w:r>
              <w:rPr>
                <w:rFonts w:ascii="Calibri" w:hAnsi="Calibri"/>
                <w:sz w:val="16"/>
              </w:rPr>
              <w:t>&lt; 0,001</w:t>
            </w:r>
          </w:p>
        </w:tc>
        <w:tc>
          <w:tcPr>
            <w:tcW w:type="dxa" w:w="1926"/>
            <w:shd w:val="clear" w:fill="FDECD9"/>
          </w:tcPr>
          <w:p>
            <w:pPr>
              <w:jc w:val="left"/>
            </w:pPr>
            <w:r>
              <w:rPr>
                <w:rFonts w:ascii="Calibri" w:hAnsi="Calibri"/>
                <w:sz w:val="16"/>
              </w:rPr>
              <w:t>significatif</w:t>
            </w:r>
          </w:p>
        </w:tc>
      </w:tr>
      <w:tr>
        <w:tc>
          <w:tcPr>
            <w:tcW w:type="dxa" w:w="1926"/>
            <w:shd w:val="clear" w:fill="FDECD9"/>
          </w:tcPr>
          <w:p>
            <w:pPr>
              <w:jc w:val="left"/>
            </w:pPr>
            <w:r>
              <w:rPr>
                <w:rFonts w:ascii="Calibri" w:hAnsi="Calibri"/>
                <w:sz w:val="16"/>
              </w:rPr>
              <w:t>Nombre de PFNL collectés</w:t>
            </w:r>
          </w:p>
        </w:tc>
        <w:tc>
          <w:tcPr>
            <w:tcW w:type="dxa" w:w="1926"/>
            <w:shd w:val="clear" w:fill="FDECD9"/>
          </w:tcPr>
          <w:p>
            <w:pPr>
              <w:jc w:val="left"/>
            </w:pPr>
            <w:r>
              <w:rPr>
                <w:rFonts w:ascii="Calibri" w:hAnsi="Calibri"/>
                <w:sz w:val="16"/>
              </w:rPr>
              <w:t>Spearman</w:t>
            </w:r>
          </w:p>
        </w:tc>
        <w:tc>
          <w:tcPr>
            <w:tcW w:type="dxa" w:w="1926"/>
            <w:shd w:val="clear" w:fill="FDECD9"/>
          </w:tcPr>
          <w:p>
            <w:pPr>
              <w:jc w:val="right"/>
            </w:pPr>
            <w:r>
              <w:rPr>
                <w:rFonts w:ascii="Calibri" w:hAnsi="Calibri"/>
                <w:sz w:val="16"/>
              </w:rPr>
              <w:t>ρ = 0,524</w:t>
            </w:r>
          </w:p>
        </w:tc>
        <w:tc>
          <w:tcPr>
            <w:tcW w:type="dxa" w:w="1926"/>
            <w:shd w:val="clear" w:fill="FDECD9"/>
          </w:tcPr>
          <w:p>
            <w:pPr>
              <w:jc w:val="right"/>
            </w:pPr>
            <w:r>
              <w:rPr>
                <w:rFonts w:ascii="Calibri" w:hAnsi="Calibri"/>
                <w:sz w:val="16"/>
              </w:rPr>
              <w:t>&lt; 0,001</w:t>
            </w:r>
          </w:p>
        </w:tc>
        <w:tc>
          <w:tcPr>
            <w:tcW w:type="dxa" w:w="1926"/>
            <w:shd w:val="clear" w:fill="FDECD9"/>
          </w:tcPr>
          <w:p>
            <w:pPr>
              <w:jc w:val="left"/>
            </w:pPr>
            <w:r>
              <w:rPr>
                <w:rFonts w:ascii="Calibri" w:hAnsi="Calibri"/>
                <w:sz w:val="16"/>
              </w:rPr>
              <w:t>significatif</w:t>
            </w:r>
          </w:p>
        </w:tc>
      </w:tr>
      <w:tr>
        <w:tc>
          <w:tcPr>
            <w:tcW w:type="dxa" w:w="1926"/>
            <w:shd w:val="clear" w:fill="FDECD9"/>
          </w:tcPr>
          <w:p>
            <w:pPr>
              <w:jc w:val="left"/>
            </w:pPr>
            <w:r>
              <w:rPr>
                <w:rFonts w:ascii="Calibri" w:hAnsi="Calibri"/>
                <w:sz w:val="16"/>
              </w:rPr>
              <w:t>Groupe ethnique (Baka/Zimé)</w:t>
            </w:r>
          </w:p>
        </w:tc>
        <w:tc>
          <w:tcPr>
            <w:tcW w:type="dxa" w:w="1926"/>
            <w:shd w:val="clear" w:fill="FDECD9"/>
          </w:tcPr>
          <w:p>
            <w:pPr>
              <w:jc w:val="left"/>
            </w:pPr>
            <w:r>
              <w:rPr>
                <w:rFonts w:ascii="Calibri" w:hAnsi="Calibri"/>
                <w:sz w:val="16"/>
              </w:rPr>
              <w:t>Mann-Whitney</w:t>
            </w:r>
          </w:p>
        </w:tc>
        <w:tc>
          <w:tcPr>
            <w:tcW w:type="dxa" w:w="1926"/>
            <w:shd w:val="clear" w:fill="FDECD9"/>
          </w:tcPr>
          <w:p>
            <w:pPr>
              <w:jc w:val="right"/>
            </w:pPr>
            <w:r>
              <w:rPr>
                <w:rFonts w:ascii="Calibri" w:hAnsi="Calibri"/>
                <w:sz w:val="16"/>
              </w:rPr>
              <w:t>U = 16</w:t>
            </w:r>
          </w:p>
        </w:tc>
        <w:tc>
          <w:tcPr>
            <w:tcW w:type="dxa" w:w="1926"/>
            <w:shd w:val="clear" w:fill="FDECD9"/>
          </w:tcPr>
          <w:p>
            <w:pPr>
              <w:jc w:val="right"/>
            </w:pPr>
            <w:r>
              <w:rPr>
                <w:rFonts w:ascii="Calibri" w:hAnsi="Calibri"/>
                <w:sz w:val="16"/>
              </w:rPr>
              <w:t>0,003</w:t>
            </w:r>
          </w:p>
        </w:tc>
        <w:tc>
          <w:tcPr>
            <w:tcW w:type="dxa" w:w="1926"/>
            <w:shd w:val="clear" w:fill="FDECD9"/>
          </w:tcPr>
          <w:p>
            <w:pPr>
              <w:jc w:val="left"/>
            </w:pPr>
            <w:r>
              <w:rPr>
                <w:rFonts w:ascii="Calibri" w:hAnsi="Calibri"/>
                <w:sz w:val="16"/>
              </w:rPr>
              <w:t>significatif</w:t>
            </w:r>
          </w:p>
        </w:tc>
      </w:tr>
      <w:tr>
        <w:tc>
          <w:tcPr>
            <w:tcW w:type="dxa" w:w="1926"/>
            <w:shd w:val="clear" w:fill="FDECD9"/>
          </w:tcPr>
          <w:p>
            <w:pPr>
              <w:jc w:val="left"/>
            </w:pPr>
            <w:r>
              <w:rPr>
                <w:rFonts w:ascii="Calibri" w:hAnsi="Calibri"/>
                <w:sz w:val="16"/>
              </w:rPr>
              <w:t>Appartenance au GIC</w:t>
            </w:r>
          </w:p>
        </w:tc>
        <w:tc>
          <w:tcPr>
            <w:tcW w:type="dxa" w:w="1926"/>
            <w:shd w:val="clear" w:fill="FDECD9"/>
          </w:tcPr>
          <w:p>
            <w:pPr>
              <w:jc w:val="left"/>
            </w:pPr>
            <w:r>
              <w:rPr>
                <w:rFonts w:ascii="Calibri" w:hAnsi="Calibri"/>
                <w:sz w:val="16"/>
              </w:rPr>
              <w:t>Kruskal-Wallis</w:t>
            </w:r>
          </w:p>
        </w:tc>
        <w:tc>
          <w:tcPr>
            <w:tcW w:type="dxa" w:w="1926"/>
            <w:shd w:val="clear" w:fill="FDECD9"/>
          </w:tcPr>
          <w:p>
            <w:pPr>
              <w:jc w:val="right"/>
            </w:pPr>
            <w:r>
              <w:rPr>
                <w:rFonts w:ascii="Calibri" w:hAnsi="Calibri"/>
                <w:sz w:val="16"/>
              </w:rPr>
              <w:t>H = 11,14</w:t>
            </w:r>
          </w:p>
        </w:tc>
        <w:tc>
          <w:tcPr>
            <w:tcW w:type="dxa" w:w="1926"/>
            <w:shd w:val="clear" w:fill="FDECD9"/>
          </w:tcPr>
          <w:p>
            <w:pPr>
              <w:jc w:val="right"/>
            </w:pPr>
            <w:r>
              <w:rPr>
                <w:rFonts w:ascii="Calibri" w:hAnsi="Calibri"/>
                <w:sz w:val="16"/>
              </w:rPr>
              <w:t>0,011</w:t>
            </w:r>
          </w:p>
        </w:tc>
        <w:tc>
          <w:tcPr>
            <w:tcW w:type="dxa" w:w="1926"/>
            <w:shd w:val="clear" w:fill="FDECD9"/>
          </w:tcPr>
          <w:p>
            <w:pPr>
              <w:jc w:val="left"/>
            </w:pPr>
            <w:r>
              <w:rPr>
                <w:rFonts w:ascii="Calibri" w:hAnsi="Calibri"/>
                <w:sz w:val="16"/>
              </w:rPr>
              <w:t>significatif</w:t>
            </w:r>
          </w:p>
        </w:tc>
      </w:tr>
      <w:tr>
        <w:tc>
          <w:tcPr>
            <w:tcW w:type="dxa" w:w="1926"/>
            <w:shd w:val="clear" w:fill="FDECD9"/>
          </w:tcPr>
          <w:p>
            <w:pPr>
              <w:jc w:val="left"/>
            </w:pPr>
            <w:r>
              <w:rPr>
                <w:rFonts w:ascii="Calibri" w:hAnsi="Calibri"/>
                <w:sz w:val="16"/>
              </w:rPr>
              <w:t>Lieux de collecte</w:t>
            </w:r>
          </w:p>
        </w:tc>
        <w:tc>
          <w:tcPr>
            <w:tcW w:type="dxa" w:w="1926"/>
            <w:shd w:val="clear" w:fill="FDECD9"/>
          </w:tcPr>
          <w:p>
            <w:pPr>
              <w:jc w:val="left"/>
            </w:pPr>
            <w:r>
              <w:rPr>
                <w:rFonts w:ascii="Calibri" w:hAnsi="Calibri"/>
                <w:sz w:val="16"/>
              </w:rPr>
              <w:t>Kruskal-Wallis</w:t>
            </w:r>
          </w:p>
        </w:tc>
        <w:tc>
          <w:tcPr>
            <w:tcW w:type="dxa" w:w="1926"/>
            <w:shd w:val="clear" w:fill="FDECD9"/>
          </w:tcPr>
          <w:p>
            <w:pPr>
              <w:jc w:val="right"/>
            </w:pPr>
            <w:r>
              <w:rPr>
                <w:rFonts w:ascii="Calibri" w:hAnsi="Calibri"/>
                <w:sz w:val="16"/>
              </w:rPr>
              <w:t>H = 6,00</w:t>
            </w:r>
          </w:p>
        </w:tc>
        <w:tc>
          <w:tcPr>
            <w:tcW w:type="dxa" w:w="1926"/>
            <w:shd w:val="clear" w:fill="FDECD9"/>
          </w:tcPr>
          <w:p>
            <w:pPr>
              <w:jc w:val="right"/>
            </w:pPr>
            <w:r>
              <w:rPr>
                <w:rFonts w:ascii="Calibri" w:hAnsi="Calibri"/>
                <w:sz w:val="16"/>
              </w:rPr>
              <w:t>0,050</w:t>
            </w:r>
          </w:p>
        </w:tc>
        <w:tc>
          <w:tcPr>
            <w:tcW w:type="dxa" w:w="1926"/>
            <w:shd w:val="clear" w:fill="FDECD9"/>
          </w:tcPr>
          <w:p>
            <w:pPr>
              <w:jc w:val="left"/>
            </w:pPr>
            <w:r>
              <w:rPr>
                <w:rFonts w:ascii="Calibri" w:hAnsi="Calibri"/>
                <w:sz w:val="16"/>
              </w:rPr>
              <w:t>significatif</w:t>
            </w:r>
          </w:p>
        </w:tc>
      </w:tr>
      <w:tr>
        <w:tc>
          <w:tcPr>
            <w:tcW w:type="dxa" w:w="1926"/>
            <w:shd w:val="clear" w:fill="F1F5F9"/>
          </w:tcPr>
          <w:p>
            <w:pPr>
              <w:jc w:val="left"/>
            </w:pPr>
            <w:r>
              <w:rPr>
                <w:rFonts w:ascii="Calibri" w:hAnsi="Calibri"/>
                <w:sz w:val="16"/>
              </w:rPr>
              <w:t>Recours à une main-d'œuvre extérieure</w:t>
            </w:r>
          </w:p>
        </w:tc>
        <w:tc>
          <w:tcPr>
            <w:tcW w:type="dxa" w:w="1926"/>
            <w:shd w:val="clear" w:fill="F1F5F9"/>
          </w:tcPr>
          <w:p>
            <w:pPr>
              <w:jc w:val="left"/>
            </w:pPr>
            <w:r>
              <w:rPr>
                <w:rFonts w:ascii="Calibri" w:hAnsi="Calibri"/>
                <w:sz w:val="16"/>
              </w:rPr>
              <w:t>Mann-Whitney</w:t>
            </w:r>
          </w:p>
        </w:tc>
        <w:tc>
          <w:tcPr>
            <w:tcW w:type="dxa" w:w="1926"/>
            <w:shd w:val="clear" w:fill="F1F5F9"/>
          </w:tcPr>
          <w:p>
            <w:pPr>
              <w:jc w:val="right"/>
            </w:pPr>
            <w:r>
              <w:rPr>
                <w:rFonts w:ascii="Calibri" w:hAnsi="Calibri"/>
                <w:sz w:val="16"/>
              </w:rPr>
              <w:t>U = 326</w:t>
            </w:r>
          </w:p>
        </w:tc>
        <w:tc>
          <w:tcPr>
            <w:tcW w:type="dxa" w:w="1926"/>
            <w:shd w:val="clear" w:fill="F1F5F9"/>
          </w:tcPr>
          <w:p>
            <w:pPr>
              <w:jc w:val="right"/>
            </w:pPr>
            <w:r>
              <w:rPr>
                <w:rFonts w:ascii="Calibri" w:hAnsi="Calibri"/>
                <w:sz w:val="16"/>
              </w:rPr>
              <w:t>0,115</w:t>
            </w:r>
          </w:p>
        </w:tc>
        <w:tc>
          <w:tcPr>
            <w:tcW w:type="dxa" w:w="1926"/>
            <w:shd w:val="clear" w:fill="F1F5F9"/>
          </w:tcPr>
          <w:p>
            <w:pPr>
              <w:jc w:val="left"/>
            </w:pPr>
            <w:r>
              <w:rPr>
                <w:rFonts w:ascii="Calibri" w:hAnsi="Calibri"/>
                <w:sz w:val="16"/>
              </w:rPr>
              <w:t>non significatif</w:t>
            </w:r>
          </w:p>
        </w:tc>
      </w:tr>
      <w:tr>
        <w:tc>
          <w:tcPr>
            <w:tcW w:type="dxa" w:w="1926"/>
          </w:tcPr>
          <w:p>
            <w:pPr>
              <w:jc w:val="left"/>
            </w:pPr>
            <w:r>
              <w:rPr>
                <w:rFonts w:ascii="Calibri" w:hAnsi="Calibri"/>
                <w:sz w:val="16"/>
              </w:rPr>
              <w:t>Collecte en UFA</w:t>
            </w:r>
          </w:p>
        </w:tc>
        <w:tc>
          <w:tcPr>
            <w:tcW w:type="dxa" w:w="1926"/>
          </w:tcPr>
          <w:p>
            <w:pPr>
              <w:jc w:val="left"/>
            </w:pPr>
            <w:r>
              <w:rPr>
                <w:rFonts w:ascii="Calibri" w:hAnsi="Calibri"/>
                <w:sz w:val="16"/>
              </w:rPr>
              <w:t>Mann-Whitney</w:t>
            </w:r>
          </w:p>
        </w:tc>
        <w:tc>
          <w:tcPr>
            <w:tcW w:type="dxa" w:w="1926"/>
          </w:tcPr>
          <w:p>
            <w:pPr>
              <w:jc w:val="right"/>
            </w:pPr>
            <w:r>
              <w:rPr>
                <w:rFonts w:ascii="Calibri" w:hAnsi="Calibri"/>
                <w:sz w:val="16"/>
              </w:rPr>
              <w:t>U = 366</w:t>
            </w:r>
          </w:p>
        </w:tc>
        <w:tc>
          <w:tcPr>
            <w:tcW w:type="dxa" w:w="1926"/>
          </w:tcPr>
          <w:p>
            <w:pPr>
              <w:jc w:val="right"/>
            </w:pPr>
            <w:r>
              <w:rPr>
                <w:rFonts w:ascii="Calibri" w:hAnsi="Calibri"/>
                <w:sz w:val="16"/>
              </w:rPr>
              <w:t>0,294</w:t>
            </w:r>
          </w:p>
        </w:tc>
        <w:tc>
          <w:tcPr>
            <w:tcW w:type="dxa" w:w="1926"/>
          </w:tcPr>
          <w:p>
            <w:pPr>
              <w:jc w:val="left"/>
            </w:pPr>
            <w:r>
              <w:rPr>
                <w:rFonts w:ascii="Calibri" w:hAnsi="Calibri"/>
                <w:sz w:val="16"/>
              </w:rPr>
              <w:t>non significatif</w:t>
            </w:r>
          </w:p>
        </w:tc>
      </w:tr>
      <w:tr>
        <w:tc>
          <w:tcPr>
            <w:tcW w:type="dxa" w:w="1926"/>
            <w:shd w:val="clear" w:fill="F1F5F9"/>
          </w:tcPr>
          <w:p>
            <w:pPr>
              <w:jc w:val="left"/>
            </w:pPr>
            <w:r>
              <w:rPr>
                <w:rFonts w:ascii="Calibri" w:hAnsi="Calibri"/>
                <w:sz w:val="16"/>
              </w:rPr>
              <w:t>Sexe de l'enquêté</w:t>
            </w:r>
          </w:p>
        </w:tc>
        <w:tc>
          <w:tcPr>
            <w:tcW w:type="dxa" w:w="1926"/>
            <w:shd w:val="clear" w:fill="F1F5F9"/>
          </w:tcPr>
          <w:p>
            <w:pPr>
              <w:jc w:val="left"/>
            </w:pPr>
            <w:r>
              <w:rPr>
                <w:rFonts w:ascii="Calibri" w:hAnsi="Calibri"/>
                <w:sz w:val="16"/>
              </w:rPr>
              <w:t>Mann-Whitney</w:t>
            </w:r>
          </w:p>
        </w:tc>
        <w:tc>
          <w:tcPr>
            <w:tcW w:type="dxa" w:w="1926"/>
            <w:shd w:val="clear" w:fill="F1F5F9"/>
          </w:tcPr>
          <w:p>
            <w:pPr>
              <w:jc w:val="right"/>
            </w:pPr>
            <w:r>
              <w:rPr>
                <w:rFonts w:ascii="Calibri" w:hAnsi="Calibri"/>
                <w:sz w:val="16"/>
              </w:rPr>
              <w:t>U = 322</w:t>
            </w:r>
          </w:p>
        </w:tc>
        <w:tc>
          <w:tcPr>
            <w:tcW w:type="dxa" w:w="1926"/>
            <w:shd w:val="clear" w:fill="F1F5F9"/>
          </w:tcPr>
          <w:p>
            <w:pPr>
              <w:jc w:val="right"/>
            </w:pPr>
            <w:r>
              <w:rPr>
                <w:rFonts w:ascii="Calibri" w:hAnsi="Calibri"/>
                <w:sz w:val="16"/>
              </w:rPr>
              <w:t>0,133</w:t>
            </w:r>
          </w:p>
        </w:tc>
        <w:tc>
          <w:tcPr>
            <w:tcW w:type="dxa" w:w="1926"/>
            <w:shd w:val="clear" w:fill="F1F5F9"/>
          </w:tcPr>
          <w:p>
            <w:pPr>
              <w:jc w:val="left"/>
            </w:pPr>
            <w:r>
              <w:rPr>
                <w:rFonts w:ascii="Calibri" w:hAnsi="Calibri"/>
                <w:sz w:val="16"/>
              </w:rPr>
              <w:t>non significatif</w:t>
            </w:r>
          </w:p>
        </w:tc>
      </w:tr>
      <w:tr>
        <w:tc>
          <w:tcPr>
            <w:tcW w:type="dxa" w:w="1926"/>
          </w:tcPr>
          <w:p>
            <w:pPr>
              <w:jc w:val="left"/>
            </w:pPr>
            <w:r>
              <w:rPr>
                <w:rFonts w:ascii="Calibri" w:hAnsi="Calibri"/>
                <w:sz w:val="16"/>
              </w:rPr>
              <w:t>Niveau d'instruction</w:t>
            </w:r>
          </w:p>
        </w:tc>
        <w:tc>
          <w:tcPr>
            <w:tcW w:type="dxa" w:w="1926"/>
          </w:tcPr>
          <w:p>
            <w:pPr>
              <w:jc w:val="left"/>
            </w:pPr>
            <w:r>
              <w:rPr>
                <w:rFonts w:ascii="Calibri" w:hAnsi="Calibri"/>
                <w:sz w:val="16"/>
              </w:rPr>
              <w:t>Kruskal-Wallis</w:t>
            </w:r>
          </w:p>
        </w:tc>
        <w:tc>
          <w:tcPr>
            <w:tcW w:type="dxa" w:w="1926"/>
          </w:tcPr>
          <w:p>
            <w:pPr>
              <w:jc w:val="right"/>
            </w:pPr>
            <w:r>
              <w:rPr>
                <w:rFonts w:ascii="Calibri" w:hAnsi="Calibri"/>
                <w:sz w:val="16"/>
              </w:rPr>
              <w:t>H = 1,74</w:t>
            </w:r>
          </w:p>
        </w:tc>
        <w:tc>
          <w:tcPr>
            <w:tcW w:type="dxa" w:w="1926"/>
          </w:tcPr>
          <w:p>
            <w:pPr>
              <w:jc w:val="right"/>
            </w:pPr>
            <w:r>
              <w:rPr>
                <w:rFonts w:ascii="Calibri" w:hAnsi="Calibri"/>
                <w:sz w:val="16"/>
              </w:rPr>
              <w:t>0,629</w:t>
            </w:r>
          </w:p>
        </w:tc>
        <w:tc>
          <w:tcPr>
            <w:tcW w:type="dxa" w:w="1926"/>
          </w:tcPr>
          <w:p>
            <w:pPr>
              <w:jc w:val="left"/>
            </w:pPr>
            <w:r>
              <w:rPr>
                <w:rFonts w:ascii="Calibri" w:hAnsi="Calibri"/>
                <w:sz w:val="16"/>
              </w:rPr>
              <w:t>non significatif</w:t>
            </w:r>
          </w:p>
        </w:tc>
      </w:tr>
      <w:tr>
        <w:tc>
          <w:tcPr>
            <w:tcW w:type="dxa" w:w="1926"/>
            <w:shd w:val="clear" w:fill="F1F5F9"/>
          </w:tcPr>
          <w:p>
            <w:pPr>
              <w:jc w:val="left"/>
            </w:pPr>
            <w:r>
              <w:rPr>
                <w:rFonts w:ascii="Calibri" w:hAnsi="Calibri"/>
                <w:sz w:val="16"/>
              </w:rPr>
              <w:t>Taille du ménage</w:t>
            </w:r>
          </w:p>
        </w:tc>
        <w:tc>
          <w:tcPr>
            <w:tcW w:type="dxa" w:w="1926"/>
            <w:shd w:val="clear" w:fill="F1F5F9"/>
          </w:tcPr>
          <w:p>
            <w:pPr>
              <w:jc w:val="left"/>
            </w:pPr>
            <w:r>
              <w:rPr>
                <w:rFonts w:ascii="Calibri" w:hAnsi="Calibri"/>
                <w:sz w:val="16"/>
              </w:rPr>
              <w:t>Kruskal-Wallis</w:t>
            </w:r>
          </w:p>
        </w:tc>
        <w:tc>
          <w:tcPr>
            <w:tcW w:type="dxa" w:w="1926"/>
            <w:shd w:val="clear" w:fill="F1F5F9"/>
          </w:tcPr>
          <w:p>
            <w:pPr>
              <w:jc w:val="right"/>
            </w:pPr>
            <w:r>
              <w:rPr>
                <w:rFonts w:ascii="Calibri" w:hAnsi="Calibri"/>
                <w:sz w:val="16"/>
              </w:rPr>
              <w:t>H = 0,10</w:t>
            </w:r>
          </w:p>
        </w:tc>
        <w:tc>
          <w:tcPr>
            <w:tcW w:type="dxa" w:w="1926"/>
            <w:shd w:val="clear" w:fill="F1F5F9"/>
          </w:tcPr>
          <w:p>
            <w:pPr>
              <w:jc w:val="right"/>
            </w:pPr>
            <w:r>
              <w:rPr>
                <w:rFonts w:ascii="Calibri" w:hAnsi="Calibri"/>
                <w:sz w:val="16"/>
              </w:rPr>
              <w:t>0,992</w:t>
            </w:r>
          </w:p>
        </w:tc>
        <w:tc>
          <w:tcPr>
            <w:tcW w:type="dxa" w:w="1926"/>
            <w:shd w:val="clear" w:fill="F1F5F9"/>
          </w:tcPr>
          <w:p>
            <w:pPr>
              <w:jc w:val="left"/>
            </w:pPr>
            <w:r>
              <w:rPr>
                <w:rFonts w:ascii="Calibri" w:hAnsi="Calibri"/>
                <w:sz w:val="16"/>
              </w:rPr>
              <w:t>non significatif</w:t>
            </w:r>
          </w:p>
        </w:tc>
      </w:tr>
    </w:tbl>
    <w:p>
      <w:pPr>
        <w:keepNext/>
        <w:spacing w:before="180" w:after="80"/>
      </w:pPr>
      <w:r>
        <w:rPr>
          <w:rFonts w:ascii="Calibri" w:hAnsi="Calibri"/>
          <w:b/>
          <w:color w:val="0A8A75"/>
          <w:sz w:val="24"/>
        </w:rPr>
        <w:t>Facteurs significatifs</w:t>
      </w:r>
    </w:p>
    <w:p>
      <w:pPr>
        <w:jc w:val="center"/>
      </w:pPr>
      <w:r>
        <w:drawing>
          <wp:inline xmlns:a="http://schemas.openxmlformats.org/drawingml/2006/main" xmlns:pic="http://schemas.openxmlformats.org/drawingml/2006/picture">
            <wp:extent cx="4860000" cy="3304800"/>
            <wp:docPr id="4" name="Picture 4"/>
            <wp:cNvGraphicFramePr>
              <a:graphicFrameLocks noChangeAspect="1"/>
            </wp:cNvGraphicFramePr>
            <a:graphic>
              <a:graphicData uri="http://schemas.openxmlformats.org/drawingml/2006/picture">
                <pic:pic>
                  <pic:nvPicPr>
                    <pic:cNvPr id="0" name="fig08_revenu_anciennete.png"/>
                    <pic:cNvPicPr/>
                  </pic:nvPicPr>
                  <pic:blipFill>
                    <a:blip r:embed="rId12"/>
                    <a:stretch>
                      <a:fillRect/>
                    </a:stretch>
                  </pic:blipFill>
                  <pic:spPr>
                    <a:xfrm>
                      <a:off x="0" y="0"/>
                      <a:ext cx="4860000" cy="3304800"/>
                    </a:xfrm>
                    <a:prstGeom prst="rect"/>
                  </pic:spPr>
                </pic:pic>
              </a:graphicData>
            </a:graphic>
          </wp:inline>
        </w:drawing>
      </w:r>
    </w:p>
    <w:p>
      <w:pPr>
        <w:spacing w:before="40"/>
        <w:jc w:val="center"/>
      </w:pPr>
      <w:r>
        <w:rPr>
          <w:rFonts w:ascii="Calibri" w:hAnsi="Calibri"/>
          <w:i/>
          <w:color w:val="64748B"/>
          <w:sz w:val="18"/>
        </w:rPr>
        <w:t>Figure 4. Revenu PFNL total selon l'ancienneté dans la collecte.</w:t>
      </w:r>
    </w:p>
    <w:p>
      <w:pPr>
        <w:jc w:val="both"/>
      </w:pPr>
      <w:r>
        <w:rPr>
          <w:b/>
          <w:sz w:val="22"/>
        </w:rPr>
        <w:t>L'ancienneté dans la collecte</w:t>
      </w:r>
      <w:r>
        <w:rPr>
          <w:sz w:val="22"/>
        </w:rPr>
        <w:t xml:space="preserve"> est le déterminant le plus puissant (H = 27,2 ; p &lt; 0,001), selon un </w:t>
      </w:r>
      <w:r>
        <w:rPr>
          <w:b/>
          <w:sz w:val="22"/>
        </w:rPr>
        <w:t>effet de seuil</w:t>
      </w:r>
      <w:r>
        <w:rPr>
          <w:sz w:val="22"/>
        </w:rPr>
        <w:t xml:space="preserve"> marqué : les ménages ayant moins de cinq ans d'expérience perçoivent un revenu très inférieur (155 700 FCFA) à celui de toutes les autres classes (776 643 à 753 346 FCFA). Ce seuil traduit un temps d'apprentissage et d'insertion — maîtrise des sites, des calendriers phénologiques et des réseaux d'acheteurs — d'environ cinq ans, en deçà duquel la valorisation demeure marginale.</w:t>
      </w:r>
    </w:p>
    <w:p>
      <w:pPr>
        <w:jc w:val="both"/>
      </w:pPr>
      <w:r>
        <w:rPr>
          <w:b/>
          <w:sz w:val="22"/>
        </w:rPr>
        <w:t>Le nombre de PFNL collectés</w:t>
      </w:r>
      <w:r>
        <w:rPr>
          <w:sz w:val="22"/>
        </w:rPr>
        <w:t xml:space="preserve"> est positivement et significativement corrélé au revenu (Spearman ρ = 0,524 ; p &lt; 0,001) : les ménages qui </w:t>
      </w:r>
      <w:r>
        <w:rPr>
          <w:b/>
          <w:sz w:val="22"/>
        </w:rPr>
        <w:t>diversifient leur panier</w:t>
      </w:r>
      <w:r>
        <w:rPr>
          <w:sz w:val="22"/>
        </w:rPr>
        <w:t xml:space="preserve"> de collecte perçoivent des revenus supérieurs. Cette relation fournit un argument empirique en faveur des politiques encourageant la valorisation simultanée de plusieurs PFNL plutôt que la spécialisation.</w:t>
      </w:r>
    </w:p>
    <w:p>
      <w:pPr>
        <w:jc w:val="both"/>
      </w:pPr>
      <w:r>
        <w:rPr>
          <w:b/>
          <w:sz w:val="22"/>
        </w:rPr>
        <w:t>Le groupe ethnique</w:t>
      </w:r>
      <w:r>
        <w:rPr>
          <w:sz w:val="22"/>
        </w:rPr>
        <w:t xml:space="preserve"> distingue significativement les ménages Baka (100 500 FCFA, n = 5) des ménages Zimé (562 618 FCFA, n = 38 ; U = 16 ; p = 0,003). À interpréter avec prudence compte tenu du faible effectif Baka, ce résultat converge avec l'organisation de la collecte : les Baka interviennent surtout comme prestataires de main-d'œuvre, ce qui limite leur revenu PFNL propre et pose une </w:t>
      </w:r>
      <w:r>
        <w:rPr>
          <w:b/>
          <w:sz w:val="22"/>
        </w:rPr>
        <w:t>question d'équité</w:t>
      </w:r>
      <w:r>
        <w:rPr>
          <w:sz w:val="22"/>
        </w:rPr>
        <w:t xml:space="preserve"> dans la répartition des bénéfices de la filière.</w:t>
      </w:r>
    </w:p>
    <w:p>
      <w:pPr>
        <w:jc w:val="center"/>
      </w:pPr>
      <w:r>
        <w:drawing>
          <wp:inline xmlns:a="http://schemas.openxmlformats.org/drawingml/2006/main" xmlns:pic="http://schemas.openxmlformats.org/drawingml/2006/picture">
            <wp:extent cx="5760000" cy="2826357"/>
            <wp:docPr id="5" name="Picture 5"/>
            <wp:cNvGraphicFramePr>
              <a:graphicFrameLocks noChangeAspect="1"/>
            </wp:cNvGraphicFramePr>
            <a:graphic>
              <a:graphicData uri="http://schemas.openxmlformats.org/drawingml/2006/picture">
                <pic:pic>
                  <pic:nvPicPr>
                    <pic:cNvPr id="0" name="f_det_gic_lieux.png"/>
                    <pic:cNvPicPr/>
                  </pic:nvPicPr>
                  <pic:blipFill>
                    <a:blip r:embed="rId13"/>
                    <a:stretch>
                      <a:fillRect/>
                    </a:stretch>
                  </pic:blipFill>
                  <pic:spPr>
                    <a:xfrm>
                      <a:off x="0" y="0"/>
                      <a:ext cx="5760000" cy="2826357"/>
                    </a:xfrm>
                    <a:prstGeom prst="rect"/>
                  </pic:spPr>
                </pic:pic>
              </a:graphicData>
            </a:graphic>
          </wp:inline>
        </w:drawing>
      </w:r>
    </w:p>
    <w:p>
      <w:pPr>
        <w:spacing w:before="40"/>
        <w:jc w:val="center"/>
      </w:pPr>
      <w:r>
        <w:rPr>
          <w:rFonts w:ascii="Calibri" w:hAnsi="Calibri"/>
          <w:i/>
          <w:color w:val="64748B"/>
          <w:sz w:val="18"/>
        </w:rPr>
        <w:t>Figure 5. Revenu PFNL total selon le GIC (à gauche) et les lieux de collecte (à droite).</w:t>
      </w:r>
    </w:p>
    <w:p>
      <w:pPr>
        <w:jc w:val="both"/>
      </w:pPr>
      <w:r>
        <w:rPr>
          <w:b/>
          <w:sz w:val="22"/>
        </w:rPr>
        <w:t>L'appartenance au GIC</w:t>
      </w:r>
      <w:r>
        <w:rPr>
          <w:sz w:val="22"/>
        </w:rPr>
        <w:t xml:space="preserve"> influence significativement le revenu (H = 11,14 ; p = 0,011). Les ménages du GIC </w:t>
      </w:r>
      <w:r>
        <w:rPr>
          <w:b/>
          <w:sz w:val="22"/>
        </w:rPr>
        <w:t>PLACKO</w:t>
      </w:r>
      <w:r>
        <w:rPr>
          <w:sz w:val="22"/>
        </w:rPr>
        <w:t xml:space="preserve"> — structure de planteurs de cacao bien organisée de Kongo — enregistrent le revenu le plus élevé (815 036 FCFA), significativement supérieur à celui de l'Association </w:t>
      </w:r>
      <w:r>
        <w:rPr>
          <w:b/>
          <w:sz w:val="22"/>
        </w:rPr>
        <w:t>Femmes Dynamiques</w:t>
      </w:r>
      <w:r>
        <w:rPr>
          <w:sz w:val="22"/>
        </w:rPr>
        <w:t xml:space="preserve"> (252 750 FCFA ; Dunn p = 0,029). Ce gradient souligne le rôle de l'</w:t>
      </w:r>
      <w:r>
        <w:rPr>
          <w:b/>
          <w:sz w:val="22"/>
        </w:rPr>
        <w:t>organisation collective</w:t>
      </w:r>
      <w:r>
        <w:rPr>
          <w:sz w:val="22"/>
        </w:rPr>
        <w:t xml:space="preserve"> et de l'ancrage dans une dynamique cacaoyère structurée dans la performance de valorisation des PFNL.</w:t>
      </w:r>
    </w:p>
    <w:p>
      <w:pPr>
        <w:jc w:val="both"/>
      </w:pPr>
      <w:r>
        <w:rPr>
          <w:sz w:val="22"/>
        </w:rPr>
        <w:t xml:space="preserve">Enfin, </w:t>
      </w:r>
      <w:r>
        <w:rPr>
          <w:b/>
          <w:sz w:val="22"/>
        </w:rPr>
        <w:t>les lieux de collecte</w:t>
      </w:r>
      <w:r>
        <w:rPr>
          <w:sz w:val="22"/>
        </w:rPr>
        <w:t xml:space="preserve"> discriminent le revenu (H = 6,00 ; p = 0,050) : les ménages qui exploitent à la fois le </w:t>
      </w:r>
      <w:r>
        <w:rPr>
          <w:b/>
          <w:sz w:val="22"/>
        </w:rPr>
        <w:t>village et la forêt</w:t>
      </w:r>
      <w:r>
        <w:rPr>
          <w:sz w:val="22"/>
        </w:rPr>
        <w:t xml:space="preserve"> (651 762 FCFA) tirent un revenu significativement supérieur à ceux qui se limitent au </w:t>
      </w:r>
      <w:r>
        <w:rPr>
          <w:b/>
          <w:sz w:val="22"/>
        </w:rPr>
        <w:t>village</w:t>
      </w:r>
      <w:r>
        <w:rPr>
          <w:sz w:val="22"/>
        </w:rPr>
        <w:t xml:space="preserve"> (264 571 FCFA ; Dunn p = 0,045). L'accès à la ressource forestière — au-delà des seuls arbres reliques des champs et jachères — apparaît donc comme un levier de revenu.</w:t>
      </w:r>
    </w:p>
    <w:p>
      <w:pPr>
        <w:keepNext/>
        <w:spacing w:before="180" w:after="80"/>
      </w:pPr>
      <w:r>
        <w:rPr>
          <w:rFonts w:ascii="Calibri" w:hAnsi="Calibri"/>
          <w:b/>
          <w:color w:val="0A8A75"/>
          <w:sz w:val="24"/>
        </w:rPr>
        <w:t>Facteurs non significatifs</w:t>
      </w:r>
    </w:p>
    <w:p>
      <w:pPr>
        <w:jc w:val="both"/>
      </w:pPr>
      <w:r>
        <w:rPr>
          <w:sz w:val="22"/>
        </w:rPr>
        <w:t xml:space="preserve">À l'inverse, </w:t>
      </w:r>
      <w:r>
        <w:rPr>
          <w:b/>
          <w:sz w:val="22"/>
        </w:rPr>
        <w:t>le sexe</w:t>
      </w:r>
      <w:r>
        <w:rPr>
          <w:sz w:val="22"/>
        </w:rPr>
        <w:t xml:space="preserve"> de l'enquêté (p = 0,133), la </w:t>
      </w:r>
      <w:r>
        <w:rPr>
          <w:b/>
          <w:sz w:val="22"/>
        </w:rPr>
        <w:t>taille du ménage</w:t>
      </w:r>
      <w:r>
        <w:rPr>
          <w:sz w:val="22"/>
        </w:rPr>
        <w:t xml:space="preserve"> (p = 0,992), le </w:t>
      </w:r>
      <w:r>
        <w:rPr>
          <w:b/>
          <w:sz w:val="22"/>
        </w:rPr>
        <w:t>niveau d'instruction</w:t>
      </w:r>
      <w:r>
        <w:rPr>
          <w:sz w:val="22"/>
        </w:rPr>
        <w:t xml:space="preserve"> (p = 0,629), le </w:t>
      </w:r>
      <w:r>
        <w:rPr>
          <w:b/>
          <w:sz w:val="22"/>
        </w:rPr>
        <w:t>recours à une main-d'œuvre extérieure</w:t>
      </w:r>
      <w:r>
        <w:rPr>
          <w:sz w:val="22"/>
        </w:rPr>
        <w:t xml:space="preserve"> (p = 0,115, quoique tendanciellement associé à un revenu plus élevé) et la </w:t>
      </w:r>
      <w:r>
        <w:rPr>
          <w:b/>
          <w:sz w:val="22"/>
        </w:rPr>
        <w:t>collecte en UFA</w:t>
      </w:r>
      <w:r>
        <w:rPr>
          <w:sz w:val="22"/>
        </w:rPr>
        <w:t xml:space="preserve"> (p = 0,294) ne sont pas significativement associés au revenu PFNL. Ces résultats confirment que la collecte des PFNL est une </w:t>
      </w:r>
      <w:r>
        <w:rPr>
          <w:b/>
          <w:sz w:val="22"/>
        </w:rPr>
        <w:t>activité à faible barrière technique</w:t>
      </w:r>
      <w:r>
        <w:rPr>
          <w:sz w:val="22"/>
        </w:rPr>
        <w:t>, dont le rendement dépend moins des dotations individuelles (capital humain, main-d'œuvre) que de l'</w:t>
      </w:r>
      <w:r>
        <w:rPr>
          <w:b/>
          <w:sz w:val="22"/>
        </w:rPr>
        <w:t>expérience accumulée, de la diversification et de l'insertion dans une organisation collective</w:t>
      </w:r>
      <w:r>
        <w:rPr>
          <w:sz w:val="22"/>
        </w:rPr>
        <w:t>.</w:t>
      </w:r>
    </w:p>
    <w:p>
      <w:pPr>
        <w:keepNext/>
        <w:spacing w:before="180" w:after="80"/>
      </w:pPr>
      <w:r>
        <w:rPr>
          <w:rFonts w:ascii="Calibri" w:hAnsi="Calibri"/>
          <w:b/>
          <w:color w:val="0A8A75"/>
          <w:sz w:val="24"/>
        </w:rPr>
        <w:t>Nombre moyen de PFNL collectés par ménage et par GIC</w:t>
      </w:r>
    </w:p>
    <w:p>
      <w:pPr>
        <w:jc w:val="both"/>
      </w:pPr>
      <w:r>
        <w:rPr>
          <w:sz w:val="22"/>
        </w:rPr>
        <w:t xml:space="preserve">À l'échelle de l'échantillon, chaque ménage collecte en moyenne </w:t>
      </w:r>
      <w:r>
        <w:rPr>
          <w:b/>
          <w:sz w:val="22"/>
        </w:rPr>
        <w:t>3,44 ± 1,69 PFNL distincts</w:t>
      </w:r>
      <w:r>
        <w:rPr>
          <w:sz w:val="22"/>
        </w:rPr>
        <w:t xml:space="preserve"> (médiane = 3 ; étendue de 1 à 9). Cette diversification modérée traduit une stratégie de sécurisation des revenus face à la saisonnalité des espèces.</w:t>
      </w:r>
    </w:p>
    <w:p>
      <w:pPr>
        <w:jc w:val="center"/>
      </w:pPr>
      <w:r>
        <w:drawing>
          <wp:inline xmlns:a="http://schemas.openxmlformats.org/drawingml/2006/main" xmlns:pic="http://schemas.openxmlformats.org/drawingml/2006/picture">
            <wp:extent cx="4860000" cy="3376985"/>
            <wp:docPr id="6" name="Picture 6"/>
            <wp:cNvGraphicFramePr>
              <a:graphicFrameLocks noChangeAspect="1"/>
            </wp:cNvGraphicFramePr>
            <a:graphic>
              <a:graphicData uri="http://schemas.openxmlformats.org/drawingml/2006/picture">
                <pic:pic>
                  <pic:nvPicPr>
                    <pic:cNvPr id="0" name="f_panier_gic.png"/>
                    <pic:cNvPicPr/>
                  </pic:nvPicPr>
                  <pic:blipFill>
                    <a:blip r:embed="rId14"/>
                    <a:stretch>
                      <a:fillRect/>
                    </a:stretch>
                  </pic:blipFill>
                  <pic:spPr>
                    <a:xfrm>
                      <a:off x="0" y="0"/>
                      <a:ext cx="4860000" cy="3376985"/>
                    </a:xfrm>
                    <a:prstGeom prst="rect"/>
                  </pic:spPr>
                </pic:pic>
              </a:graphicData>
            </a:graphic>
          </wp:inline>
        </w:drawing>
      </w:r>
    </w:p>
    <w:p>
      <w:pPr>
        <w:spacing w:before="40"/>
        <w:jc w:val="center"/>
      </w:pPr>
      <w:r>
        <w:rPr>
          <w:rFonts w:ascii="Calibri" w:hAnsi="Calibri"/>
          <w:i/>
          <w:color w:val="64748B"/>
          <w:sz w:val="18"/>
        </w:rPr>
        <w:t>Figure 6. Nombre moyen de PFNL collectés par ménage selon le GIC (± écart-type).</w:t>
      </w:r>
    </w:p>
    <w:p>
      <w:pPr>
        <w:keepNext/>
        <w:spacing w:before="160" w:after="40"/>
      </w:pPr>
      <w:r>
        <w:rPr>
          <w:rFonts w:ascii="Calibri" w:hAnsi="Calibri"/>
          <w:b/>
          <w:color w:val="0A1628"/>
          <w:sz w:val="19"/>
        </w:rPr>
        <w:t>Tableau 4. Nombre moyen de PFNL collectés par ménage selon le GIC</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0A1628"/>
          </w:tcPr>
          <w:p>
            <w:pPr>
              <w:jc w:val="center"/>
            </w:pPr>
            <w:r>
              <w:rPr>
                <w:rFonts w:ascii="Calibri" w:hAnsi="Calibri"/>
                <w:b/>
                <w:color w:val="FFFFFF"/>
                <w:sz w:val="17"/>
              </w:rPr>
              <w:t>GIC</w:t>
            </w:r>
          </w:p>
        </w:tc>
        <w:tc>
          <w:tcPr>
            <w:tcW w:type="dxa" w:w="3211"/>
            <w:shd w:val="clear" w:fill="0A1628"/>
          </w:tcPr>
          <w:p>
            <w:pPr>
              <w:jc w:val="center"/>
            </w:pPr>
            <w:r>
              <w:rPr>
                <w:rFonts w:ascii="Calibri" w:hAnsi="Calibri"/>
                <w:b/>
                <w:color w:val="FFFFFF"/>
                <w:sz w:val="17"/>
              </w:rPr>
              <w:t>n ménages</w:t>
            </w:r>
          </w:p>
        </w:tc>
        <w:tc>
          <w:tcPr>
            <w:tcW w:type="dxa" w:w="3211"/>
            <w:shd w:val="clear" w:fill="0A1628"/>
          </w:tcPr>
          <w:p>
            <w:pPr>
              <w:jc w:val="center"/>
            </w:pPr>
            <w:r>
              <w:rPr>
                <w:rFonts w:ascii="Calibri" w:hAnsi="Calibri"/>
                <w:b/>
                <w:color w:val="FFFFFF"/>
                <w:sz w:val="17"/>
              </w:rPr>
              <w:t>Nb moyen de PFNL (± é.-t.)</w:t>
            </w:r>
          </w:p>
        </w:tc>
      </w:tr>
      <w:tr>
        <w:tc>
          <w:tcPr>
            <w:tcW w:type="dxa" w:w="3211"/>
          </w:tcPr>
          <w:p>
            <w:pPr>
              <w:jc w:val="left"/>
            </w:pPr>
            <w:r>
              <w:rPr>
                <w:rFonts w:ascii="Calibri" w:hAnsi="Calibri"/>
                <w:sz w:val="16"/>
              </w:rPr>
              <w:t>Lumière Plus</w:t>
            </w:r>
          </w:p>
        </w:tc>
        <w:tc>
          <w:tcPr>
            <w:tcW w:type="dxa" w:w="3211"/>
          </w:tcPr>
          <w:p>
            <w:pPr>
              <w:jc w:val="right"/>
            </w:pPr>
            <w:r>
              <w:rPr>
                <w:rFonts w:ascii="Calibri" w:hAnsi="Calibri"/>
                <w:sz w:val="16"/>
              </w:rPr>
              <w:t>20</w:t>
            </w:r>
          </w:p>
        </w:tc>
        <w:tc>
          <w:tcPr>
            <w:tcW w:type="dxa" w:w="3211"/>
          </w:tcPr>
          <w:p>
            <w:pPr>
              <w:jc w:val="right"/>
            </w:pPr>
            <w:r>
              <w:rPr>
                <w:rFonts w:ascii="Calibri" w:hAnsi="Calibri"/>
                <w:sz w:val="16"/>
              </w:rPr>
              <w:t>4,25 ± 1,80</w:t>
            </w:r>
          </w:p>
        </w:tc>
      </w:tr>
      <w:tr>
        <w:tc>
          <w:tcPr>
            <w:tcW w:type="dxa" w:w="3211"/>
            <w:shd w:val="clear" w:fill="F1F5F9"/>
          </w:tcPr>
          <w:p>
            <w:pPr>
              <w:jc w:val="left"/>
            </w:pPr>
            <w:r>
              <w:rPr>
                <w:rFonts w:ascii="Calibri" w:hAnsi="Calibri"/>
                <w:sz w:val="16"/>
              </w:rPr>
              <w:t>PLACKO</w:t>
            </w:r>
          </w:p>
        </w:tc>
        <w:tc>
          <w:tcPr>
            <w:tcW w:type="dxa" w:w="3211"/>
            <w:shd w:val="clear" w:fill="F1F5F9"/>
          </w:tcPr>
          <w:p>
            <w:pPr>
              <w:jc w:val="right"/>
            </w:pPr>
            <w:r>
              <w:rPr>
                <w:rFonts w:ascii="Calibri" w:hAnsi="Calibri"/>
                <w:sz w:val="16"/>
              </w:rPr>
              <w:t>7</w:t>
            </w:r>
          </w:p>
        </w:tc>
        <w:tc>
          <w:tcPr>
            <w:tcW w:type="dxa" w:w="3211"/>
            <w:shd w:val="clear" w:fill="F1F5F9"/>
          </w:tcPr>
          <w:p>
            <w:pPr>
              <w:jc w:val="right"/>
            </w:pPr>
            <w:r>
              <w:rPr>
                <w:rFonts w:ascii="Calibri" w:hAnsi="Calibri"/>
                <w:sz w:val="16"/>
              </w:rPr>
              <w:t>4,00 ± 1,41</w:t>
            </w:r>
          </w:p>
        </w:tc>
      </w:tr>
      <w:tr>
        <w:tc>
          <w:tcPr>
            <w:tcW w:type="dxa" w:w="3211"/>
          </w:tcPr>
          <w:p>
            <w:pPr>
              <w:jc w:val="left"/>
            </w:pPr>
            <w:r>
              <w:rPr>
                <w:rFonts w:ascii="Calibri" w:hAnsi="Calibri"/>
                <w:sz w:val="16"/>
              </w:rPr>
              <w:t>Femmes Dynamiques</w:t>
            </w:r>
          </w:p>
        </w:tc>
        <w:tc>
          <w:tcPr>
            <w:tcW w:type="dxa" w:w="3211"/>
          </w:tcPr>
          <w:p>
            <w:pPr>
              <w:jc w:val="right"/>
            </w:pPr>
            <w:r>
              <w:rPr>
                <w:rFonts w:ascii="Calibri" w:hAnsi="Calibri"/>
                <w:sz w:val="16"/>
              </w:rPr>
              <w:t>6</w:t>
            </w:r>
          </w:p>
        </w:tc>
        <w:tc>
          <w:tcPr>
            <w:tcW w:type="dxa" w:w="3211"/>
          </w:tcPr>
          <w:p>
            <w:pPr>
              <w:jc w:val="right"/>
            </w:pPr>
            <w:r>
              <w:rPr>
                <w:rFonts w:ascii="Calibri" w:hAnsi="Calibri"/>
                <w:sz w:val="16"/>
              </w:rPr>
              <w:t>3,17 ± 0,75</w:t>
            </w:r>
          </w:p>
        </w:tc>
      </w:tr>
      <w:tr>
        <w:tc>
          <w:tcPr>
            <w:tcW w:type="dxa" w:w="3211"/>
            <w:shd w:val="clear" w:fill="F1F5F9"/>
          </w:tcPr>
          <w:p>
            <w:pPr>
              <w:jc w:val="left"/>
            </w:pPr>
            <w:r>
              <w:rPr>
                <w:rFonts w:ascii="Calibri" w:hAnsi="Calibri"/>
                <w:sz w:val="16"/>
              </w:rPr>
              <w:t>Mpoulah Mepeh</w:t>
            </w:r>
          </w:p>
        </w:tc>
        <w:tc>
          <w:tcPr>
            <w:tcW w:type="dxa" w:w="3211"/>
            <w:shd w:val="clear" w:fill="F1F5F9"/>
          </w:tcPr>
          <w:p>
            <w:pPr>
              <w:jc w:val="right"/>
            </w:pPr>
            <w:r>
              <w:rPr>
                <w:rFonts w:ascii="Calibri" w:hAnsi="Calibri"/>
                <w:sz w:val="16"/>
              </w:rPr>
              <w:t>17</w:t>
            </w:r>
          </w:p>
        </w:tc>
        <w:tc>
          <w:tcPr>
            <w:tcW w:type="dxa" w:w="3211"/>
            <w:shd w:val="clear" w:fill="F1F5F9"/>
          </w:tcPr>
          <w:p>
            <w:pPr>
              <w:jc w:val="right"/>
            </w:pPr>
            <w:r>
              <w:rPr>
                <w:rFonts w:ascii="Calibri" w:hAnsi="Calibri"/>
                <w:sz w:val="16"/>
              </w:rPr>
              <w:t>2,35 ± 1,32</w:t>
            </w:r>
          </w:p>
        </w:tc>
      </w:tr>
      <w:tr>
        <w:tc>
          <w:tcPr>
            <w:tcW w:type="dxa" w:w="3211"/>
            <w:shd w:val="clear" w:fill="E9F7F4"/>
          </w:tcPr>
          <w:p>
            <w:pPr>
              <w:jc w:val="left"/>
            </w:pPr>
            <w:r>
              <w:rPr>
                <w:rFonts w:ascii="Calibri" w:hAnsi="Calibri"/>
                <w:b/>
                <w:sz w:val="16"/>
              </w:rPr>
              <w:t>Ensemble</w:t>
            </w:r>
          </w:p>
        </w:tc>
        <w:tc>
          <w:tcPr>
            <w:tcW w:type="dxa" w:w="3211"/>
            <w:shd w:val="clear" w:fill="E9F7F4"/>
          </w:tcPr>
          <w:p>
            <w:pPr>
              <w:jc w:val="right"/>
            </w:pPr>
            <w:r>
              <w:rPr>
                <w:rFonts w:ascii="Calibri" w:hAnsi="Calibri"/>
                <w:b/>
                <w:sz w:val="16"/>
              </w:rPr>
              <w:t>50</w:t>
            </w:r>
          </w:p>
        </w:tc>
        <w:tc>
          <w:tcPr>
            <w:tcW w:type="dxa" w:w="3211"/>
            <w:shd w:val="clear" w:fill="E9F7F4"/>
          </w:tcPr>
          <w:p>
            <w:pPr>
              <w:jc w:val="right"/>
            </w:pPr>
            <w:r>
              <w:rPr>
                <w:rFonts w:ascii="Calibri" w:hAnsi="Calibri"/>
                <w:b/>
                <w:sz w:val="16"/>
              </w:rPr>
              <w:t>3,44 ± 1,69</w:t>
            </w:r>
          </w:p>
        </w:tc>
      </w:tr>
    </w:tbl>
    <w:p>
      <w:pPr>
        <w:jc w:val="both"/>
      </w:pPr>
      <w:r>
        <w:rPr>
          <w:sz w:val="22"/>
        </w:rPr>
        <w:t xml:space="preserve">Les ménages du GIC </w:t>
      </w:r>
      <w:r>
        <w:rPr>
          <w:b/>
          <w:sz w:val="22"/>
        </w:rPr>
        <w:t>Lumière Plus</w:t>
      </w:r>
      <w:r>
        <w:rPr>
          <w:sz w:val="22"/>
        </w:rPr>
        <w:t xml:space="preserve"> (4,25 PFNL) et du GIC </w:t>
      </w:r>
      <w:r>
        <w:rPr>
          <w:b/>
          <w:sz w:val="22"/>
        </w:rPr>
        <w:t>PLACKO</w:t>
      </w:r>
      <w:r>
        <w:rPr>
          <w:sz w:val="22"/>
        </w:rPr>
        <w:t xml:space="preserve"> (4,00), tous deux implantés à Kongo et adossés à une dynamique cacaoyère structurée, diversifient le plus leur panier de collecte, tandis que le GIC </w:t>
      </w:r>
      <w:r>
        <w:rPr>
          <w:b/>
          <w:sz w:val="22"/>
        </w:rPr>
        <w:t>Mpoulah Mepeh</w:t>
      </w:r>
      <w:r>
        <w:rPr>
          <w:sz w:val="22"/>
        </w:rPr>
        <w:t xml:space="preserve"> de Zoulabot I présente le panier le plus restreint (2,35). Cette différenciation, cohérente avec le rôle significatif de l'appartenance au GIC sur le revenu (section précédente), traduit des inégalités d'accès à la ressource et d'insertion commerciale selon la localité et le degré d'organisation collective.</w:t>
      </w:r>
    </w:p>
    <w:p>
      <w:pPr>
        <w:keepNext/>
        <w:spacing w:before="180" w:after="80"/>
      </w:pPr>
      <w:r>
        <w:rPr>
          <w:rFonts w:ascii="Calibri" w:hAnsi="Calibri"/>
          <w:b/>
          <w:color w:val="0A8A75"/>
          <w:sz w:val="24"/>
        </w:rPr>
        <w:t>Analyse multivariée des déterminants du revenu</w:t>
      </w:r>
    </w:p>
    <w:p>
      <w:pPr>
        <w:jc w:val="both"/>
      </w:pPr>
      <w:r>
        <w:rPr>
          <w:sz w:val="22"/>
        </w:rPr>
        <w:t xml:space="preserve">Les analyses bivariées ne permettent pas d'isoler l'effet propre de chaque facteur, plusieurs d'entre eux étant partiellement confondus (localité, GIC et lieux de collecte notamment). Une </w:t>
      </w:r>
      <w:r>
        <w:rPr>
          <w:b/>
          <w:sz w:val="22"/>
        </w:rPr>
        <w:t>régression linéaire multiple</w:t>
      </w:r>
      <w:r>
        <w:rPr>
          <w:sz w:val="22"/>
        </w:rPr>
        <w:t xml:space="preserve"> a donc été ajustée sur le logarithme du revenu (log(1 + revenu), pour corriger l'asymétrie), avec cinq prédicteurs retenus pour leur pertinence et leur parcimonie (rapport observations/prédicteur ≈ 10:1) : l'</w:t>
      </w:r>
      <w:r>
        <w:rPr>
          <w:b/>
          <w:sz w:val="22"/>
        </w:rPr>
        <w:t>expérience</w:t>
      </w:r>
      <w:r>
        <w:rPr>
          <w:sz w:val="22"/>
        </w:rPr>
        <w:t xml:space="preserve"> (≥ 5 ans de collecte), le </w:t>
      </w:r>
      <w:r>
        <w:rPr>
          <w:b/>
          <w:sz w:val="22"/>
        </w:rPr>
        <w:t>nombre de PFNL</w:t>
      </w:r>
      <w:r>
        <w:rPr>
          <w:sz w:val="22"/>
        </w:rPr>
        <w:t xml:space="preserve"> collectés, l'appartenance au </w:t>
      </w:r>
      <w:r>
        <w:rPr>
          <w:b/>
          <w:sz w:val="22"/>
        </w:rPr>
        <w:t>GIC PLACKO</w:t>
      </w:r>
      <w:r>
        <w:rPr>
          <w:sz w:val="22"/>
        </w:rPr>
        <w:t>, l'</w:t>
      </w:r>
      <w:r>
        <w:rPr>
          <w:b/>
          <w:sz w:val="22"/>
        </w:rPr>
        <w:t>ethnie Baka</w:t>
      </w:r>
      <w:r>
        <w:rPr>
          <w:sz w:val="22"/>
        </w:rPr>
        <w:t xml:space="preserve"> et l'</w:t>
      </w:r>
      <w:r>
        <w:rPr>
          <w:b/>
          <w:sz w:val="22"/>
        </w:rPr>
        <w:t>accès à la forêt</w:t>
      </w:r>
      <w:r>
        <w:rPr>
          <w:sz w:val="22"/>
        </w:rPr>
        <w:t xml:space="preserve"> (collecte en forêt). L'absence de multicolinéarité a été vérifiée (facteurs d'inflation de la variance tous &lt; 1,4).</w:t>
      </w:r>
    </w:p>
    <w:p>
      <w:pPr>
        <w:keepNext/>
        <w:spacing w:before="160" w:after="40"/>
      </w:pPr>
      <w:r>
        <w:rPr>
          <w:rFonts w:ascii="Calibri" w:hAnsi="Calibri"/>
          <w:b/>
          <w:color w:val="0A1628"/>
          <w:sz w:val="19"/>
        </w:rPr>
        <w:t>Tableau 5. Régression linéaire multiple du revenu PFNL (variable expliquée : log(1 + revenu) ; n = 50)</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fill="0A1628"/>
          </w:tcPr>
          <w:p>
            <w:pPr>
              <w:jc w:val="center"/>
            </w:pPr>
            <w:r>
              <w:rPr>
                <w:rFonts w:ascii="Calibri" w:hAnsi="Calibri"/>
                <w:b/>
                <w:color w:val="FFFFFF"/>
                <w:sz w:val="17"/>
              </w:rPr>
              <w:t>Prédicteur</w:t>
            </w:r>
          </w:p>
        </w:tc>
        <w:tc>
          <w:tcPr>
            <w:tcW w:type="dxa" w:w="1926"/>
            <w:shd w:val="clear" w:fill="0A1628"/>
          </w:tcPr>
          <w:p>
            <w:pPr>
              <w:jc w:val="center"/>
            </w:pPr>
            <w:r>
              <w:rPr>
                <w:rFonts w:ascii="Calibri" w:hAnsi="Calibri"/>
                <w:b/>
                <w:color w:val="FFFFFF"/>
                <w:sz w:val="17"/>
              </w:rPr>
              <w:t>Coefficient β</w:t>
            </w:r>
          </w:p>
        </w:tc>
        <w:tc>
          <w:tcPr>
            <w:tcW w:type="dxa" w:w="1926"/>
            <w:shd w:val="clear" w:fill="0A1628"/>
          </w:tcPr>
          <w:p>
            <w:pPr>
              <w:jc w:val="center"/>
            </w:pPr>
            <w:r>
              <w:rPr>
                <w:rFonts w:ascii="Calibri" w:hAnsi="Calibri"/>
                <w:b/>
                <w:color w:val="FFFFFF"/>
                <w:sz w:val="17"/>
              </w:rPr>
              <w:t>IC 95 %</w:t>
            </w:r>
          </w:p>
        </w:tc>
        <w:tc>
          <w:tcPr>
            <w:tcW w:type="dxa" w:w="1926"/>
            <w:shd w:val="clear" w:fill="0A1628"/>
          </w:tcPr>
          <w:p>
            <w:pPr>
              <w:jc w:val="center"/>
            </w:pPr>
            <w:r>
              <w:rPr>
                <w:rFonts w:ascii="Calibri" w:hAnsi="Calibri"/>
                <w:b/>
                <w:color w:val="FFFFFF"/>
                <w:sz w:val="17"/>
              </w:rPr>
              <w:t>p</w:t>
            </w:r>
          </w:p>
        </w:tc>
        <w:tc>
          <w:tcPr>
            <w:tcW w:type="dxa" w:w="1926"/>
            <w:shd w:val="clear" w:fill="0A1628"/>
          </w:tcPr>
          <w:p>
            <w:pPr>
              <w:jc w:val="center"/>
            </w:pPr>
            <w:r>
              <w:rPr>
                <w:rFonts w:ascii="Calibri" w:hAnsi="Calibri"/>
                <w:b/>
                <w:color w:val="FFFFFF"/>
                <w:sz w:val="17"/>
              </w:rPr>
              <w:t>Signif.</w:t>
            </w:r>
          </w:p>
        </w:tc>
      </w:tr>
      <w:tr>
        <w:tc>
          <w:tcPr>
            <w:tcW w:type="dxa" w:w="1926"/>
          </w:tcPr>
          <w:p>
            <w:pPr>
              <w:jc w:val="left"/>
            </w:pPr>
            <w:r>
              <w:rPr>
                <w:rFonts w:ascii="Calibri" w:hAnsi="Calibri"/>
                <w:sz w:val="16"/>
              </w:rPr>
              <w:t>Constante</w:t>
            </w:r>
          </w:p>
        </w:tc>
        <w:tc>
          <w:tcPr>
            <w:tcW w:type="dxa" w:w="1926"/>
          </w:tcPr>
          <w:p>
            <w:pPr>
              <w:jc w:val="right"/>
            </w:pPr>
            <w:r>
              <w:rPr>
                <w:rFonts w:ascii="Calibri" w:hAnsi="Calibri"/>
                <w:sz w:val="16"/>
              </w:rPr>
              <w:t>10,149</w:t>
            </w:r>
          </w:p>
        </w:tc>
        <w:tc>
          <w:tcPr>
            <w:tcW w:type="dxa" w:w="1926"/>
          </w:tcPr>
          <w:p>
            <w:pPr>
              <w:jc w:val="right"/>
            </w:pPr>
            <w:r>
              <w:rPr>
                <w:rFonts w:ascii="Calibri" w:hAnsi="Calibri"/>
                <w:sz w:val="16"/>
              </w:rPr>
              <w:t>8,77 ; 11,53</w:t>
            </w:r>
          </w:p>
        </w:tc>
        <w:tc>
          <w:tcPr>
            <w:tcW w:type="dxa" w:w="1926"/>
          </w:tcPr>
          <w:p>
            <w:pPr>
              <w:jc w:val="right"/>
            </w:pPr>
            <w:r>
              <w:rPr>
                <w:rFonts w:ascii="Calibri" w:hAnsi="Calibri"/>
                <w:sz w:val="16"/>
              </w:rPr>
              <w:t>&lt; 0,001</w:t>
            </w:r>
          </w:p>
        </w:tc>
        <w:tc>
          <w:tcPr>
            <w:tcW w:type="dxa" w:w="1926"/>
          </w:tcPr>
          <w:p>
            <w:pPr>
              <w:jc w:val="center"/>
            </w:pPr>
            <w:r>
              <w:rPr>
                <w:rFonts w:ascii="Calibri" w:hAnsi="Calibri"/>
                <w:sz w:val="16"/>
              </w:rPr>
              <w:t>***</w:t>
            </w:r>
          </w:p>
        </w:tc>
      </w:tr>
      <w:tr>
        <w:tc>
          <w:tcPr>
            <w:tcW w:type="dxa" w:w="1926"/>
            <w:shd w:val="clear" w:fill="FDECD9"/>
          </w:tcPr>
          <w:p>
            <w:pPr>
              <w:jc w:val="left"/>
            </w:pPr>
            <w:r>
              <w:rPr>
                <w:rFonts w:ascii="Calibri" w:hAnsi="Calibri"/>
                <w:sz w:val="16"/>
              </w:rPr>
              <w:t>Expérience ≥ 5 ans</w:t>
            </w:r>
          </w:p>
        </w:tc>
        <w:tc>
          <w:tcPr>
            <w:tcW w:type="dxa" w:w="1926"/>
            <w:shd w:val="clear" w:fill="FDECD9"/>
          </w:tcPr>
          <w:p>
            <w:pPr>
              <w:jc w:val="right"/>
            </w:pPr>
            <w:r>
              <w:rPr>
                <w:rFonts w:ascii="Calibri" w:hAnsi="Calibri"/>
                <w:sz w:val="16"/>
              </w:rPr>
              <w:t>1,090</w:t>
            </w:r>
          </w:p>
        </w:tc>
        <w:tc>
          <w:tcPr>
            <w:tcW w:type="dxa" w:w="1926"/>
            <w:shd w:val="clear" w:fill="FDECD9"/>
          </w:tcPr>
          <w:p>
            <w:pPr>
              <w:jc w:val="right"/>
            </w:pPr>
            <w:r>
              <w:rPr>
                <w:rFonts w:ascii="Calibri" w:hAnsi="Calibri"/>
                <w:sz w:val="16"/>
              </w:rPr>
              <w:t>0,03 ; 2,15</w:t>
            </w:r>
          </w:p>
        </w:tc>
        <w:tc>
          <w:tcPr>
            <w:tcW w:type="dxa" w:w="1926"/>
            <w:shd w:val="clear" w:fill="FDECD9"/>
          </w:tcPr>
          <w:p>
            <w:pPr>
              <w:jc w:val="right"/>
            </w:pPr>
            <w:r>
              <w:rPr>
                <w:rFonts w:ascii="Calibri" w:hAnsi="Calibri"/>
                <w:sz w:val="16"/>
              </w:rPr>
              <w:t>0,043</w:t>
            </w:r>
          </w:p>
        </w:tc>
        <w:tc>
          <w:tcPr>
            <w:tcW w:type="dxa" w:w="1926"/>
            <w:shd w:val="clear" w:fill="FDECD9"/>
          </w:tcPr>
          <w:p>
            <w:pPr>
              <w:jc w:val="center"/>
            </w:pPr>
            <w:r>
              <w:rPr>
                <w:rFonts w:ascii="Calibri" w:hAnsi="Calibri"/>
                <w:sz w:val="16"/>
              </w:rPr>
              <w:t>*</w:t>
            </w:r>
          </w:p>
        </w:tc>
      </w:tr>
      <w:tr>
        <w:tc>
          <w:tcPr>
            <w:tcW w:type="dxa" w:w="1926"/>
          </w:tcPr>
          <w:p>
            <w:pPr>
              <w:jc w:val="left"/>
            </w:pPr>
            <w:r>
              <w:rPr>
                <w:rFonts w:ascii="Calibri" w:hAnsi="Calibri"/>
                <w:sz w:val="16"/>
              </w:rPr>
              <w:t>Nombre de PFNL collectés</w:t>
            </w:r>
          </w:p>
        </w:tc>
        <w:tc>
          <w:tcPr>
            <w:tcW w:type="dxa" w:w="1926"/>
          </w:tcPr>
          <w:p>
            <w:pPr>
              <w:jc w:val="right"/>
            </w:pPr>
            <w:r>
              <w:rPr>
                <w:rFonts w:ascii="Calibri" w:hAnsi="Calibri"/>
                <w:sz w:val="16"/>
              </w:rPr>
              <w:t>0,098</w:t>
            </w:r>
          </w:p>
        </w:tc>
        <w:tc>
          <w:tcPr>
            <w:tcW w:type="dxa" w:w="1926"/>
          </w:tcPr>
          <w:p>
            <w:pPr>
              <w:jc w:val="right"/>
            </w:pPr>
            <w:r>
              <w:rPr>
                <w:rFonts w:ascii="Calibri" w:hAnsi="Calibri"/>
                <w:sz w:val="16"/>
              </w:rPr>
              <w:t>-0,17 ; 0,37</w:t>
            </w:r>
          </w:p>
        </w:tc>
        <w:tc>
          <w:tcPr>
            <w:tcW w:type="dxa" w:w="1926"/>
          </w:tcPr>
          <w:p>
            <w:pPr>
              <w:jc w:val="right"/>
            </w:pPr>
            <w:r>
              <w:rPr>
                <w:rFonts w:ascii="Calibri" w:hAnsi="Calibri"/>
                <w:sz w:val="16"/>
              </w:rPr>
              <w:t>0,470</w:t>
            </w:r>
          </w:p>
        </w:tc>
        <w:tc>
          <w:tcPr>
            <w:tcW w:type="dxa" w:w="1926"/>
          </w:tcPr>
          <w:p>
            <w:pPr>
              <w:jc w:val="center"/>
            </w:pPr>
            <w:r>
              <w:rPr>
                <w:rFonts w:ascii="Calibri" w:hAnsi="Calibri"/>
                <w:sz w:val="16"/>
              </w:rPr>
              <w:t>n.s.</w:t>
            </w:r>
          </w:p>
        </w:tc>
      </w:tr>
      <w:tr>
        <w:tc>
          <w:tcPr>
            <w:tcW w:type="dxa" w:w="1926"/>
            <w:shd w:val="clear" w:fill="F1F5F9"/>
          </w:tcPr>
          <w:p>
            <w:pPr>
              <w:jc w:val="left"/>
            </w:pPr>
            <w:r>
              <w:rPr>
                <w:rFonts w:ascii="Calibri" w:hAnsi="Calibri"/>
                <w:sz w:val="16"/>
              </w:rPr>
              <w:t>Appartenance au GIC PLACKO</w:t>
            </w:r>
          </w:p>
        </w:tc>
        <w:tc>
          <w:tcPr>
            <w:tcW w:type="dxa" w:w="1926"/>
            <w:shd w:val="clear" w:fill="F1F5F9"/>
          </w:tcPr>
          <w:p>
            <w:pPr>
              <w:jc w:val="right"/>
            </w:pPr>
            <w:r>
              <w:rPr>
                <w:rFonts w:ascii="Calibri" w:hAnsi="Calibri"/>
                <w:sz w:val="16"/>
              </w:rPr>
              <w:t>0,295</w:t>
            </w:r>
          </w:p>
        </w:tc>
        <w:tc>
          <w:tcPr>
            <w:tcW w:type="dxa" w:w="1926"/>
            <w:shd w:val="clear" w:fill="F1F5F9"/>
          </w:tcPr>
          <w:p>
            <w:pPr>
              <w:jc w:val="right"/>
            </w:pPr>
            <w:r>
              <w:rPr>
                <w:rFonts w:ascii="Calibri" w:hAnsi="Calibri"/>
                <w:sz w:val="16"/>
              </w:rPr>
              <w:t>-0,94 ; 1,53</w:t>
            </w:r>
          </w:p>
        </w:tc>
        <w:tc>
          <w:tcPr>
            <w:tcW w:type="dxa" w:w="1926"/>
            <w:shd w:val="clear" w:fill="F1F5F9"/>
          </w:tcPr>
          <w:p>
            <w:pPr>
              <w:jc w:val="right"/>
            </w:pPr>
            <w:r>
              <w:rPr>
                <w:rFonts w:ascii="Calibri" w:hAnsi="Calibri"/>
                <w:sz w:val="16"/>
              </w:rPr>
              <w:t>0,632</w:t>
            </w:r>
          </w:p>
        </w:tc>
        <w:tc>
          <w:tcPr>
            <w:tcW w:type="dxa" w:w="1926"/>
            <w:shd w:val="clear" w:fill="F1F5F9"/>
          </w:tcPr>
          <w:p>
            <w:pPr>
              <w:jc w:val="center"/>
            </w:pPr>
            <w:r>
              <w:rPr>
                <w:rFonts w:ascii="Calibri" w:hAnsi="Calibri"/>
                <w:sz w:val="16"/>
              </w:rPr>
              <w:t>n.s.</w:t>
            </w:r>
          </w:p>
        </w:tc>
      </w:tr>
      <w:tr>
        <w:tc>
          <w:tcPr>
            <w:tcW w:type="dxa" w:w="1926"/>
            <w:shd w:val="clear" w:fill="FDECD9"/>
          </w:tcPr>
          <w:p>
            <w:pPr>
              <w:jc w:val="left"/>
            </w:pPr>
            <w:r>
              <w:rPr>
                <w:rFonts w:ascii="Calibri" w:hAnsi="Calibri"/>
                <w:sz w:val="16"/>
              </w:rPr>
              <w:t>Ménage d'ethnie Baka</w:t>
            </w:r>
          </w:p>
        </w:tc>
        <w:tc>
          <w:tcPr>
            <w:tcW w:type="dxa" w:w="1926"/>
            <w:shd w:val="clear" w:fill="FDECD9"/>
          </w:tcPr>
          <w:p>
            <w:pPr>
              <w:jc w:val="right"/>
            </w:pPr>
            <w:r>
              <w:rPr>
                <w:rFonts w:ascii="Calibri" w:hAnsi="Calibri"/>
                <w:sz w:val="16"/>
              </w:rPr>
              <w:t>-2,928</w:t>
            </w:r>
          </w:p>
        </w:tc>
        <w:tc>
          <w:tcPr>
            <w:tcW w:type="dxa" w:w="1926"/>
            <w:shd w:val="clear" w:fill="FDECD9"/>
          </w:tcPr>
          <w:p>
            <w:pPr>
              <w:jc w:val="right"/>
            </w:pPr>
            <w:r>
              <w:rPr>
                <w:rFonts w:ascii="Calibri" w:hAnsi="Calibri"/>
                <w:sz w:val="16"/>
              </w:rPr>
              <w:t>-4,42 ; -1,44</w:t>
            </w:r>
          </w:p>
        </w:tc>
        <w:tc>
          <w:tcPr>
            <w:tcW w:type="dxa" w:w="1926"/>
            <w:shd w:val="clear" w:fill="FDECD9"/>
          </w:tcPr>
          <w:p>
            <w:pPr>
              <w:jc w:val="right"/>
            </w:pPr>
            <w:r>
              <w:rPr>
                <w:rFonts w:ascii="Calibri" w:hAnsi="Calibri"/>
                <w:sz w:val="16"/>
              </w:rPr>
              <w:t>&lt; 0,001</w:t>
            </w:r>
          </w:p>
        </w:tc>
        <w:tc>
          <w:tcPr>
            <w:tcW w:type="dxa" w:w="1926"/>
            <w:shd w:val="clear" w:fill="FDECD9"/>
          </w:tcPr>
          <w:p>
            <w:pPr>
              <w:jc w:val="center"/>
            </w:pPr>
            <w:r>
              <w:rPr>
                <w:rFonts w:ascii="Calibri" w:hAnsi="Calibri"/>
                <w:sz w:val="16"/>
              </w:rPr>
              <w:t>***</w:t>
            </w:r>
          </w:p>
        </w:tc>
      </w:tr>
      <w:tr>
        <w:tc>
          <w:tcPr>
            <w:tcW w:type="dxa" w:w="1926"/>
            <w:shd w:val="clear" w:fill="FDECD9"/>
          </w:tcPr>
          <w:p>
            <w:pPr>
              <w:jc w:val="left"/>
            </w:pPr>
            <w:r>
              <w:rPr>
                <w:rFonts w:ascii="Calibri" w:hAnsi="Calibri"/>
                <w:sz w:val="16"/>
              </w:rPr>
              <w:t>Collecte en forêt</w:t>
            </w:r>
          </w:p>
        </w:tc>
        <w:tc>
          <w:tcPr>
            <w:tcW w:type="dxa" w:w="1926"/>
            <w:shd w:val="clear" w:fill="FDECD9"/>
          </w:tcPr>
          <w:p>
            <w:pPr>
              <w:jc w:val="right"/>
            </w:pPr>
            <w:r>
              <w:rPr>
                <w:rFonts w:ascii="Calibri" w:hAnsi="Calibri"/>
                <w:sz w:val="16"/>
              </w:rPr>
              <w:t>1,931</w:t>
            </w:r>
          </w:p>
        </w:tc>
        <w:tc>
          <w:tcPr>
            <w:tcW w:type="dxa" w:w="1926"/>
            <w:shd w:val="clear" w:fill="FDECD9"/>
          </w:tcPr>
          <w:p>
            <w:pPr>
              <w:jc w:val="right"/>
            </w:pPr>
            <w:r>
              <w:rPr>
                <w:rFonts w:ascii="Calibri" w:hAnsi="Calibri"/>
                <w:sz w:val="16"/>
              </w:rPr>
              <w:t>0,70 ; 3,16</w:t>
            </w:r>
          </w:p>
        </w:tc>
        <w:tc>
          <w:tcPr>
            <w:tcW w:type="dxa" w:w="1926"/>
            <w:shd w:val="clear" w:fill="FDECD9"/>
          </w:tcPr>
          <w:p>
            <w:pPr>
              <w:jc w:val="right"/>
            </w:pPr>
            <w:r>
              <w:rPr>
                <w:rFonts w:ascii="Calibri" w:hAnsi="Calibri"/>
                <w:sz w:val="16"/>
              </w:rPr>
              <w:t>0,003</w:t>
            </w:r>
          </w:p>
        </w:tc>
        <w:tc>
          <w:tcPr>
            <w:tcW w:type="dxa" w:w="1926"/>
            <w:shd w:val="clear" w:fill="FDECD9"/>
          </w:tcPr>
          <w:p>
            <w:pPr>
              <w:jc w:val="center"/>
            </w:pPr>
            <w:r>
              <w:rPr>
                <w:rFonts w:ascii="Calibri" w:hAnsi="Calibri"/>
                <w:sz w:val="16"/>
              </w:rPr>
              <w:t>**</w:t>
            </w:r>
          </w:p>
        </w:tc>
      </w:tr>
    </w:tbl>
    <w:p>
      <w:pPr>
        <w:jc w:val="both"/>
      </w:pPr>
      <w:r>
        <w:rPr>
          <w:sz w:val="22"/>
        </w:rPr>
        <w:t xml:space="preserve">Le modèle est globalement significatif (F : p &lt; 0,001) et explique </w:t>
      </w:r>
      <w:r>
        <w:rPr>
          <w:b/>
          <w:sz w:val="22"/>
        </w:rPr>
        <w:t>55,7 % de la variance</w:t>
      </w:r>
      <w:r>
        <w:rPr>
          <w:sz w:val="22"/>
        </w:rPr>
        <w:t xml:space="preserve"> du revenu (R² = 0,557 ; R² ajusté = 0,507), ce qui constitue un pouvoir explicatif élevé pour des données socio-économiques. Trois facteurs demeurent significatifs une fois les autres contrôlés : l'</w:t>
      </w:r>
      <w:r>
        <w:rPr>
          <w:b/>
          <w:sz w:val="22"/>
        </w:rPr>
        <w:t>expérience ≥ 5 ans</w:t>
      </w:r>
      <w:r>
        <w:rPr>
          <w:sz w:val="22"/>
        </w:rPr>
        <w:t xml:space="preserve"> (β = 1,09 ; p = 0,043), l'</w:t>
      </w:r>
      <w:r>
        <w:rPr>
          <w:b/>
          <w:sz w:val="22"/>
        </w:rPr>
        <w:t>accès à la forêt</w:t>
      </w:r>
      <w:r>
        <w:rPr>
          <w:sz w:val="22"/>
        </w:rPr>
        <w:t xml:space="preserve"> (β = 1,93 ; p = 0,003) et, négativement, l'</w:t>
      </w:r>
      <w:r>
        <w:rPr>
          <w:b/>
          <w:sz w:val="22"/>
        </w:rPr>
        <w:t>appartenance Baka</w:t>
      </w:r>
      <w:r>
        <w:rPr>
          <w:sz w:val="22"/>
        </w:rPr>
        <w:t xml:space="preserve"> (β = -2,93 ; p &lt; 0,001). En revanche, le </w:t>
      </w:r>
      <w:r>
        <w:rPr>
          <w:b/>
          <w:sz w:val="22"/>
        </w:rPr>
        <w:t>nombre de PFNL</w:t>
      </w:r>
      <w:r>
        <w:rPr>
          <w:sz w:val="22"/>
        </w:rPr>
        <w:t xml:space="preserve"> et l'appartenance à </w:t>
      </w:r>
      <w:r>
        <w:rPr>
          <w:b/>
          <w:sz w:val="22"/>
        </w:rPr>
        <w:t>PLACKO</w:t>
      </w:r>
      <w:r>
        <w:rPr>
          <w:sz w:val="22"/>
        </w:rPr>
        <w:t xml:space="preserve">, significatifs en analyse bivariée, ne le sont plus en multivarié : leur effet apparent était en partie </w:t>
      </w:r>
      <w:r>
        <w:rPr>
          <w:b/>
          <w:sz w:val="22"/>
        </w:rPr>
        <w:t>médié</w:t>
      </w:r>
      <w:r>
        <w:rPr>
          <w:sz w:val="22"/>
        </w:rPr>
        <w:t xml:space="preserve"> par l'expérience et l'accès à la forêt. Autrement dit, ce ne sont pas la diversification ou le GIC en eux-mêmes qui déterminent le revenu, mais le fait que les collecteurs expérimentés, mieux insérés et accédant à la forêt diversifient davantage et appartiennent plus souvent aux GIC performants.</w:t>
      </w:r>
    </w:p>
    <w:tbl>
      <w:tblPr>
        <w:tblStyle w:val="TableGrid"/>
        <w:tblW w:type="auto" w:w="0"/>
        <w:tblLook w:firstColumn="1" w:firstRow="1" w:lastColumn="0" w:lastRow="0" w:noHBand="0" w:noVBand="1" w:val="04A0"/>
      </w:tblPr>
      <w:tblGrid>
        <w:gridCol w:w="9632"/>
      </w:tblGrid>
      <w:tr>
        <w:tc>
          <w:tcPr>
            <w:tcW w:type="dxa" w:w="9632"/>
            <w:shd w:val="clear" w:fill="E9F7F4"/>
          </w:tcPr>
          <w:p>
            <w:r>
              <w:rPr>
                <w:rFonts w:ascii="Calibri" w:hAnsi="Calibri"/>
                <w:b/>
                <w:color w:val="0A8A75"/>
                <w:sz w:val="18"/>
              </w:rPr>
              <w:t>Portée et prudence de l'analyse multivariée</w:t>
            </w:r>
          </w:p>
          <w:p>
            <w:pPr>
              <w:jc w:val="both"/>
            </w:pPr>
            <w:r>
              <w:rPr>
                <w:sz w:val="19"/>
              </w:rPr>
              <w:t xml:space="preserve">Compte tenu de l'effectif (n = 50) et de la forte asymétrie résiduelle (une valeur de revenu nulle, quelques ménages à très fort revenu), ce modèle doit être considéré comme </w:t>
            </w:r>
            <w:r>
              <w:rPr>
                <w:b/>
                <w:sz w:val="19"/>
              </w:rPr>
              <w:t>exploratoire</w:t>
            </w:r>
            <w:r>
              <w:rPr>
                <w:sz w:val="19"/>
              </w:rPr>
              <w:t xml:space="preserve"> : il hiérarchise les déterminants et met en évidence les effets robustes, mais ses coefficients ne doivent pas être sur-interprétés. Il confirme néanmoins l'enseignement central de l'étude : le revenu PFNL se construit par l'</w:t>
            </w:r>
            <w:r>
              <w:rPr>
                <w:b/>
                <w:sz w:val="19"/>
              </w:rPr>
              <w:t>expérience, l'accès sécurisé à la ressource forestière et l'insertion sociale</w:t>
            </w:r>
            <w:r>
              <w:rPr>
                <w:sz w:val="19"/>
              </w:rPr>
              <w:t>, plus que par les seules caractéristiques démographiques du ménage.</w:t>
            </w:r>
          </w:p>
        </w:tc>
      </w:tr>
    </w:tbl>
    <w:p>
      <w:pPr>
        <w:spacing w:after="40"/>
      </w:pPr>
    </w:p>
    <w:p>
      <w:pPr>
        <w:keepNext/>
        <w:spacing w:before="240" w:after="120"/>
      </w:pPr>
      <w:r>
        <w:rPr>
          <w:rFonts w:ascii="Calibri" w:hAnsi="Calibri"/>
          <w:b/>
          <w:color w:val="0A1628"/>
          <w:sz w:val="28"/>
        </w:rPr>
        <w:t>4. Limites de l'étude</w:t>
      </w:r>
    </w:p>
    <w:p>
      <w:pPr>
        <w:keepNext/>
        <w:spacing w:before="180" w:after="80"/>
      </w:pPr>
      <w:r>
        <w:rPr>
          <w:rFonts w:ascii="Calibri" w:hAnsi="Calibri"/>
          <w:b/>
          <w:color w:val="0A8A75"/>
          <w:sz w:val="24"/>
        </w:rPr>
        <w:t>Limites méthodologiques</w:t>
      </w:r>
    </w:p>
    <w:p>
      <w:pPr>
        <w:jc w:val="both"/>
      </w:pPr>
      <w:r>
        <w:rPr>
          <w:sz w:val="22"/>
        </w:rPr>
        <w:t xml:space="preserve">L'étude repose sur une démarche mixte associant inventaires et enquêtes déclaratives. Les données socio-économiques sont </w:t>
      </w:r>
      <w:r>
        <w:rPr>
          <w:b/>
          <w:sz w:val="22"/>
        </w:rPr>
        <w:t>déclaratives</w:t>
      </w:r>
      <w:r>
        <w:rPr>
          <w:sz w:val="22"/>
        </w:rPr>
        <w:t xml:space="preserve"> et rétrospectives, exposées à un biais de mémoire (quantités, prix, revenus d'une saison passée) et à un possible biais de désirabilité. La caractérisation de la diversité est limitée aux ligneux de </w:t>
      </w:r>
      <w:r>
        <w:rPr>
          <w:b/>
          <w:sz w:val="22"/>
        </w:rPr>
        <w:t>DHP ≥ 10 cm</w:t>
      </w:r>
      <w:r>
        <w:rPr>
          <w:sz w:val="22"/>
        </w:rPr>
        <w:t>, excluant la régénération (semis et gaules) et les strates herbacée et lianescente, ce qui ne rend pas compte de la totalité de la biodiversité des agroforêts.</w:t>
      </w:r>
    </w:p>
    <w:p>
      <w:pPr>
        <w:keepNext/>
        <w:spacing w:before="180" w:after="80"/>
      </w:pPr>
      <w:r>
        <w:rPr>
          <w:rFonts w:ascii="Calibri" w:hAnsi="Calibri"/>
          <w:b/>
          <w:color w:val="0A8A75"/>
          <w:sz w:val="24"/>
        </w:rPr>
        <w:t>Limites statistiques</w:t>
      </w:r>
    </w:p>
    <w:p>
      <w:pPr>
        <w:jc w:val="both"/>
      </w:pPr>
      <w:r>
        <w:rPr>
          <w:sz w:val="22"/>
        </w:rPr>
        <w:t xml:space="preserve">La taille de l'échantillon (n = 50 ménages ; 4 agroforêts) limite la </w:t>
      </w:r>
      <w:r>
        <w:rPr>
          <w:b/>
          <w:sz w:val="22"/>
        </w:rPr>
        <w:t>puissance statistique</w:t>
      </w:r>
      <w:r>
        <w:rPr>
          <w:sz w:val="22"/>
        </w:rPr>
        <w:t xml:space="preserve">, en particulier pour les sous-groupes de faible effectif (ethnie Baka : n = 5 ; localité de Malen : n = 1 ; GIC Femmes Dynamiques : n = 6), dont les résultats doivent être interprétés avec prudence. Le recours à des </w:t>
      </w:r>
      <w:r>
        <w:rPr>
          <w:b/>
          <w:sz w:val="22"/>
        </w:rPr>
        <w:t>tests non paramétriques</w:t>
      </w:r>
      <w:r>
        <w:rPr>
          <w:sz w:val="22"/>
        </w:rPr>
        <w:t xml:space="preserve">, s'il est adapté à la non-normalité des données, est moins puissant que les tests paramétriques équivalents. Les analyses sont </w:t>
      </w:r>
      <w:r>
        <w:rPr>
          <w:b/>
          <w:sz w:val="22"/>
        </w:rPr>
        <w:t>bivariées</w:t>
      </w:r>
      <w:r>
        <w:rPr>
          <w:sz w:val="22"/>
        </w:rPr>
        <w:t xml:space="preserve"> : elles n'isolent pas l'effet propre de chaque facteur ni ne contrôlent les interactions (par exemple entre localité, GIC et lieux de collecte, qui sont partiellement confondus). Une modélisation multivariée (régression) nécessiterait un effectif plus important.</w:t>
      </w:r>
    </w:p>
    <w:p>
      <w:pPr>
        <w:keepNext/>
        <w:spacing w:before="180" w:after="80"/>
      </w:pPr>
      <w:r>
        <w:rPr>
          <w:rFonts w:ascii="Calibri" w:hAnsi="Calibri"/>
          <w:b/>
          <w:color w:val="0A8A75"/>
          <w:sz w:val="24"/>
        </w:rPr>
        <w:t>Limites liées à l'échantillonnage</w:t>
      </w:r>
    </w:p>
    <w:p>
      <w:pPr>
        <w:jc w:val="both"/>
      </w:pPr>
      <w:r>
        <w:rPr>
          <w:sz w:val="22"/>
        </w:rPr>
        <w:t xml:space="preserve">L'échantillonnage est </w:t>
      </w:r>
      <w:r>
        <w:rPr>
          <w:b/>
          <w:sz w:val="22"/>
        </w:rPr>
        <w:t>non probabiliste</w:t>
      </w:r>
      <w:r>
        <w:rPr>
          <w:sz w:val="22"/>
        </w:rPr>
        <w:t xml:space="preserve"> : les ménages et les agroforêts ont été retenus sur des critères raisonnés (appartenance à un GIC partenaire de Nature+, motivation, statut foncier). Ce choix, pertinent pour l'objectif exploratoire, introduit un </w:t>
      </w:r>
      <w:r>
        <w:rPr>
          <w:b/>
          <w:sz w:val="22"/>
        </w:rPr>
        <w:t>biais de sélection</w:t>
      </w:r>
      <w:r>
        <w:rPr>
          <w:sz w:val="22"/>
        </w:rPr>
        <w:t xml:space="preserve"> : les ménages enquêtés, membres d'organisations paysannes, sont vraisemblablement mieux organisés et plus engagés dans la valorisation que la moyenne des ménages de l'arrondissement.</w:t>
      </w:r>
    </w:p>
    <w:p>
      <w:pPr>
        <w:keepNext/>
        <w:spacing w:before="180" w:after="80"/>
      </w:pPr>
      <w:r>
        <w:rPr>
          <w:rFonts w:ascii="Calibri" w:hAnsi="Calibri"/>
          <w:b/>
          <w:color w:val="0A8A75"/>
          <w:sz w:val="24"/>
        </w:rPr>
        <w:t>Limites liées aux données</w:t>
      </w:r>
    </w:p>
    <w:p>
      <w:pPr>
        <w:jc w:val="both"/>
      </w:pPr>
      <w:r>
        <w:rPr>
          <w:sz w:val="22"/>
        </w:rPr>
        <w:t xml:space="preserve">La base comporte quelques </w:t>
      </w:r>
      <w:r>
        <w:rPr>
          <w:b/>
          <w:sz w:val="22"/>
        </w:rPr>
        <w:t>valeurs manquantes</w:t>
      </w:r>
      <w:r>
        <w:rPr>
          <w:sz w:val="22"/>
        </w:rPr>
        <w:t xml:space="preserve"> (type de culture d'un ménage, main-d'œuvre d'un ménage, non-réponses quantitatives ponctuelles) et une </w:t>
      </w:r>
      <w:r>
        <w:rPr>
          <w:b/>
          <w:sz w:val="22"/>
        </w:rPr>
        <w:t>incohérence d'unité</w:t>
      </w:r>
      <w:r>
        <w:rPr>
          <w:sz w:val="22"/>
        </w:rPr>
        <w:t xml:space="preserve"> sur deux fiches Djansang (litre/Combo). Les revenus sont exprimés en </w:t>
      </w:r>
      <w:r>
        <w:rPr>
          <w:b/>
          <w:sz w:val="22"/>
        </w:rPr>
        <w:t>valeur brute</w:t>
      </w:r>
      <w:r>
        <w:rPr>
          <w:sz w:val="22"/>
        </w:rPr>
        <w:t xml:space="preserve"> (chiffre d'affaires), sans déduction des coûts de collecte, de transport et de transformation, ni valorisation de la main-d'œuvre familiale : ils surestiment donc la marge nette réellement dégagée. Les superficies d'agroforêt utilisées pour les densités diffèrent légèrement de la somme des superficies de TUT.</w:t>
      </w:r>
    </w:p>
    <w:p>
      <w:pPr>
        <w:keepNext/>
        <w:spacing w:before="180" w:after="80"/>
      </w:pPr>
      <w:r>
        <w:rPr>
          <w:rFonts w:ascii="Calibri" w:hAnsi="Calibri"/>
          <w:b/>
          <w:color w:val="0A8A75"/>
          <w:sz w:val="24"/>
        </w:rPr>
        <w:t>Limites liées au terrain</w:t>
      </w:r>
    </w:p>
    <w:p>
      <w:pPr>
        <w:jc w:val="both"/>
      </w:pPr>
      <w:r>
        <w:rPr>
          <w:sz w:val="22"/>
        </w:rPr>
        <w:t xml:space="preserve">La collecte s'est déroulée sur une </w:t>
      </w:r>
      <w:r>
        <w:rPr>
          <w:b/>
          <w:sz w:val="22"/>
        </w:rPr>
        <w:t>période et une saison données</w:t>
      </w:r>
      <w:r>
        <w:rPr>
          <w:sz w:val="22"/>
        </w:rPr>
        <w:t xml:space="preserve">, alors que la production des PFNL est fortement </w:t>
      </w:r>
      <w:r>
        <w:rPr>
          <w:b/>
          <w:sz w:val="22"/>
        </w:rPr>
        <w:t>saisonnière et variable d'une année à l'autre</w:t>
      </w:r>
      <w:r>
        <w:rPr>
          <w:sz w:val="22"/>
        </w:rPr>
        <w:t xml:space="preserve"> (phénologie, pluviométrie) ; les quantités et revenus mesurés ne capturent donc pas cette variabilité inter-annuelle. L'enclavement de certains villages, l'insécurité en forêt et la barrière linguistique avec les populations Baka ont pu limiter la finesse de certaines observations.</w:t>
      </w:r>
    </w:p>
    <w:p>
      <w:pPr>
        <w:keepNext/>
        <w:spacing w:before="180" w:after="80"/>
      </w:pPr>
      <w:r>
        <w:rPr>
          <w:rFonts w:ascii="Calibri" w:hAnsi="Calibri"/>
          <w:b/>
          <w:color w:val="0A8A75"/>
          <w:sz w:val="24"/>
        </w:rPr>
        <w:t>Limites liées à la généralisation</w:t>
      </w:r>
    </w:p>
    <w:p>
      <w:pPr>
        <w:jc w:val="both"/>
      </w:pPr>
      <w:r>
        <w:rPr>
          <w:sz w:val="22"/>
        </w:rPr>
        <w:t xml:space="preserve">En raison du caractère non probabiliste de l'échantillon, de sa taille et de son ancrage dans quatre localités et quatre GIC, les résultats </w:t>
      </w:r>
      <w:r>
        <w:rPr>
          <w:b/>
          <w:sz w:val="22"/>
        </w:rPr>
        <w:t>ne peuvent être extrapolés tels quels</w:t>
      </w:r>
      <w:r>
        <w:rPr>
          <w:sz w:val="22"/>
        </w:rPr>
        <w:t xml:space="preserve"> à l'ensemble des 64 villages de l'arrondissement de Lomié, ni a fortiori au département du Haut-Nyong ou à la Région de l'Est. Ils constituent néanmoins un ordre de grandeur robuste et une base de connaissances inédite sur les agroforêts des ménages et la valorisation des PFNL dans ce territoire.</w:t>
      </w:r>
    </w:p>
    <w:p>
      <w:pPr>
        <w:keepNext/>
        <w:spacing w:before="240" w:after="120"/>
      </w:pPr>
      <w:r>
        <w:rPr>
          <w:rFonts w:ascii="Calibri" w:hAnsi="Calibri"/>
          <w:b/>
          <w:color w:val="0A1628"/>
          <w:sz w:val="28"/>
        </w:rPr>
        <w:t>5. Opportunités et contraintes à la valorisation des PFNL</w:t>
      </w:r>
    </w:p>
    <w:p>
      <w:pPr>
        <w:jc w:val="both"/>
      </w:pPr>
      <w:r>
        <w:rPr>
          <w:sz w:val="22"/>
        </w:rPr>
        <w:t>L'analyse des contraintes déclarées (section précédente et données d'enquête) et des dynamiques collectives observées sur le terrain permet de dresser un diagnostic stratégique de la valorisation des PFNL dans l'arrondissement de Lomié.</w:t>
      </w:r>
    </w:p>
    <w:p>
      <w:pPr>
        <w:keepNext/>
        <w:spacing w:before="180" w:after="80"/>
      </w:pPr>
      <w:r>
        <w:rPr>
          <w:rFonts w:ascii="Calibri" w:hAnsi="Calibri"/>
          <w:b/>
          <w:color w:val="0A8A75"/>
          <w:sz w:val="24"/>
        </w:rPr>
        <w:t>Contraintes majeures</w:t>
      </w:r>
    </w:p>
    <w:p>
      <w:pPr>
        <w:jc w:val="both"/>
      </w:pPr>
      <w:r>
        <w:rPr>
          <w:b/>
          <w:sz w:val="22"/>
        </w:rPr>
        <w:t>92 % des ménages</w:t>
      </w:r>
      <w:r>
        <w:rPr>
          <w:sz w:val="22"/>
        </w:rPr>
        <w:t xml:space="preserve"> déclarent des difficultés. Elles se concentrent aux maillons de la </w:t>
      </w:r>
      <w:r>
        <w:rPr>
          <w:b/>
          <w:sz w:val="22"/>
        </w:rPr>
        <w:t>collecte</w:t>
      </w:r>
      <w:r>
        <w:rPr>
          <w:sz w:val="22"/>
        </w:rPr>
        <w:t xml:space="preserve"> (50,0 %), de la </w:t>
      </w:r>
      <w:r>
        <w:rPr>
          <w:b/>
          <w:sz w:val="22"/>
        </w:rPr>
        <w:t>commercialisation</w:t>
      </w:r>
      <w:r>
        <w:rPr>
          <w:sz w:val="22"/>
        </w:rPr>
        <w:t xml:space="preserve"> (40,0 %) et du </w:t>
      </w:r>
      <w:r>
        <w:rPr>
          <w:b/>
          <w:sz w:val="22"/>
        </w:rPr>
        <w:t>transport</w:t>
      </w:r>
      <w:r>
        <w:rPr>
          <w:sz w:val="22"/>
        </w:rPr>
        <w:t xml:space="preserve"> (28,0 %). Les difficultés les plus citées sont la </w:t>
      </w:r>
      <w:r>
        <w:rPr>
          <w:b/>
          <w:sz w:val="22"/>
        </w:rPr>
        <w:t>variabilité des prix</w:t>
      </w:r>
      <w:r>
        <w:rPr>
          <w:sz w:val="22"/>
        </w:rPr>
        <w:t xml:space="preserve"> (26,0 %), le </w:t>
      </w:r>
      <w:r>
        <w:rPr>
          <w:b/>
          <w:sz w:val="22"/>
        </w:rPr>
        <w:t>manque d'acheteurs et le retard des ventes groupées</w:t>
      </w:r>
      <w:r>
        <w:rPr>
          <w:sz w:val="22"/>
        </w:rPr>
        <w:t xml:space="preserve"> (20,0 %), le </w:t>
      </w:r>
      <w:r>
        <w:rPr>
          <w:b/>
          <w:sz w:val="22"/>
        </w:rPr>
        <w:t>manque et le coût du transport</w:t>
      </w:r>
      <w:r>
        <w:rPr>
          <w:sz w:val="22"/>
        </w:rPr>
        <w:t xml:space="preserve"> (24,0 %), la </w:t>
      </w:r>
      <w:r>
        <w:rPr>
          <w:b/>
          <w:sz w:val="22"/>
        </w:rPr>
        <w:t>saisonnalité</w:t>
      </w:r>
      <w:r>
        <w:rPr>
          <w:sz w:val="22"/>
        </w:rPr>
        <w:t xml:space="preserve"> de la ressource (20,0 %), les </w:t>
      </w:r>
      <w:r>
        <w:rPr>
          <w:b/>
          <w:sz w:val="22"/>
        </w:rPr>
        <w:t>problèmes de ration alimentaire</w:t>
      </w:r>
      <w:r>
        <w:rPr>
          <w:sz w:val="22"/>
        </w:rPr>
        <w:t xml:space="preserve"> en forêt (18,0 %), l'</w:t>
      </w:r>
      <w:r>
        <w:rPr>
          <w:b/>
          <w:sz w:val="22"/>
        </w:rPr>
        <w:t>éloignement des zones</w:t>
      </w:r>
      <w:r>
        <w:rPr>
          <w:sz w:val="22"/>
        </w:rPr>
        <w:t>, l'</w:t>
      </w:r>
      <w:r>
        <w:rPr>
          <w:b/>
          <w:sz w:val="22"/>
        </w:rPr>
        <w:t>insécurité en forêt</w:t>
      </w:r>
      <w:r>
        <w:rPr>
          <w:sz w:val="22"/>
        </w:rPr>
        <w:t xml:space="preserve"> et le </w:t>
      </w:r>
      <w:r>
        <w:rPr>
          <w:b/>
          <w:sz w:val="22"/>
        </w:rPr>
        <w:t>manque de matériel</w:t>
      </w:r>
      <w:r>
        <w:rPr>
          <w:sz w:val="22"/>
        </w:rPr>
        <w:t>.</w:t>
      </w:r>
    </w:p>
    <w:p>
      <w:pPr>
        <w:keepNext/>
        <w:spacing w:before="180" w:after="80"/>
      </w:pPr>
      <w:r>
        <w:rPr>
          <w:rFonts w:ascii="Calibri" w:hAnsi="Calibri"/>
          <w:b/>
          <w:color w:val="0A8A75"/>
          <w:sz w:val="24"/>
        </w:rPr>
        <w:t>Opportunités et dynamiques collectives observées</w:t>
      </w:r>
    </w:p>
    <w:p>
      <w:pPr>
        <w:jc w:val="both"/>
      </w:pPr>
      <w:r>
        <w:rPr>
          <w:sz w:val="22"/>
        </w:rPr>
        <w:t>Plusieurs dynamiques collectives et appuis externes, observés sur le terrain, constituent de réelles opportunités de structuration de la filière :</w:t>
      </w:r>
    </w:p>
    <w:p>
      <w:pPr>
        <w:pStyle w:val="ListBullet"/>
        <w:jc w:val="both"/>
      </w:pPr>
      <w:r>
        <w:rPr>
          <w:b/>
          <w:sz w:val="21"/>
        </w:rPr>
        <w:t>Collaboration inter-GIC</w:t>
      </w:r>
      <w:r>
        <w:rPr>
          <w:sz w:val="21"/>
        </w:rPr>
        <w:t xml:space="preserve"> entre Mpoula Mepeh, Lumière Plus et Femmes Dynamiques, qui crée une masse critique pour la collecte et la vente groupées et la mutualisation des moyens.</w:t>
      </w:r>
    </w:p>
    <w:p>
      <w:pPr>
        <w:pStyle w:val="ListBullet"/>
        <w:jc w:val="both"/>
      </w:pPr>
      <w:r>
        <w:rPr>
          <w:b/>
          <w:sz w:val="21"/>
        </w:rPr>
        <w:t>Appartenance à la Coopérative Centre Vert de Lomié</w:t>
      </w:r>
      <w:r>
        <w:rPr>
          <w:sz w:val="21"/>
        </w:rPr>
        <w:t>, structure faîtière offrant un cadre de commercialisation formel et un pouvoir de négociation accru face aux acheteurs.</w:t>
      </w:r>
    </w:p>
    <w:p>
      <w:pPr>
        <w:pStyle w:val="ListBullet"/>
        <w:jc w:val="both"/>
      </w:pPr>
      <w:r>
        <w:rPr>
          <w:b/>
          <w:sz w:val="21"/>
        </w:rPr>
        <w:t>Appui du projet GEF 7</w:t>
      </w:r>
      <w:r>
        <w:rPr>
          <w:sz w:val="21"/>
        </w:rPr>
        <w:t>, qui apporte un financement et un accompagnement technique dédiés à la valorisation durable des ressources.</w:t>
      </w:r>
    </w:p>
    <w:p>
      <w:pPr>
        <w:pStyle w:val="ListBullet"/>
        <w:jc w:val="both"/>
      </w:pPr>
      <w:r>
        <w:rPr>
          <w:b/>
          <w:sz w:val="21"/>
        </w:rPr>
        <w:t>Mise à disposition d'une concasseuse de Djansang</w:t>
      </w:r>
      <w:r>
        <w:rPr>
          <w:sz w:val="21"/>
        </w:rPr>
        <w:t>, équipement de transformation qui réduit la pénibilité, augmente la valeur ajoutée et la qualité du produit commercialisé.</w:t>
      </w:r>
    </w:p>
    <w:p>
      <w:pPr>
        <w:pStyle w:val="ListBullet"/>
        <w:jc w:val="both"/>
      </w:pPr>
      <w:r>
        <w:rPr>
          <w:b/>
          <w:sz w:val="21"/>
        </w:rPr>
        <w:t>Mise à disposition d'un tricycle</w:t>
      </w:r>
      <w:r>
        <w:rPr>
          <w:sz w:val="21"/>
        </w:rPr>
        <w:t>, qui répond directement à la contrainte majeure du transport et du désenclavement des zones de collecte.</w:t>
      </w:r>
    </w:p>
    <w:p>
      <w:pPr>
        <w:pStyle w:val="ListBullet"/>
        <w:jc w:val="both"/>
      </w:pPr>
      <w:r>
        <w:rPr>
          <w:b/>
          <w:sz w:val="21"/>
        </w:rPr>
        <w:t>Accompagnement de Pallisco dans le transport vers les UFA</w:t>
      </w:r>
      <w:r>
        <w:rPr>
          <w:sz w:val="21"/>
        </w:rPr>
        <w:t xml:space="preserve"> et </w:t>
      </w:r>
      <w:r>
        <w:rPr>
          <w:b/>
          <w:sz w:val="21"/>
        </w:rPr>
        <w:t>accès accordé par SEFECAM ainsi que DINO et Fils</w:t>
      </w:r>
      <w:r>
        <w:rPr>
          <w:sz w:val="21"/>
        </w:rPr>
        <w:t xml:space="preserve"> à leurs concessions, qui sécurisent juridiquement et matériellement l'accès à la ressource forestière — principal gisement de PFNL (25 mentions d'UFA).</w:t>
      </w:r>
    </w:p>
    <w:p>
      <w:pPr>
        <w:keepNext/>
        <w:spacing w:before="180" w:after="80"/>
      </w:pPr>
      <w:r>
        <w:rPr>
          <w:rFonts w:ascii="Calibri" w:hAnsi="Calibri"/>
          <w:b/>
          <w:color w:val="0A8A75"/>
          <w:sz w:val="24"/>
        </w:rPr>
        <w:t>Enjeux</w:t>
      </w:r>
    </w:p>
    <w:p>
      <w:pPr>
        <w:jc w:val="both"/>
      </w:pPr>
      <w:r>
        <w:rPr>
          <w:sz w:val="22"/>
        </w:rPr>
        <w:t xml:space="preserve">Le principal enjeu est de </w:t>
      </w:r>
      <w:r>
        <w:rPr>
          <w:b/>
          <w:sz w:val="22"/>
        </w:rPr>
        <w:t>transformer ces appuis ponctuels en un système pérenne et autonome</w:t>
      </w:r>
      <w:r>
        <w:rPr>
          <w:sz w:val="22"/>
        </w:rPr>
        <w:t xml:space="preserve"> de valorisation collective. La convergence d'une ressource abondante, d'une demande régionale (Lomié, Abong-Mbang, Bertoua, Yaoundé), d'un tissu coopératif structuré (Centre Vert, GIC) et d'équipements (concasseuse, tricycle) offre une fenêtre d'opportunité rare ; l'enjeu est d'en assurer la </w:t>
      </w:r>
      <w:r>
        <w:rPr>
          <w:b/>
          <w:sz w:val="22"/>
        </w:rPr>
        <w:t>gouvernance équitable</w:t>
      </w:r>
      <w:r>
        <w:rPr>
          <w:sz w:val="22"/>
        </w:rPr>
        <w:t xml:space="preserve"> — notamment envers les femmes, majoritaires dans la collecte, et les populations Baka — et la </w:t>
      </w:r>
      <w:r>
        <w:rPr>
          <w:b/>
          <w:sz w:val="22"/>
        </w:rPr>
        <w:t>durabilité écologique</w:t>
      </w:r>
      <w:r>
        <w:rPr>
          <w:sz w:val="22"/>
        </w:rPr>
        <w:t xml:space="preserve"> de la ressource (gestion des espèces sensibles comme le Moabi).</w:t>
      </w:r>
    </w:p>
    <w:p>
      <w:pPr>
        <w:keepNext/>
        <w:spacing w:before="180" w:after="80"/>
      </w:pPr>
      <w:r>
        <w:rPr>
          <w:rFonts w:ascii="Calibri" w:hAnsi="Calibri"/>
          <w:b/>
          <w:color w:val="0A8A75"/>
          <w:sz w:val="24"/>
        </w:rPr>
        <w:t>Matrice SWOT</w:t>
      </w:r>
    </w:p>
    <w:p>
      <w:pPr>
        <w:keepNext/>
        <w:spacing w:before="160" w:after="40"/>
      </w:pPr>
      <w:r>
        <w:rPr>
          <w:rFonts w:ascii="Calibri" w:hAnsi="Calibri"/>
          <w:b/>
          <w:color w:val="0A1628"/>
          <w:sz w:val="19"/>
        </w:rPr>
        <w:t>Tableau 6. Matrice SWOT de la valorisation des PFNL dans l'arrondissement de Lomié</w:t>
      </w: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0A8A75"/>
          </w:tcPr>
          <w:p>
            <w:r>
              <w:rPr>
                <w:rFonts w:ascii="Calibri" w:hAnsi="Calibri"/>
                <w:b/>
                <w:color w:val="FFFFFF"/>
                <w:sz w:val="20"/>
              </w:rPr>
              <w:t>FORCES (internes)</w:t>
            </w:r>
          </w:p>
        </w:tc>
      </w:tr>
      <w:tr>
        <w:tc>
          <w:tcPr>
            <w:tcW w:type="dxa" w:w="9632"/>
            <w:gridSpan w:val="2"/>
          </w:tcPr>
          <w:p>
            <w:pPr>
              <w:jc w:val="both"/>
            </w:pPr>
            <w:r>
              <w:rPr>
                <w:b/>
                <w:sz w:val="18"/>
              </w:rPr>
              <w:t xml:space="preserve">• </w:t>
            </w:r>
            <w:r>
              <w:rPr>
                <w:b/>
                <w:sz w:val="18"/>
              </w:rPr>
              <w:t>Ressource abondante et diversifiée</w:t>
            </w:r>
            <w:r>
              <w:rPr>
                <w:sz w:val="18"/>
              </w:rPr>
              <w:t xml:space="preserve"> — 11 PFNL collectés, dont 5 majeurs à forte valeur commerciale, portés par des espèces bien représentées dans les agroforêts et le massif forestier.</w:t>
            </w:r>
          </w:p>
          <w:p>
            <w:pPr>
              <w:jc w:val="both"/>
            </w:pPr>
            <w:r>
              <w:rPr>
                <w:b/>
                <w:sz w:val="18"/>
              </w:rPr>
              <w:t xml:space="preserve">• </w:t>
            </w:r>
            <w:r>
              <w:rPr>
                <w:b/>
                <w:sz w:val="18"/>
              </w:rPr>
              <w:t>Savoir-faire de collecte et de transformation</w:t>
            </w:r>
            <w:r>
              <w:rPr>
                <w:sz w:val="18"/>
              </w:rPr>
              <w:t xml:space="preserve"> — maîtrise des « boules » de Mango et de l'huile de Moabi, extensible à d'autres produits.</w:t>
            </w:r>
          </w:p>
          <w:p>
            <w:pPr>
              <w:jc w:val="both"/>
            </w:pPr>
            <w:r>
              <w:rPr>
                <w:b/>
                <w:sz w:val="18"/>
              </w:rPr>
              <w:t xml:space="preserve">• </w:t>
            </w:r>
            <w:r>
              <w:rPr>
                <w:sz w:val="18"/>
              </w:rPr>
              <w:t>Forte implication des femmes (72 %) et organisation familiale de la collecte.</w:t>
            </w:r>
          </w:p>
          <w:p>
            <w:pPr>
              <w:jc w:val="both"/>
            </w:pPr>
            <w:r>
              <w:rPr>
                <w:b/>
                <w:sz w:val="18"/>
              </w:rPr>
              <w:t xml:space="preserve">• </w:t>
            </w:r>
            <w:r>
              <w:rPr>
                <w:b/>
                <w:sz w:val="18"/>
              </w:rPr>
              <w:t>Tissu associatif structuré</w:t>
            </w:r>
            <w:r>
              <w:rPr>
                <w:sz w:val="18"/>
              </w:rPr>
              <w:t xml:space="preserve"> — quatre GIC, dont PLACKO, dont l'appartenance est un déterminant significatif du revenu.</w:t>
            </w:r>
          </w:p>
        </w:tc>
      </w:tr>
      <w:tr>
        <w:tc>
          <w:tcPr>
            <w:tcW w:type="dxa" w:w="9632"/>
            <w:gridSpan w:val="2"/>
            <w:shd w:val="clear" w:fill="EA580C"/>
          </w:tcPr>
          <w:p>
            <w:r>
              <w:rPr>
                <w:rFonts w:ascii="Calibri" w:hAnsi="Calibri"/>
                <w:b/>
                <w:color w:val="FFFFFF"/>
                <w:sz w:val="20"/>
              </w:rPr>
              <w:t>FAIBLESSES (internes)</w:t>
            </w:r>
          </w:p>
        </w:tc>
      </w:tr>
      <w:tr>
        <w:tc>
          <w:tcPr>
            <w:tcW w:type="dxa" w:w="9632"/>
            <w:gridSpan w:val="2"/>
          </w:tcPr>
          <w:p>
            <w:pPr>
              <w:jc w:val="both"/>
            </w:pPr>
            <w:r>
              <w:rPr>
                <w:b/>
                <w:sz w:val="18"/>
              </w:rPr>
              <w:t xml:space="preserve">• </w:t>
            </w:r>
            <w:r>
              <w:rPr>
                <w:b/>
                <w:sz w:val="18"/>
              </w:rPr>
              <w:t>Pénibilité et insécurité de la collecte</w:t>
            </w:r>
            <w:r>
              <w:rPr>
                <w:sz w:val="18"/>
              </w:rPr>
              <w:t xml:space="preserve"> — éloignement, marche à pied, insécurité en forêt, problèmes de ration alimentaire.</w:t>
            </w:r>
          </w:p>
          <w:p>
            <w:pPr>
              <w:jc w:val="both"/>
            </w:pPr>
            <w:r>
              <w:rPr>
                <w:b/>
                <w:sz w:val="18"/>
              </w:rPr>
              <w:t xml:space="preserve">• </w:t>
            </w:r>
            <w:r>
              <w:rPr>
                <w:b/>
                <w:sz w:val="18"/>
              </w:rPr>
              <w:t>Faible pouvoir de négociation</w:t>
            </w:r>
            <w:r>
              <w:rPr>
                <w:sz w:val="18"/>
              </w:rPr>
              <w:t xml:space="preserve"> — prix subis, variabilité des prix, manque d'acheteurs réguliers.</w:t>
            </w:r>
          </w:p>
          <w:p>
            <w:pPr>
              <w:jc w:val="both"/>
            </w:pPr>
            <w:r>
              <w:rPr>
                <w:b/>
                <w:sz w:val="18"/>
              </w:rPr>
              <w:t xml:space="preserve">• </w:t>
            </w:r>
            <w:r>
              <w:rPr>
                <w:sz w:val="18"/>
              </w:rPr>
              <w:t>Insertion inéquitable de la main-d'œuvre Baka, à revenu propre plus faible.</w:t>
            </w:r>
          </w:p>
          <w:p>
            <w:pPr>
              <w:jc w:val="both"/>
            </w:pPr>
            <w:r>
              <w:rPr>
                <w:b/>
                <w:sz w:val="18"/>
              </w:rPr>
              <w:t xml:space="preserve">• </w:t>
            </w:r>
            <w:r>
              <w:rPr>
                <w:sz w:val="18"/>
              </w:rPr>
              <w:t>Revenus dépendants de la saisonnalité et d'un temps d'apprentissage d'environ cinq ans.</w:t>
            </w:r>
          </w:p>
        </w:tc>
      </w:tr>
      <w:tr>
        <w:tc>
          <w:tcPr>
            <w:tcW w:type="dxa" w:w="9632"/>
            <w:gridSpan w:val="2"/>
            <w:shd w:val="clear" w:fill="0A8A75"/>
          </w:tcPr>
          <w:p>
            <w:r>
              <w:rPr>
                <w:rFonts w:ascii="Calibri" w:hAnsi="Calibri"/>
                <w:b/>
                <w:color w:val="FFFFFF"/>
                <w:sz w:val="20"/>
              </w:rPr>
              <w:t>OPPORTUNITÉS (externes)</w:t>
            </w:r>
          </w:p>
        </w:tc>
      </w:tr>
      <w:tr>
        <w:tc>
          <w:tcPr>
            <w:tcW w:type="dxa" w:w="9632"/>
            <w:gridSpan w:val="2"/>
          </w:tcPr>
          <w:p>
            <w:pPr>
              <w:jc w:val="both"/>
            </w:pPr>
            <w:r>
              <w:rPr>
                <w:b/>
                <w:sz w:val="18"/>
              </w:rPr>
              <w:t xml:space="preserve">• </w:t>
            </w:r>
            <w:r>
              <w:rPr>
                <w:b/>
                <w:sz w:val="18"/>
              </w:rPr>
              <w:t>Collaboration inter-GIC (Mpoula Mepeh, Lumière Plus, Femmes Dynamiques) et appartenance à la Coopérative Centre Vert de Lomié</w:t>
            </w:r>
            <w:r>
              <w:rPr>
                <w:sz w:val="18"/>
              </w:rPr>
              <w:t xml:space="preserve"> — cadre de vente groupée et de négociation.</w:t>
            </w:r>
          </w:p>
          <w:p>
            <w:pPr>
              <w:jc w:val="both"/>
            </w:pPr>
            <w:r>
              <w:rPr>
                <w:b/>
                <w:sz w:val="18"/>
              </w:rPr>
              <w:t xml:space="preserve">• </w:t>
            </w:r>
            <w:r>
              <w:rPr>
                <w:b/>
                <w:sz w:val="18"/>
              </w:rPr>
              <w:t>Appui du projet GEF 7 et du projet UE-TRIDOM / Nature+</w:t>
            </w:r>
            <w:r>
              <w:rPr>
                <w:sz w:val="18"/>
              </w:rPr>
              <w:t xml:space="preserve"> — financement et accompagnement technique.</w:t>
            </w:r>
          </w:p>
          <w:p>
            <w:pPr>
              <w:jc w:val="both"/>
            </w:pPr>
            <w:r>
              <w:rPr>
                <w:b/>
                <w:sz w:val="18"/>
              </w:rPr>
              <w:t xml:space="preserve">• </w:t>
            </w:r>
            <w:r>
              <w:rPr>
                <w:b/>
                <w:sz w:val="18"/>
              </w:rPr>
              <w:t>Équipements structurants</w:t>
            </w:r>
            <w:r>
              <w:rPr>
                <w:sz w:val="18"/>
              </w:rPr>
              <w:t xml:space="preserve"> — concasseuse de Djansang (valeur ajoutée) et tricycle (transport / désenclavement).</w:t>
            </w:r>
          </w:p>
          <w:p>
            <w:pPr>
              <w:jc w:val="both"/>
            </w:pPr>
            <w:r>
              <w:rPr>
                <w:b/>
                <w:sz w:val="18"/>
              </w:rPr>
              <w:t xml:space="preserve">• </w:t>
            </w:r>
            <w:r>
              <w:rPr>
                <w:b/>
                <w:sz w:val="18"/>
              </w:rPr>
              <w:t>Accès sécurisé à la ressource</w:t>
            </w:r>
            <w:r>
              <w:rPr>
                <w:sz w:val="18"/>
              </w:rPr>
              <w:t xml:space="preserve"> — accompagnement de Pallisco et accès accordé par SEFECAM, DINO et Fils aux UFA ; demande des marchés régionaux (Bertoua, Yaoundé) ; cadre légal rénové (loi 2024/008, PND-PFNL 2024).</w:t>
            </w:r>
          </w:p>
        </w:tc>
      </w:tr>
      <w:tr>
        <w:tc>
          <w:tcPr>
            <w:tcW w:type="dxa" w:w="9632"/>
            <w:gridSpan w:val="2"/>
            <w:shd w:val="clear" w:fill="EA580C"/>
          </w:tcPr>
          <w:p>
            <w:r>
              <w:rPr>
                <w:rFonts w:ascii="Calibri" w:hAnsi="Calibri"/>
                <w:b/>
                <w:color w:val="FFFFFF"/>
                <w:sz w:val="20"/>
              </w:rPr>
              <w:t>MENACES (externes)</w:t>
            </w:r>
          </w:p>
        </w:tc>
      </w:tr>
      <w:tr>
        <w:tc>
          <w:tcPr>
            <w:tcW w:type="dxa" w:w="9632"/>
            <w:gridSpan w:val="2"/>
          </w:tcPr>
          <w:p>
            <w:pPr>
              <w:jc w:val="both"/>
            </w:pPr>
            <w:r>
              <w:rPr>
                <w:b/>
                <w:sz w:val="18"/>
              </w:rPr>
              <w:t xml:space="preserve">• </w:t>
            </w:r>
            <w:r>
              <w:rPr>
                <w:sz w:val="18"/>
              </w:rPr>
              <w:t>Variabilité des prix et faiblesse structurelle des débouchés sur un marché informel.</w:t>
            </w:r>
          </w:p>
          <w:p>
            <w:pPr>
              <w:jc w:val="both"/>
            </w:pPr>
            <w:r>
              <w:rPr>
                <w:b/>
                <w:sz w:val="18"/>
              </w:rPr>
              <w:t xml:space="preserve">• </w:t>
            </w:r>
            <w:r>
              <w:rPr>
                <w:sz w:val="18"/>
              </w:rPr>
              <w:t>Enclavement et coût élevé du transport vers les marchés.</w:t>
            </w:r>
          </w:p>
          <w:p>
            <w:pPr>
              <w:jc w:val="both"/>
            </w:pPr>
            <w:r>
              <w:rPr>
                <w:b/>
                <w:sz w:val="18"/>
              </w:rPr>
              <w:t xml:space="preserve">• </w:t>
            </w:r>
            <w:r>
              <w:rPr>
                <w:sz w:val="18"/>
              </w:rPr>
              <w:t>Vol des produits et escroquerie signalés par les collecteurs.</w:t>
            </w:r>
          </w:p>
          <w:p>
            <w:pPr>
              <w:jc w:val="both"/>
            </w:pPr>
            <w:r>
              <w:rPr>
                <w:b/>
                <w:sz w:val="18"/>
              </w:rPr>
              <w:t xml:space="preserve">• </w:t>
            </w:r>
            <w:r>
              <w:rPr>
                <w:sz w:val="18"/>
              </w:rPr>
              <w:t>Pression sur la ressource et risque de surexploitation des espèces sensibles (Moabi), aggravés par l'expansion cacaoyère (extensions de cacao).</w:t>
            </w:r>
          </w:p>
        </w:tc>
      </w:tr>
    </w:tbl>
    <w:p>
      <w:pPr>
        <w:jc w:val="both"/>
      </w:pPr>
      <w:r>
        <w:rPr>
          <w:sz w:val="22"/>
        </w:rPr>
        <w:t xml:space="preserve">Chaque élément de la matrice est directement adossé aux données d'enquête (contraintes déclarées, déterminants du revenu) et aux dynamiques collectives observées, ce qui garantit la validité empirique du diagnostic. La lecture croisée des quadrants suggère une stratégie claire : </w:t>
      </w:r>
      <w:r>
        <w:rPr>
          <w:b/>
          <w:sz w:val="22"/>
        </w:rPr>
        <w:t>mobiliser les opportunités externes (coopérative, GEF 7, équipements, accès sécurisé) pour lever les faiblesses internes (négociation, transport, transformation)</w:t>
      </w:r>
      <w:r>
        <w:rPr>
          <w:sz w:val="22"/>
        </w:rPr>
        <w:t>, tout en surveillant la durabilité écologique de la ressource.</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