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RAPPORT DES CORRECTIONS ET AMÉLIORATIONS APPORTÉES</w:t>
      </w:r>
    </w:p>
    <w:p>
      <w:pPr>
        <w:jc w:val="both"/>
      </w:pPr>
      <w:r>
        <w:rPr>
          <w:sz w:val="22"/>
        </w:rPr>
        <w:t>Ce rapport recense les analyses complémentaires produites, les améliorations scientifiques apportées de notre propre initiative, ainsi que les corrections et points de vigilance issus du contrôle qualité. Toutes les valeurs proviennent de la base de données finale (50 ménages ; inventaire de 2 379 arbres).</w:t>
      </w:r>
    </w:p>
    <w:p>
      <w:pPr>
        <w:keepNext/>
        <w:spacing w:before="240" w:after="120"/>
      </w:pPr>
      <w:r>
        <w:rPr>
          <w:rFonts w:ascii="Calibri" w:hAnsi="Calibri"/>
          <w:b/>
          <w:color w:val="0A1628"/>
          <w:sz w:val="28"/>
        </w:rPr>
        <w:t>1. Analyses complémentaires produites</w:t>
      </w:r>
    </w:p>
    <w:p>
      <w:pPr>
        <w:pStyle w:val="ListBullet"/>
        <w:jc w:val="both"/>
      </w:pPr>
      <w:r>
        <w:rPr>
          <w:b/>
          <w:sz w:val="21"/>
        </w:rPr>
        <w:t>Profil social des enquêtés</w:t>
      </w:r>
      <w:r>
        <w:rPr>
          <w:sz w:val="21"/>
        </w:rPr>
        <w:t xml:space="preserve"> : figure de synthèse (4 volets) + tableau + interprétation scientifique.</w:t>
      </w:r>
    </w:p>
    <w:p>
      <w:pPr>
        <w:pStyle w:val="ListBullet"/>
        <w:jc w:val="both"/>
      </w:pPr>
      <w:r>
        <w:rPr>
          <w:b/>
          <w:sz w:val="21"/>
        </w:rPr>
        <w:t>Organisation de la collecte</w:t>
      </w:r>
      <w:r>
        <w:rPr>
          <w:sz w:val="21"/>
        </w:rPr>
        <w:t xml:space="preserve"> : figure de synthèse (méthode / type / main-d'œuvre) + tableau + interprétation.</w:t>
      </w:r>
    </w:p>
    <w:p>
      <w:pPr>
        <w:pStyle w:val="ListBullet"/>
        <w:jc w:val="both"/>
      </w:pPr>
      <w:r>
        <w:rPr>
          <w:b/>
          <w:sz w:val="21"/>
        </w:rPr>
        <w:t>Facteurs déterminant le revenu PFNL</w:t>
      </w:r>
      <w:r>
        <w:rPr>
          <w:sz w:val="21"/>
        </w:rPr>
        <w:t xml:space="preserve"> : dix facteurs testés (contre six auparavant), avec ajout des tests sur le </w:t>
      </w:r>
      <w:r>
        <w:rPr>
          <w:b/>
          <w:sz w:val="21"/>
        </w:rPr>
        <w:t>recours à la main-d'œuvre</w:t>
      </w:r>
      <w:r>
        <w:rPr>
          <w:sz w:val="21"/>
        </w:rPr>
        <w:t xml:space="preserve">, les </w:t>
      </w:r>
      <w:r>
        <w:rPr>
          <w:b/>
          <w:sz w:val="21"/>
        </w:rPr>
        <w:t>lieux de collecte</w:t>
      </w:r>
      <w:r>
        <w:rPr>
          <w:sz w:val="21"/>
        </w:rPr>
        <w:t xml:space="preserve">, les </w:t>
      </w:r>
      <w:r>
        <w:rPr>
          <w:b/>
          <w:sz w:val="21"/>
        </w:rPr>
        <w:t>zones de collecte (UFA)</w:t>
      </w:r>
      <w:r>
        <w:rPr>
          <w:sz w:val="21"/>
        </w:rPr>
        <w:t xml:space="preserve"> et l'</w:t>
      </w:r>
      <w:r>
        <w:rPr>
          <w:b/>
          <w:sz w:val="21"/>
        </w:rPr>
        <w:t>appartenance au GIC</w:t>
      </w:r>
      <w:r>
        <w:rPr>
          <w:sz w:val="21"/>
        </w:rPr>
        <w:t xml:space="preserve"> ; figure de significativité, box-plots et tableau de synthèse.</w:t>
      </w:r>
    </w:p>
    <w:p>
      <w:pPr>
        <w:pStyle w:val="ListBullet"/>
        <w:jc w:val="both"/>
      </w:pPr>
      <w:r>
        <w:rPr>
          <w:b/>
          <w:sz w:val="21"/>
        </w:rPr>
        <w:t>Limites de l'étude</w:t>
      </w:r>
      <w:r>
        <w:rPr>
          <w:sz w:val="21"/>
        </w:rPr>
        <w:t xml:space="preserve"> : six catégories de limites (méthodologiques, statistiques, échantillonnage, données, terrain, généralisation).</w:t>
      </w:r>
    </w:p>
    <w:p>
      <w:pPr>
        <w:pStyle w:val="ListBullet"/>
        <w:jc w:val="both"/>
      </w:pPr>
      <w:r>
        <w:rPr>
          <w:b/>
          <w:sz w:val="21"/>
        </w:rPr>
        <w:t>Opportunités, contraintes et matrice SWOT</w:t>
      </w:r>
      <w:r>
        <w:rPr>
          <w:sz w:val="21"/>
        </w:rPr>
        <w:t xml:space="preserve"> : intégration des dynamiques collectives de terrain (Coopérative Centre Vert, GEF 7, concasseuse, tricycle, accès UFA Pallisco/SEFECAM/DINO et Fils).</w:t>
      </w:r>
    </w:p>
    <w:p>
      <w:pPr>
        <w:pStyle w:val="ListBullet"/>
        <w:jc w:val="both"/>
      </w:pPr>
      <w:r>
        <w:rPr>
          <w:b/>
          <w:sz w:val="21"/>
        </w:rPr>
        <w:t>Discussion</w:t>
      </w:r>
      <w:r>
        <w:rPr>
          <w:sz w:val="21"/>
        </w:rPr>
        <w:t xml:space="preserve"> : chapitre indépendant confrontant tous les résultats à la littérature camerounaise et d'Afrique centrale.</w:t>
      </w:r>
    </w:p>
    <w:p>
      <w:pPr>
        <w:pStyle w:val="ListBullet"/>
        <w:jc w:val="both"/>
      </w:pPr>
      <w:r>
        <w:rPr>
          <w:b/>
          <w:sz w:val="21"/>
        </w:rPr>
        <w:t>Conclusion générale, recommandations, perspectives</w:t>
      </w:r>
      <w:r>
        <w:rPr>
          <w:sz w:val="21"/>
        </w:rPr>
        <w:t xml:space="preserve"> ; </w:t>
      </w:r>
      <w:r>
        <w:rPr>
          <w:b/>
          <w:sz w:val="21"/>
        </w:rPr>
        <w:t>Résumé et Abstract</w:t>
      </w:r>
      <w:r>
        <w:rPr>
          <w:sz w:val="21"/>
        </w:rPr>
        <w:t xml:space="preserve"> cohérents.</w:t>
      </w:r>
    </w:p>
    <w:p>
      <w:pPr>
        <w:keepNext/>
        <w:spacing w:before="240" w:after="120"/>
      </w:pPr>
      <w:r>
        <w:rPr>
          <w:rFonts w:ascii="Calibri" w:hAnsi="Calibri"/>
          <w:b/>
          <w:color w:val="0A1628"/>
          <w:sz w:val="28"/>
        </w:rPr>
        <w:t>2. Améliorations scientifiques apportées de notre propre initiative</w:t>
      </w:r>
    </w:p>
    <w:p>
      <w:pPr>
        <w:pStyle w:val="ListBullet"/>
        <w:jc w:val="both"/>
      </w:pPr>
      <w:r>
        <w:rPr>
          <w:b/>
          <w:sz w:val="21"/>
        </w:rPr>
        <w:t>Analyse multivariée</w:t>
      </w:r>
      <w:r>
        <w:rPr>
          <w:sz w:val="21"/>
        </w:rPr>
        <w:t xml:space="preserve"> (régression linéaire multiple sur log(1 + revenu)) : au-delà des tests bivariés, un modèle explique 55,7 % de la variance du revenu (R² ajusté = 0,51) et hiérarchise les déterminants robustes (expérience ≥ 5 ans, accès à la forêt, pénalité Baka), en montrant que l'effet du nombre de PFNL et du GIC est médié par ces facteurs.</w:t>
      </w:r>
    </w:p>
    <w:p>
      <w:pPr>
        <w:pStyle w:val="ListBullet"/>
        <w:jc w:val="both"/>
      </w:pPr>
      <w:r>
        <w:rPr>
          <w:b/>
          <w:sz w:val="21"/>
        </w:rPr>
        <w:t>Nombre moyen de PFNL par ménage (3,44 ± 1,69) et par GIC</w:t>
      </w:r>
      <w:r>
        <w:rPr>
          <w:sz w:val="21"/>
        </w:rPr>
        <w:t xml:space="preserve"> explicités par un tableau et une figure dédiés.</w:t>
      </w:r>
    </w:p>
    <w:p>
      <w:pPr>
        <w:pStyle w:val="ListBullet"/>
        <w:jc w:val="both"/>
      </w:pPr>
      <w:r>
        <w:rPr>
          <w:b/>
          <w:sz w:val="21"/>
        </w:rPr>
        <w:t>Enrichissement du classeur Excel</w:t>
      </w:r>
      <w:r>
        <w:rPr>
          <w:sz w:val="21"/>
        </w:rPr>
        <w:t xml:space="preserve"> : ajout d'une feuille de données de base par ménage, d'une feuille panier PFNL/GIC et d'une feuille de régression multivariée ; suppression de la feuille de tests redondante.</w:t>
      </w:r>
    </w:p>
    <w:p>
      <w:pPr>
        <w:pStyle w:val="ListBullet"/>
        <w:jc w:val="both"/>
      </w:pPr>
      <w:r>
        <w:rPr>
          <w:sz w:val="21"/>
        </w:rPr>
        <w:t xml:space="preserve">Passage de statistiques purement descriptives à une </w:t>
      </w:r>
      <w:r>
        <w:rPr>
          <w:b/>
          <w:sz w:val="21"/>
        </w:rPr>
        <w:t>analyse inférentielle</w:t>
      </w:r>
      <w:r>
        <w:rPr>
          <w:sz w:val="21"/>
        </w:rPr>
        <w:t xml:space="preserve"> des déterminants du revenu (tests non paramétriques justifiés + post-hoc de Dunn).</w:t>
      </w:r>
    </w:p>
    <w:p>
      <w:pPr>
        <w:pStyle w:val="ListBullet"/>
        <w:jc w:val="both"/>
      </w:pPr>
      <w:r>
        <w:rPr>
          <w:sz w:val="21"/>
        </w:rPr>
        <w:t>Ajout d'</w:t>
      </w:r>
      <w:r>
        <w:rPr>
          <w:b/>
          <w:sz w:val="21"/>
        </w:rPr>
        <w:t>intervalles de confiance</w:t>
      </w:r>
      <w:r>
        <w:rPr>
          <w:sz w:val="21"/>
        </w:rPr>
        <w:t xml:space="preserve"> (Wilson pour les proportions, Student pour les moyennes) et de </w:t>
      </w:r>
      <w:r>
        <w:rPr>
          <w:b/>
          <w:sz w:val="21"/>
        </w:rPr>
        <w:t>quartiles / coefficients de variation</w:t>
      </w:r>
      <w:r>
        <w:rPr>
          <w:sz w:val="21"/>
        </w:rPr>
        <w:t xml:space="preserve"> pour caractériser la dispersion.</w:t>
      </w:r>
    </w:p>
    <w:p>
      <w:pPr>
        <w:pStyle w:val="ListBullet"/>
        <w:jc w:val="both"/>
      </w:pPr>
      <w:r>
        <w:rPr>
          <w:sz w:val="21"/>
        </w:rPr>
        <w:t xml:space="preserve">Recalcul et </w:t>
      </w:r>
      <w:r>
        <w:rPr>
          <w:b/>
          <w:sz w:val="21"/>
        </w:rPr>
        <w:t>vérification indépendante</w:t>
      </w:r>
      <w:r>
        <w:rPr>
          <w:sz w:val="21"/>
        </w:rPr>
        <w:t xml:space="preserve"> de tous les indices de diversité (Shannon, Simpson, Piélou), densités, surfaces terrières et fréquences de citation à partir des données brutes.</w:t>
      </w:r>
    </w:p>
    <w:p>
      <w:pPr>
        <w:pStyle w:val="ListBullet"/>
        <w:jc w:val="both"/>
      </w:pPr>
      <w:r>
        <w:rPr>
          <w:sz w:val="21"/>
        </w:rPr>
        <w:t xml:space="preserve">Mise en évidence de </w:t>
      </w:r>
      <w:r>
        <w:rPr>
          <w:b/>
          <w:sz w:val="21"/>
        </w:rPr>
        <w:t>nouveaux résultats significatifs</w:t>
      </w:r>
      <w:r>
        <w:rPr>
          <w:sz w:val="21"/>
        </w:rPr>
        <w:t xml:space="preserve"> : effet du GIC (PLACKO se distingue) et des lieux de collecte (village + forêt), auparavant non analysés.</w:t>
      </w:r>
    </w:p>
    <w:p>
      <w:pPr>
        <w:pStyle w:val="ListBullet"/>
        <w:jc w:val="both"/>
      </w:pPr>
      <w:r>
        <w:rPr>
          <w:sz w:val="21"/>
        </w:rPr>
        <w:t>Harmonisation des unités et signalement des incohérences de saisie.</w:t>
      </w:r>
    </w:p>
    <w:p>
      <w:pPr>
        <w:keepNext/>
        <w:spacing w:before="240" w:after="120"/>
      </w:pPr>
      <w:r>
        <w:rPr>
          <w:rFonts w:ascii="Calibri" w:hAnsi="Calibri"/>
          <w:b/>
          <w:color w:val="0A1628"/>
          <w:sz w:val="28"/>
        </w:rPr>
        <w:t>3. Corrections issues du contrôle qualité</w:t>
      </w:r>
    </w:p>
    <w:p>
      <w:pPr>
        <w:keepNext/>
        <w:spacing w:before="160" w:after="40"/>
      </w:pPr>
      <w:r>
        <w:rPr>
          <w:rFonts w:ascii="Calibri" w:hAnsi="Calibri"/>
          <w:b/>
          <w:color w:val="0A1628"/>
          <w:sz w:val="19"/>
        </w:rPr>
        <w:t>Tableau 1. Corrections confirmées par recalcul</w:t>
      </w:r>
    </w:p>
    <w:tbl>
      <w:tblPr>
        <w:tblStyle w:val="TableGrid"/>
        <w:tblW w:type="auto" w:w="0"/>
        <w:jc w:val="center"/>
        <w:tblLook w:firstColumn="1" w:firstRow="1" w:lastColumn="0" w:lastRow="0" w:noHBand="0" w:noVBand="1" w:val="04A0"/>
      </w:tblPr>
      <w:tblGrid>
        <w:gridCol w:w="3211"/>
        <w:gridCol w:w="3211"/>
        <w:gridCol w:w="3211"/>
      </w:tblGrid>
      <w:tr>
        <w:tc>
          <w:tcPr>
            <w:tcW w:type="dxa" w:w="2041"/>
            <w:shd w:val="clear" w:fill="0A1628"/>
          </w:tcPr>
          <w:p>
            <w:pPr>
              <w:jc w:val="center"/>
            </w:pPr>
            <w:r>
              <w:rPr>
                <w:rFonts w:ascii="Calibri" w:hAnsi="Calibri"/>
                <w:b/>
                <w:color w:val="FFFFFF"/>
                <w:sz w:val="17"/>
              </w:rPr>
              <w:t>Élément</w:t>
            </w:r>
          </w:p>
        </w:tc>
        <w:tc>
          <w:tcPr>
            <w:tcW w:type="dxa" w:w="1814"/>
            <w:shd w:val="clear" w:fill="0A1628"/>
          </w:tcPr>
          <w:p>
            <w:pPr>
              <w:jc w:val="center"/>
            </w:pPr>
            <w:r>
              <w:rPr>
                <w:rFonts w:ascii="Calibri" w:hAnsi="Calibri"/>
                <w:b/>
                <w:color w:val="FFFFFF"/>
                <w:sz w:val="17"/>
              </w:rPr>
              <w:t>Version mémoire</w:t>
            </w:r>
          </w:p>
        </w:tc>
        <w:tc>
          <w:tcPr>
            <w:tcW w:type="dxa" w:w="4932"/>
            <w:shd w:val="clear" w:fill="0A1628"/>
          </w:tcPr>
          <w:p>
            <w:pPr>
              <w:jc w:val="center"/>
            </w:pPr>
            <w:r>
              <w:rPr>
                <w:rFonts w:ascii="Calibri" w:hAnsi="Calibri"/>
                <w:b/>
                <w:color w:val="FFFFFF"/>
                <w:sz w:val="17"/>
              </w:rPr>
              <w:t>Correction</w:t>
            </w:r>
          </w:p>
        </w:tc>
      </w:tr>
      <w:tr>
        <w:tc>
          <w:tcPr>
            <w:tcW w:type="dxa" w:w="2041"/>
          </w:tcPr>
          <w:p>
            <w:pPr>
              <w:jc w:val="left"/>
            </w:pPr>
            <w:r>
              <w:rPr>
                <w:rFonts w:ascii="Calibri" w:hAnsi="Calibri"/>
                <w:sz w:val="16"/>
              </w:rPr>
              <w:t>Pourcentages GIC (texte)</w:t>
            </w:r>
          </w:p>
        </w:tc>
        <w:tc>
          <w:tcPr>
            <w:tcW w:type="dxa" w:w="1814"/>
          </w:tcPr>
          <w:p>
            <w:pPr>
              <w:jc w:val="left"/>
            </w:pPr>
            <w:r>
              <w:rPr>
                <w:rFonts w:ascii="Calibri" w:hAnsi="Calibri"/>
                <w:sz w:val="16"/>
              </w:rPr>
              <w:t>« 32 / 30 / 24 / 12 % »</w:t>
            </w:r>
          </w:p>
        </w:tc>
        <w:tc>
          <w:tcPr>
            <w:tcW w:type="dxa" w:w="4932"/>
          </w:tcPr>
          <w:p>
            <w:pPr>
              <w:jc w:val="left"/>
            </w:pPr>
            <w:r>
              <w:rPr>
                <w:rFonts w:ascii="Calibri" w:hAnsi="Calibri"/>
                <w:sz w:val="16"/>
              </w:rPr>
              <w:t>34 % Mpoulah Mepeh (17), 40 % Lumière Plus (20), 14 % PLACKO (7), 12 % Femmes Dynamiques (6) — le Tableau I (17/20/7/6) est correct, le texte doit s'y aligner</w:t>
            </w:r>
          </w:p>
        </w:tc>
      </w:tr>
      <w:tr>
        <w:tc>
          <w:tcPr>
            <w:tcW w:type="dxa" w:w="2041"/>
            <w:shd w:val="clear" w:fill="F1F5F9"/>
          </w:tcPr>
          <w:p>
            <w:pPr>
              <w:jc w:val="left"/>
            </w:pPr>
            <w:r>
              <w:rPr>
                <w:rFonts w:ascii="Calibri" w:hAnsi="Calibri"/>
                <w:sz w:val="16"/>
              </w:rPr>
              <w:t>fc du Bitter cola (Tableau V)</w:t>
            </w:r>
          </w:p>
        </w:tc>
        <w:tc>
          <w:tcPr>
            <w:tcW w:type="dxa" w:w="1814"/>
            <w:shd w:val="clear" w:fill="F1F5F9"/>
          </w:tcPr>
          <w:p>
            <w:pPr>
              <w:jc w:val="left"/>
            </w:pPr>
            <w:r>
              <w:rPr>
                <w:rFonts w:ascii="Calibri" w:hAnsi="Calibri"/>
                <w:sz w:val="16"/>
              </w:rPr>
              <w:t>4,0 %</w:t>
            </w:r>
          </w:p>
        </w:tc>
        <w:tc>
          <w:tcPr>
            <w:tcW w:type="dxa" w:w="4932"/>
            <w:shd w:val="clear" w:fill="F1F5F9"/>
          </w:tcPr>
          <w:p>
            <w:pPr>
              <w:jc w:val="left"/>
            </w:pPr>
            <w:r>
              <w:rPr>
                <w:rFonts w:ascii="Calibri" w:hAnsi="Calibri"/>
                <w:sz w:val="16"/>
              </w:rPr>
              <w:t>2,0 % (n = 1)</w:t>
            </w:r>
          </w:p>
        </w:tc>
      </w:tr>
      <w:tr>
        <w:tc>
          <w:tcPr>
            <w:tcW w:type="dxa" w:w="2041"/>
          </w:tcPr>
          <w:p>
            <w:pPr>
              <w:jc w:val="left"/>
            </w:pPr>
            <w:r>
              <w:rPr>
                <w:rFonts w:ascii="Calibri" w:hAnsi="Calibri"/>
                <w:sz w:val="16"/>
              </w:rPr>
              <w:t>Ration alimentaire (usage des revenus)</w:t>
            </w:r>
          </w:p>
        </w:tc>
        <w:tc>
          <w:tcPr>
            <w:tcW w:type="dxa" w:w="1814"/>
          </w:tcPr>
          <w:p>
            <w:pPr>
              <w:jc w:val="left"/>
            </w:pPr>
            <w:r>
              <w:rPr>
                <w:rFonts w:ascii="Calibri" w:hAnsi="Calibri"/>
                <w:sz w:val="16"/>
              </w:rPr>
              <w:t>50,0 %</w:t>
            </w:r>
          </w:p>
        </w:tc>
        <w:tc>
          <w:tcPr>
            <w:tcW w:type="dxa" w:w="4932"/>
          </w:tcPr>
          <w:p>
            <w:pPr>
              <w:jc w:val="left"/>
            </w:pPr>
            <w:r>
              <w:rPr>
                <w:rFonts w:ascii="Calibri" w:hAnsi="Calibri"/>
                <w:sz w:val="16"/>
              </w:rPr>
              <w:t>48,0 % (n = 24)</w:t>
            </w:r>
          </w:p>
        </w:tc>
      </w:tr>
      <w:tr>
        <w:tc>
          <w:tcPr>
            <w:tcW w:type="dxa" w:w="2041"/>
            <w:shd w:val="clear" w:fill="F1F5F9"/>
          </w:tcPr>
          <w:p>
            <w:pPr>
              <w:jc w:val="left"/>
            </w:pPr>
            <w:r>
              <w:rPr>
                <w:rFonts w:ascii="Calibri" w:hAnsi="Calibri"/>
                <w:sz w:val="16"/>
              </w:rPr>
              <w:t>Référence Pielou</w:t>
            </w:r>
          </w:p>
        </w:tc>
        <w:tc>
          <w:tcPr>
            <w:tcW w:type="dxa" w:w="1814"/>
            <w:shd w:val="clear" w:fill="F1F5F9"/>
          </w:tcPr>
          <w:p>
            <w:pPr>
              <w:jc w:val="left"/>
            </w:pPr>
            <w:r>
              <w:rPr>
                <w:rFonts w:ascii="Calibri" w:hAnsi="Calibri"/>
                <w:sz w:val="16"/>
              </w:rPr>
              <w:t>1996</w:t>
            </w:r>
          </w:p>
        </w:tc>
        <w:tc>
          <w:tcPr>
            <w:tcW w:type="dxa" w:w="4932"/>
            <w:shd w:val="clear" w:fill="F1F5F9"/>
          </w:tcPr>
          <w:p>
            <w:pPr>
              <w:jc w:val="left"/>
            </w:pPr>
            <w:r>
              <w:rPr>
                <w:rFonts w:ascii="Calibri" w:hAnsi="Calibri"/>
                <w:sz w:val="16"/>
              </w:rPr>
              <w:t>1966 (Journal of Theoretical Biology) ; DOI à corriger</w:t>
            </w:r>
          </w:p>
        </w:tc>
      </w:tr>
      <w:tr>
        <w:tc>
          <w:tcPr>
            <w:tcW w:type="dxa" w:w="2041"/>
          </w:tcPr>
          <w:p>
            <w:pPr>
              <w:jc w:val="left"/>
            </w:pPr>
            <w:r>
              <w:rPr>
                <w:rFonts w:ascii="Calibri" w:hAnsi="Calibri"/>
                <w:sz w:val="16"/>
              </w:rPr>
              <w:t>Nom de genre (Tableau V)</w:t>
            </w:r>
          </w:p>
        </w:tc>
        <w:tc>
          <w:tcPr>
            <w:tcW w:type="dxa" w:w="1814"/>
          </w:tcPr>
          <w:p>
            <w:pPr>
              <w:jc w:val="left"/>
            </w:pPr>
            <w:r>
              <w:rPr>
                <w:rFonts w:ascii="Calibri" w:hAnsi="Calibri"/>
                <w:sz w:val="16"/>
              </w:rPr>
              <w:t>Afromomum</w:t>
            </w:r>
          </w:p>
        </w:tc>
        <w:tc>
          <w:tcPr>
            <w:tcW w:type="dxa" w:w="4932"/>
          </w:tcPr>
          <w:p>
            <w:pPr>
              <w:jc w:val="left"/>
            </w:pPr>
            <w:r>
              <w:rPr>
                <w:rFonts w:ascii="Calibri" w:hAnsi="Calibri"/>
                <w:sz w:val="16"/>
              </w:rPr>
              <w:t>Aframomum</w:t>
            </w:r>
          </w:p>
        </w:tc>
      </w:tr>
      <w:tr>
        <w:tc>
          <w:tcPr>
            <w:tcW w:type="dxa" w:w="2041"/>
            <w:shd w:val="clear" w:fill="F1F5F9"/>
          </w:tcPr>
          <w:p>
            <w:pPr>
              <w:jc w:val="left"/>
            </w:pPr>
            <w:r>
              <w:rPr>
                <w:rFonts w:ascii="Calibri" w:hAnsi="Calibri"/>
                <w:sz w:val="16"/>
              </w:rPr>
              <w:t>Panier PFNL par GIC</w:t>
            </w:r>
          </w:p>
        </w:tc>
        <w:tc>
          <w:tcPr>
            <w:tcW w:type="dxa" w:w="1814"/>
            <w:shd w:val="clear" w:fill="F1F5F9"/>
          </w:tcPr>
          <w:p>
            <w:pPr>
              <w:jc w:val="left"/>
            </w:pPr>
            <w:r>
              <w:rPr>
                <w:rFonts w:ascii="Calibri" w:hAnsi="Calibri"/>
                <w:sz w:val="16"/>
              </w:rPr>
              <w:t>PLACKO cité comme 1er</w:t>
            </w:r>
          </w:p>
        </w:tc>
        <w:tc>
          <w:tcPr>
            <w:tcW w:type="dxa" w:w="4932"/>
            <w:shd w:val="clear" w:fill="F1F5F9"/>
          </w:tcPr>
          <w:p>
            <w:pPr>
              <w:jc w:val="left"/>
            </w:pPr>
            <w:r>
              <w:rPr>
                <w:rFonts w:ascii="Calibri" w:hAnsi="Calibri"/>
                <w:sz w:val="16"/>
              </w:rPr>
              <w:t>Avec la base actualisée, Lumière Plus (4,25) ≈ PLACKO (4,00) ; harmoniser l'affirmation</w:t>
            </w:r>
          </w:p>
        </w:tc>
      </w:tr>
    </w:tbl>
    <w:p>
      <w:pPr>
        <w:keepNext/>
        <w:spacing w:before="240" w:after="120"/>
      </w:pPr>
      <w:r>
        <w:rPr>
          <w:rFonts w:ascii="Calibri" w:hAnsi="Calibri"/>
          <w:b/>
          <w:color w:val="0A1628"/>
          <w:sz w:val="28"/>
        </w:rPr>
        <w:t>4. Points de vigilance avant dépôt</w:t>
      </w:r>
    </w:p>
    <w:tbl>
      <w:tblPr>
        <w:tblStyle w:val="TableGrid"/>
        <w:tblW w:type="auto" w:w="0"/>
        <w:tblLook w:firstColumn="1" w:firstRow="1" w:lastColumn="0" w:lastRow="0" w:noHBand="0" w:noVBand="1" w:val="04A0"/>
      </w:tblPr>
      <w:tblGrid>
        <w:gridCol w:w="9632"/>
      </w:tblGrid>
      <w:tr>
        <w:tc>
          <w:tcPr>
            <w:tcW w:type="dxa" w:w="9632"/>
            <w:shd w:val="clear" w:fill="FDF1E7"/>
          </w:tcPr>
          <w:p>
            <w:r>
              <w:rPr>
                <w:rFonts w:ascii="Calibri" w:hAnsi="Calibri"/>
                <w:b/>
                <w:color w:val="EA580C"/>
                <w:sz w:val="18"/>
              </w:rPr>
              <w:t>Priorité 1 — Bibliographie</w:t>
            </w:r>
          </w:p>
          <w:p>
            <w:pPr>
              <w:jc w:val="both"/>
            </w:pPr>
            <w:r>
              <w:rPr>
                <w:sz w:val="19"/>
              </w:rPr>
              <w:t>La liste des références (≈ 17 entrées) doit être complétée : une trentaine de citations de la discussion (Ingram 2014, Awono et al. 2013/2016, Tchatat et al. 2002, Sonwa et al. 2007, Zapfack et al. 2016, Gonmadje et al. 2011, Fomekong et al. 2023, Jagoret et al. 2021, Mezogue &amp; Julve 2007, PND-PFNL 2024, COMIFAC 2011, Carrière 2002, Fabrice &amp; Happi 2024, Saj et al. 2017, Vermeulen et al. 2011…) n'y figurent pas. Vérifier chaque référence dans les sources originales.</w:t>
            </w:r>
          </w:p>
        </w:tc>
      </w:tr>
    </w:tbl>
    <w:p>
      <w:pPr>
        <w:spacing w:after="40"/>
      </w:pPr>
    </w:p>
    <w:p>
      <w:pPr>
        <w:pStyle w:val="ListBullet"/>
        <w:jc w:val="both"/>
      </w:pPr>
      <w:r>
        <w:rPr>
          <w:b/>
          <w:sz w:val="21"/>
        </w:rPr>
        <w:t>Données à compléter</w:t>
      </w:r>
      <w:r>
        <w:rPr>
          <w:sz w:val="21"/>
        </w:rPr>
        <w:t xml:space="preserve"> : culture du ménage ID29 ; main-d'œuvre du ménage ID23 ; unités des fiches Djansang ID35 et ID38 (litre/Combo).</w:t>
      </w:r>
    </w:p>
    <w:p>
      <w:pPr>
        <w:pStyle w:val="ListBullet"/>
        <w:jc w:val="both"/>
      </w:pPr>
      <w:r>
        <w:rPr>
          <w:b/>
          <w:sz w:val="21"/>
        </w:rPr>
        <w:t>Cartes et photos à intégrer</w:t>
      </w:r>
      <w:r>
        <w:rPr>
          <w:sz w:val="21"/>
        </w:rPr>
        <w:t xml:space="preserve"> (non générables à partir de la base, à produire par l'étudiante) : carte de localisation de Lomié, cartes QGIS de répartition des TUT, guide DHP, organigramme de l'équipe, photos de terrain.</w:t>
      </w:r>
    </w:p>
    <w:p>
      <w:pPr>
        <w:pStyle w:val="ListBullet"/>
        <w:jc w:val="both"/>
      </w:pPr>
      <w:r>
        <w:rPr>
          <w:b/>
          <w:sz w:val="21"/>
        </w:rPr>
        <w:t>Revenus</w:t>
      </w:r>
      <w:r>
        <w:rPr>
          <w:sz w:val="21"/>
        </w:rPr>
        <w:t xml:space="preserve"> exprimés en valeur brute (chiffre d'affaires) : le préciser comme limite (coûts de collecte/transport non déduits).</w:t>
      </w:r>
    </w:p>
    <w:p>
      <w:pPr>
        <w:pStyle w:val="ListBullet"/>
        <w:jc w:val="both"/>
      </w:pPr>
      <w:r>
        <w:rPr>
          <w:b/>
          <w:sz w:val="21"/>
        </w:rPr>
        <w:t>Cohérence éditoriale</w:t>
      </w:r>
      <w:r>
        <w:rPr>
          <w:sz w:val="21"/>
        </w:rPr>
        <w:t xml:space="preserve"> : rédiger le résumé/abstract (fournis), corriger la numérotation des figures et tableaux, vérifier tous les appels de figures dans le texte.</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