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CHAPITRE 3 — RÉSULTATS (version finalisée)</w:t>
      </w:r>
    </w:p>
    <w:p>
      <w:pPr>
        <w:jc w:val="both"/>
      </w:pPr>
      <w:r>
        <w:rPr>
          <w:sz w:val="22"/>
        </w:rPr>
        <w:t>Ce chapitre présente les résultats de l'étude selon les quatre objectifs spécifiques : (1) la caractérisation des types d'utilisation des terres (TUT) des agroforêts des ménages ; (2) l'évaluation de la diversité de la flore ligneuse ; (3) l'identification des PFNL valorisés et l'évaluation de leur contribution aux moyens de subsistance ; (4) la détermination des opportunités et contraintes à la valorisation des PFNL. Toutes les valeurs présentées ont été recalculées directement à partir de la base de données finale (inventaire de 2 379 arbres et enquêtes auprès de 50 ménages) de l'arrondissement de Lomié.</w:t>
      </w:r>
    </w:p>
    <w:tbl>
      <w:tblPr>
        <w:tblStyle w:val="TableGrid"/>
        <w:tblW w:type="auto" w:w="0"/>
        <w:tblLook w:firstColumn="1" w:firstRow="1" w:lastColumn="0" w:lastRow="0" w:noHBand="0" w:noVBand="1" w:val="04A0"/>
      </w:tblPr>
      <w:tblGrid>
        <w:gridCol w:w="9632"/>
      </w:tblGrid>
      <w:tr>
        <w:tc>
          <w:tcPr>
            <w:tcW w:type="dxa" w:w="9632"/>
            <w:shd w:val="clear" w:fill="E9F7F4"/>
          </w:tcPr>
          <w:p>
            <w:r>
              <w:rPr>
                <w:rFonts w:ascii="Calibri" w:hAnsi="Calibri"/>
                <w:b/>
                <w:color w:val="0A8A75"/>
                <w:sz w:val="18"/>
              </w:rPr>
              <w:t>Note de traçabilité</w:t>
            </w:r>
          </w:p>
          <w:p>
            <w:pPr>
              <w:jc w:val="both"/>
            </w:pPr>
            <w:r>
              <w:rPr>
                <w:sz w:val="19"/>
              </w:rPr>
              <w:t>Les tableaux et figures de ce document sont directement exploitables dans le mémoire. Les valeurs corrigées par rapport à la version actuelle du mémoire sont signalées dans le document « Corrections apportées ». Aucune donnée n'a été inventée ; les analyses statistiques ont été produites sous Python 3.11 (bibliothèques pandas, NumPy, SciPy) et vérifiées manuellement.</w:t>
            </w:r>
          </w:p>
        </w:tc>
      </w:tr>
    </w:tbl>
    <w:p>
      <w:pPr>
        <w:spacing w:after="40"/>
      </w:pPr>
    </w:p>
    <w:p>
      <w:pPr>
        <w:keepNext/>
        <w:spacing w:before="240" w:after="120"/>
      </w:pPr>
      <w:r>
        <w:rPr>
          <w:rFonts w:ascii="Calibri" w:hAnsi="Calibri"/>
          <w:b/>
          <w:color w:val="0A1628"/>
          <w:sz w:val="28"/>
        </w:rPr>
        <w:t>3.1 Résultat 1 — Caractérisation des types d'utilisation des terres (TUT)</w:t>
      </w:r>
    </w:p>
    <w:p>
      <w:pPr>
        <w:jc w:val="both"/>
      </w:pPr>
      <w:r>
        <w:rPr>
          <w:sz w:val="22"/>
        </w:rPr>
        <w:t xml:space="preserve">La caractérisation des TUT au sein des quatre agroforêts de ménages retenues (Bibassa, Ntié, Oshea et Mekoul) a permis d'identifier quatre types d'affectation des sols : les </w:t>
      </w:r>
      <w:r>
        <w:rPr>
          <w:b/>
          <w:sz w:val="22"/>
        </w:rPr>
        <w:t>cacaoyères</w:t>
      </w:r>
      <w:r>
        <w:rPr>
          <w:sz w:val="22"/>
        </w:rPr>
        <w:t xml:space="preserve">, les </w:t>
      </w:r>
      <w:r>
        <w:rPr>
          <w:b/>
          <w:sz w:val="22"/>
        </w:rPr>
        <w:t>champs vivriers</w:t>
      </w:r>
      <w:r>
        <w:rPr>
          <w:sz w:val="22"/>
        </w:rPr>
        <w:t xml:space="preserve">, les </w:t>
      </w:r>
      <w:r>
        <w:rPr>
          <w:b/>
          <w:sz w:val="22"/>
        </w:rPr>
        <w:t>jachères</w:t>
      </w:r>
      <w:r>
        <w:rPr>
          <w:sz w:val="22"/>
        </w:rPr>
        <w:t xml:space="preserve"> et les </w:t>
      </w:r>
      <w:r>
        <w:rPr>
          <w:b/>
          <w:sz w:val="22"/>
        </w:rPr>
        <w:t>extensions de cacao</w:t>
      </w:r>
      <w:r>
        <w:rPr>
          <w:sz w:val="22"/>
        </w:rPr>
        <w:t>. Ces quatre TUT s'inscrivent dans la mosaïque agroforestière caractéristique de l'agriculture itinérante de la zone de forêt dense humide du Haut-Nyong.</w:t>
      </w:r>
    </w:p>
    <w:p>
      <w:pPr>
        <w:keepNext/>
        <w:spacing w:before="160" w:after="40"/>
      </w:pPr>
      <w:r>
        <w:rPr>
          <w:rFonts w:ascii="Calibri" w:hAnsi="Calibri"/>
          <w:b/>
          <w:color w:val="0A1628"/>
          <w:sz w:val="19"/>
        </w:rPr>
        <w:t>Tableau 1. Superficies (ha) des TUT par agroforêt de ménage et proportions globales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shd w:val="clear" w:fill="0A1628"/>
          </w:tcPr>
          <w:p>
            <w:pPr>
              <w:jc w:val="center"/>
            </w:pPr>
            <w:r>
              <w:rPr>
                <w:rFonts w:ascii="Calibri" w:hAnsi="Calibri"/>
                <w:b/>
                <w:color w:val="FFFFFF"/>
                <w:sz w:val="17"/>
              </w:rPr>
              <w:t>TUT</w:t>
            </w:r>
          </w:p>
        </w:tc>
        <w:tc>
          <w:tcPr>
            <w:tcW w:type="dxa" w:w="1376"/>
            <w:shd w:val="clear" w:fill="0A1628"/>
          </w:tcPr>
          <w:p>
            <w:pPr>
              <w:jc w:val="center"/>
            </w:pPr>
            <w:r>
              <w:rPr>
                <w:rFonts w:ascii="Calibri" w:hAnsi="Calibri"/>
                <w:b/>
                <w:color w:val="FFFFFF"/>
                <w:sz w:val="17"/>
              </w:rPr>
              <w:t>Bibassa</w:t>
            </w:r>
          </w:p>
        </w:tc>
        <w:tc>
          <w:tcPr>
            <w:tcW w:type="dxa" w:w="1376"/>
            <w:shd w:val="clear" w:fill="0A1628"/>
          </w:tcPr>
          <w:p>
            <w:pPr>
              <w:jc w:val="center"/>
            </w:pPr>
            <w:r>
              <w:rPr>
                <w:rFonts w:ascii="Calibri" w:hAnsi="Calibri"/>
                <w:b/>
                <w:color w:val="FFFFFF"/>
                <w:sz w:val="17"/>
              </w:rPr>
              <w:t>Ntié</w:t>
            </w:r>
          </w:p>
        </w:tc>
        <w:tc>
          <w:tcPr>
            <w:tcW w:type="dxa" w:w="1376"/>
            <w:shd w:val="clear" w:fill="0A1628"/>
          </w:tcPr>
          <w:p>
            <w:pPr>
              <w:jc w:val="center"/>
            </w:pPr>
            <w:r>
              <w:rPr>
                <w:rFonts w:ascii="Calibri" w:hAnsi="Calibri"/>
                <w:b/>
                <w:color w:val="FFFFFF"/>
                <w:sz w:val="17"/>
              </w:rPr>
              <w:t>Oshea</w:t>
            </w:r>
          </w:p>
        </w:tc>
        <w:tc>
          <w:tcPr>
            <w:tcW w:type="dxa" w:w="1376"/>
            <w:shd w:val="clear" w:fill="0A1628"/>
          </w:tcPr>
          <w:p>
            <w:pPr>
              <w:jc w:val="center"/>
            </w:pPr>
            <w:r>
              <w:rPr>
                <w:rFonts w:ascii="Calibri" w:hAnsi="Calibri"/>
                <w:b/>
                <w:color w:val="FFFFFF"/>
                <w:sz w:val="17"/>
              </w:rPr>
              <w:t>Mekoul</w:t>
            </w:r>
          </w:p>
        </w:tc>
        <w:tc>
          <w:tcPr>
            <w:tcW w:type="dxa" w:w="1376"/>
            <w:shd w:val="clear" w:fill="0A1628"/>
          </w:tcPr>
          <w:p>
            <w:pPr>
              <w:jc w:val="center"/>
            </w:pPr>
            <w:r>
              <w:rPr>
                <w:rFonts w:ascii="Calibri" w:hAnsi="Calibri"/>
                <w:b/>
                <w:color w:val="FFFFFF"/>
                <w:sz w:val="17"/>
              </w:rPr>
              <w:t>Total</w:t>
            </w:r>
          </w:p>
        </w:tc>
        <w:tc>
          <w:tcPr>
            <w:tcW w:type="dxa" w:w="1376"/>
            <w:shd w:val="clear" w:fill="0A1628"/>
          </w:tcPr>
          <w:p>
            <w:pPr>
              <w:jc w:val="center"/>
            </w:pPr>
            <w:r>
              <w:rPr>
                <w:rFonts w:ascii="Calibri" w:hAnsi="Calibri"/>
                <w:b/>
                <w:color w:val="FFFFFF"/>
                <w:sz w:val="17"/>
              </w:rPr>
              <w:t>Part (%)</w:t>
            </w:r>
          </w:p>
        </w:tc>
      </w:tr>
      <w:tr>
        <w:tc>
          <w:tcPr>
            <w:tcW w:type="dxa" w:w="1376"/>
          </w:tcPr>
          <w:p>
            <w:pPr>
              <w:jc w:val="left"/>
            </w:pPr>
            <w:r>
              <w:rPr>
                <w:rFonts w:ascii="Calibri" w:hAnsi="Calibri"/>
                <w:sz w:val="16"/>
              </w:rPr>
              <w:t>Cacaoyère</w:t>
            </w:r>
          </w:p>
        </w:tc>
        <w:tc>
          <w:tcPr>
            <w:tcW w:type="dxa" w:w="1376"/>
          </w:tcPr>
          <w:p>
            <w:pPr>
              <w:jc w:val="right"/>
            </w:pPr>
            <w:r>
              <w:rPr>
                <w:rFonts w:ascii="Calibri" w:hAnsi="Calibri"/>
                <w:sz w:val="16"/>
              </w:rPr>
              <w:t>0,48</w:t>
            </w:r>
          </w:p>
        </w:tc>
        <w:tc>
          <w:tcPr>
            <w:tcW w:type="dxa" w:w="1376"/>
          </w:tcPr>
          <w:p>
            <w:pPr>
              <w:jc w:val="right"/>
            </w:pPr>
            <w:r>
              <w:rPr>
                <w:rFonts w:ascii="Calibri" w:hAnsi="Calibri"/>
                <w:sz w:val="16"/>
              </w:rPr>
              <w:t>2,16</w:t>
            </w:r>
          </w:p>
        </w:tc>
        <w:tc>
          <w:tcPr>
            <w:tcW w:type="dxa" w:w="1376"/>
          </w:tcPr>
          <w:p>
            <w:pPr>
              <w:jc w:val="right"/>
            </w:pPr>
            <w:r>
              <w:rPr>
                <w:rFonts w:ascii="Calibri" w:hAnsi="Calibri"/>
                <w:sz w:val="16"/>
              </w:rPr>
              <w:t>4,98</w:t>
            </w:r>
          </w:p>
        </w:tc>
        <w:tc>
          <w:tcPr>
            <w:tcW w:type="dxa" w:w="1376"/>
          </w:tcPr>
          <w:p>
            <w:pPr>
              <w:jc w:val="right"/>
            </w:pPr>
            <w:r>
              <w:rPr>
                <w:rFonts w:ascii="Calibri" w:hAnsi="Calibri"/>
                <w:sz w:val="16"/>
              </w:rPr>
              <w:t>12,04</w:t>
            </w:r>
          </w:p>
        </w:tc>
        <w:tc>
          <w:tcPr>
            <w:tcW w:type="dxa" w:w="1376"/>
          </w:tcPr>
          <w:p>
            <w:pPr>
              <w:jc w:val="right"/>
            </w:pPr>
            <w:r>
              <w:rPr>
                <w:rFonts w:ascii="Calibri" w:hAnsi="Calibri"/>
                <w:sz w:val="16"/>
              </w:rPr>
              <w:t>19,66</w:t>
            </w:r>
          </w:p>
        </w:tc>
        <w:tc>
          <w:tcPr>
            <w:tcW w:type="dxa" w:w="1376"/>
          </w:tcPr>
          <w:p>
            <w:pPr>
              <w:jc w:val="right"/>
            </w:pPr>
            <w:r>
              <w:rPr>
                <w:rFonts w:ascii="Calibri" w:hAnsi="Calibri"/>
                <w:sz w:val="16"/>
              </w:rPr>
              <w:t>30,3 %</w:t>
            </w:r>
          </w:p>
        </w:tc>
      </w:tr>
      <w:tr>
        <w:tc>
          <w:tcPr>
            <w:tcW w:type="dxa" w:w="1376"/>
            <w:shd w:val="clear" w:fill="F1F5F9"/>
          </w:tcPr>
          <w:p>
            <w:pPr>
              <w:jc w:val="left"/>
            </w:pPr>
            <w:r>
              <w:rPr>
                <w:rFonts w:ascii="Calibri" w:hAnsi="Calibri"/>
                <w:sz w:val="16"/>
              </w:rPr>
              <w:t>Champs vivriers</w:t>
            </w:r>
          </w:p>
        </w:tc>
        <w:tc>
          <w:tcPr>
            <w:tcW w:type="dxa" w:w="1376"/>
            <w:shd w:val="clear" w:fill="F1F5F9"/>
          </w:tcPr>
          <w:p>
            <w:pPr>
              <w:jc w:val="right"/>
            </w:pPr>
            <w:r>
              <w:rPr>
                <w:rFonts w:ascii="Calibri" w:hAnsi="Calibri"/>
                <w:sz w:val="16"/>
              </w:rPr>
              <w:t>2,30</w:t>
            </w:r>
          </w:p>
        </w:tc>
        <w:tc>
          <w:tcPr>
            <w:tcW w:type="dxa" w:w="1376"/>
            <w:shd w:val="clear" w:fill="F1F5F9"/>
          </w:tcPr>
          <w:p>
            <w:pPr>
              <w:jc w:val="right"/>
            </w:pPr>
            <w:r>
              <w:rPr>
                <w:rFonts w:ascii="Calibri" w:hAnsi="Calibri"/>
                <w:sz w:val="16"/>
              </w:rPr>
              <w:t>0,97</w:t>
            </w:r>
          </w:p>
        </w:tc>
        <w:tc>
          <w:tcPr>
            <w:tcW w:type="dxa" w:w="1376"/>
            <w:shd w:val="clear" w:fill="F1F5F9"/>
          </w:tcPr>
          <w:p>
            <w:pPr>
              <w:jc w:val="right"/>
            </w:pPr>
            <w:r>
              <w:rPr>
                <w:rFonts w:ascii="Calibri" w:hAnsi="Calibri"/>
                <w:sz w:val="16"/>
              </w:rPr>
              <w:t>1,73</w:t>
            </w:r>
          </w:p>
        </w:tc>
        <w:tc>
          <w:tcPr>
            <w:tcW w:type="dxa" w:w="1376"/>
            <w:shd w:val="clear" w:fill="F1F5F9"/>
          </w:tcPr>
          <w:p>
            <w:pPr>
              <w:jc w:val="right"/>
            </w:pPr>
            <w:r>
              <w:rPr>
                <w:rFonts w:ascii="Calibri" w:hAnsi="Calibri"/>
                <w:sz w:val="16"/>
              </w:rPr>
              <w:t>10,10</w:t>
            </w:r>
          </w:p>
        </w:tc>
        <w:tc>
          <w:tcPr>
            <w:tcW w:type="dxa" w:w="1376"/>
            <w:shd w:val="clear" w:fill="F1F5F9"/>
          </w:tcPr>
          <w:p>
            <w:pPr>
              <w:jc w:val="right"/>
            </w:pPr>
            <w:r>
              <w:rPr>
                <w:rFonts w:ascii="Calibri" w:hAnsi="Calibri"/>
                <w:sz w:val="16"/>
              </w:rPr>
              <w:t>15,10</w:t>
            </w:r>
          </w:p>
        </w:tc>
        <w:tc>
          <w:tcPr>
            <w:tcW w:type="dxa" w:w="1376"/>
            <w:shd w:val="clear" w:fill="F1F5F9"/>
          </w:tcPr>
          <w:p>
            <w:pPr>
              <w:jc w:val="right"/>
            </w:pPr>
            <w:r>
              <w:rPr>
                <w:rFonts w:ascii="Calibri" w:hAnsi="Calibri"/>
                <w:sz w:val="16"/>
              </w:rPr>
              <w:t>23,2 %</w:t>
            </w:r>
          </w:p>
        </w:tc>
      </w:tr>
      <w:tr>
        <w:tc>
          <w:tcPr>
            <w:tcW w:type="dxa" w:w="1376"/>
          </w:tcPr>
          <w:p>
            <w:pPr>
              <w:jc w:val="left"/>
            </w:pPr>
            <w:r>
              <w:rPr>
                <w:rFonts w:ascii="Calibri" w:hAnsi="Calibri"/>
                <w:sz w:val="16"/>
              </w:rPr>
              <w:t>Jachère</w:t>
            </w:r>
          </w:p>
        </w:tc>
        <w:tc>
          <w:tcPr>
            <w:tcW w:type="dxa" w:w="1376"/>
          </w:tcPr>
          <w:p>
            <w:pPr>
              <w:jc w:val="right"/>
            </w:pPr>
            <w:r>
              <w:rPr>
                <w:rFonts w:ascii="Calibri" w:hAnsi="Calibri"/>
                <w:sz w:val="16"/>
              </w:rPr>
              <w:t>1,14</w:t>
            </w:r>
          </w:p>
        </w:tc>
        <w:tc>
          <w:tcPr>
            <w:tcW w:type="dxa" w:w="1376"/>
          </w:tcPr>
          <w:p>
            <w:pPr>
              <w:jc w:val="right"/>
            </w:pPr>
            <w:r>
              <w:rPr>
                <w:rFonts w:ascii="Calibri" w:hAnsi="Calibri"/>
                <w:sz w:val="16"/>
              </w:rPr>
              <w:t>3,42</w:t>
            </w:r>
          </w:p>
        </w:tc>
        <w:tc>
          <w:tcPr>
            <w:tcW w:type="dxa" w:w="1376"/>
          </w:tcPr>
          <w:p>
            <w:pPr>
              <w:jc w:val="right"/>
            </w:pPr>
            <w:r>
              <w:rPr>
                <w:rFonts w:ascii="Calibri" w:hAnsi="Calibri"/>
                <w:sz w:val="16"/>
              </w:rPr>
              <w:t>7,53</w:t>
            </w:r>
          </w:p>
        </w:tc>
        <w:tc>
          <w:tcPr>
            <w:tcW w:type="dxa" w:w="1376"/>
          </w:tcPr>
          <w:p>
            <w:pPr>
              <w:jc w:val="right"/>
            </w:pPr>
            <w:r>
              <w:rPr>
                <w:rFonts w:ascii="Calibri" w:hAnsi="Calibri"/>
                <w:sz w:val="16"/>
              </w:rPr>
              <w:t>14,61</w:t>
            </w:r>
          </w:p>
        </w:tc>
        <w:tc>
          <w:tcPr>
            <w:tcW w:type="dxa" w:w="1376"/>
          </w:tcPr>
          <w:p>
            <w:pPr>
              <w:jc w:val="right"/>
            </w:pPr>
            <w:r>
              <w:rPr>
                <w:rFonts w:ascii="Calibri" w:hAnsi="Calibri"/>
                <w:sz w:val="16"/>
              </w:rPr>
              <w:t>26,70</w:t>
            </w:r>
          </w:p>
        </w:tc>
        <w:tc>
          <w:tcPr>
            <w:tcW w:type="dxa" w:w="1376"/>
          </w:tcPr>
          <w:p>
            <w:pPr>
              <w:jc w:val="right"/>
            </w:pPr>
            <w:r>
              <w:rPr>
                <w:rFonts w:ascii="Calibri" w:hAnsi="Calibri"/>
                <w:sz w:val="16"/>
              </w:rPr>
              <w:t>41,1 %</w:t>
            </w:r>
          </w:p>
        </w:tc>
      </w:tr>
      <w:tr>
        <w:tc>
          <w:tcPr>
            <w:tcW w:type="dxa" w:w="1376"/>
            <w:shd w:val="clear" w:fill="F1F5F9"/>
          </w:tcPr>
          <w:p>
            <w:pPr>
              <w:jc w:val="left"/>
            </w:pPr>
            <w:r>
              <w:rPr>
                <w:rFonts w:ascii="Calibri" w:hAnsi="Calibri"/>
                <w:sz w:val="16"/>
              </w:rPr>
              <w:t>Extension de cacao</w:t>
            </w:r>
          </w:p>
        </w:tc>
        <w:tc>
          <w:tcPr>
            <w:tcW w:type="dxa" w:w="1376"/>
            <w:shd w:val="clear" w:fill="F1F5F9"/>
          </w:tcPr>
          <w:p>
            <w:pPr>
              <w:jc w:val="right"/>
            </w:pPr>
            <w:r>
              <w:rPr>
                <w:rFonts w:ascii="Calibri" w:hAnsi="Calibri"/>
                <w:sz w:val="16"/>
              </w:rPr>
              <w:t>—</w:t>
            </w:r>
          </w:p>
        </w:tc>
        <w:tc>
          <w:tcPr>
            <w:tcW w:type="dxa" w:w="1376"/>
            <w:shd w:val="clear" w:fill="F1F5F9"/>
          </w:tcPr>
          <w:p>
            <w:pPr>
              <w:jc w:val="right"/>
            </w:pPr>
            <w:r>
              <w:rPr>
                <w:rFonts w:ascii="Calibri" w:hAnsi="Calibri"/>
                <w:sz w:val="16"/>
              </w:rPr>
              <w:t>0,38</w:t>
            </w:r>
          </w:p>
        </w:tc>
        <w:tc>
          <w:tcPr>
            <w:tcW w:type="dxa" w:w="1376"/>
            <w:shd w:val="clear" w:fill="F1F5F9"/>
          </w:tcPr>
          <w:p>
            <w:pPr>
              <w:jc w:val="right"/>
            </w:pPr>
            <w:r>
              <w:rPr>
                <w:rFonts w:ascii="Calibri" w:hAnsi="Calibri"/>
                <w:sz w:val="16"/>
              </w:rPr>
              <w:t>3,12</w:t>
            </w:r>
          </w:p>
        </w:tc>
        <w:tc>
          <w:tcPr>
            <w:tcW w:type="dxa" w:w="1376"/>
            <w:shd w:val="clear" w:fill="F1F5F9"/>
          </w:tcPr>
          <w:p>
            <w:pPr>
              <w:jc w:val="right"/>
            </w:pPr>
            <w:r>
              <w:rPr>
                <w:rFonts w:ascii="Calibri" w:hAnsi="Calibri"/>
                <w:sz w:val="16"/>
              </w:rPr>
              <w:t>—</w:t>
            </w:r>
          </w:p>
        </w:tc>
        <w:tc>
          <w:tcPr>
            <w:tcW w:type="dxa" w:w="1376"/>
            <w:shd w:val="clear" w:fill="F1F5F9"/>
          </w:tcPr>
          <w:p>
            <w:pPr>
              <w:jc w:val="right"/>
            </w:pPr>
            <w:r>
              <w:rPr>
                <w:rFonts w:ascii="Calibri" w:hAnsi="Calibri"/>
                <w:sz w:val="16"/>
              </w:rPr>
              <w:t>3,50</w:t>
            </w:r>
          </w:p>
        </w:tc>
        <w:tc>
          <w:tcPr>
            <w:tcW w:type="dxa" w:w="1376"/>
            <w:shd w:val="clear" w:fill="F1F5F9"/>
          </w:tcPr>
          <w:p>
            <w:pPr>
              <w:jc w:val="right"/>
            </w:pPr>
            <w:r>
              <w:rPr>
                <w:rFonts w:ascii="Calibri" w:hAnsi="Calibri"/>
                <w:sz w:val="16"/>
              </w:rPr>
              <w:t>5,4 %</w:t>
            </w:r>
          </w:p>
        </w:tc>
      </w:tr>
      <w:tr>
        <w:tc>
          <w:tcPr>
            <w:tcW w:type="dxa" w:w="1376"/>
            <w:shd w:val="clear" w:fill="E9F7F4"/>
          </w:tcPr>
          <w:p>
            <w:pPr>
              <w:jc w:val="left"/>
            </w:pPr>
            <w:r>
              <w:rPr>
                <w:rFonts w:ascii="Calibri" w:hAnsi="Calibri"/>
                <w:b/>
                <w:sz w:val="16"/>
              </w:rPr>
              <w:t>Total</w:t>
            </w:r>
          </w:p>
        </w:tc>
        <w:tc>
          <w:tcPr>
            <w:tcW w:type="dxa" w:w="1376"/>
            <w:shd w:val="clear" w:fill="E9F7F4"/>
          </w:tcPr>
          <w:p>
            <w:pPr>
              <w:jc w:val="right"/>
            </w:pPr>
            <w:r>
              <w:rPr>
                <w:rFonts w:ascii="Calibri" w:hAnsi="Calibri"/>
                <w:b/>
                <w:sz w:val="16"/>
              </w:rPr>
              <w:t>3,92</w:t>
            </w:r>
          </w:p>
        </w:tc>
        <w:tc>
          <w:tcPr>
            <w:tcW w:type="dxa" w:w="1376"/>
            <w:shd w:val="clear" w:fill="E9F7F4"/>
          </w:tcPr>
          <w:p>
            <w:pPr>
              <w:jc w:val="right"/>
            </w:pPr>
            <w:r>
              <w:rPr>
                <w:rFonts w:ascii="Calibri" w:hAnsi="Calibri"/>
                <w:b/>
                <w:sz w:val="16"/>
              </w:rPr>
              <w:t>6,93</w:t>
            </w:r>
          </w:p>
        </w:tc>
        <w:tc>
          <w:tcPr>
            <w:tcW w:type="dxa" w:w="1376"/>
            <w:shd w:val="clear" w:fill="E9F7F4"/>
          </w:tcPr>
          <w:p>
            <w:pPr>
              <w:jc w:val="right"/>
            </w:pPr>
            <w:r>
              <w:rPr>
                <w:rFonts w:ascii="Calibri" w:hAnsi="Calibri"/>
                <w:b/>
                <w:sz w:val="16"/>
              </w:rPr>
              <w:t>17,36</w:t>
            </w:r>
          </w:p>
        </w:tc>
        <w:tc>
          <w:tcPr>
            <w:tcW w:type="dxa" w:w="1376"/>
            <w:shd w:val="clear" w:fill="E9F7F4"/>
          </w:tcPr>
          <w:p>
            <w:pPr>
              <w:jc w:val="right"/>
            </w:pPr>
            <w:r>
              <w:rPr>
                <w:rFonts w:ascii="Calibri" w:hAnsi="Calibri"/>
                <w:b/>
                <w:sz w:val="16"/>
              </w:rPr>
              <w:t>36,75</w:t>
            </w:r>
          </w:p>
        </w:tc>
        <w:tc>
          <w:tcPr>
            <w:tcW w:type="dxa" w:w="1376"/>
            <w:shd w:val="clear" w:fill="E9F7F4"/>
          </w:tcPr>
          <w:p>
            <w:pPr>
              <w:jc w:val="right"/>
            </w:pPr>
            <w:r>
              <w:rPr>
                <w:rFonts w:ascii="Calibri" w:hAnsi="Calibri"/>
                <w:b/>
                <w:sz w:val="16"/>
              </w:rPr>
              <w:t>64,96</w:t>
            </w:r>
          </w:p>
        </w:tc>
        <w:tc>
          <w:tcPr>
            <w:tcW w:type="dxa" w:w="1376"/>
            <w:shd w:val="clear" w:fill="E9F7F4"/>
          </w:tcPr>
          <w:p>
            <w:pPr>
              <w:jc w:val="right"/>
            </w:pPr>
            <w:r>
              <w:rPr>
                <w:rFonts w:ascii="Calibri" w:hAnsi="Calibri"/>
                <w:b/>
                <w:sz w:val="16"/>
              </w:rPr>
              <w:t>100,0 %</w:t>
            </w:r>
          </w:p>
        </w:tc>
      </w:tr>
    </w:tbl>
    <w:p>
      <w:pPr>
        <w:jc w:val="center"/>
      </w:pPr>
      <w:r>
        <w:drawing>
          <wp:inline xmlns:a="http://schemas.openxmlformats.org/drawingml/2006/main" xmlns:pic="http://schemas.openxmlformats.org/drawingml/2006/picture">
            <wp:extent cx="4140000" cy="3515544"/>
            <wp:docPr id="1" name="Picture 1"/>
            <wp:cNvGraphicFramePr>
              <a:graphicFrameLocks noChangeAspect="1"/>
            </wp:cNvGraphicFramePr>
            <a:graphic>
              <a:graphicData uri="http://schemas.openxmlformats.org/drawingml/2006/picture">
                <pic:pic>
                  <pic:nvPicPr>
                    <pic:cNvPr id="0" name="f_obj1_tut_global.png"/>
                    <pic:cNvPicPr/>
                  </pic:nvPicPr>
                  <pic:blipFill>
                    <a:blip r:embed="rId9"/>
                    <a:stretch>
                      <a:fillRect/>
                    </a:stretch>
                  </pic:blipFill>
                  <pic:spPr>
                    <a:xfrm>
                      <a:off x="0" y="0"/>
                      <a:ext cx="4140000" cy="3515544"/>
                    </a:xfrm>
                    <a:prstGeom prst="rect"/>
                  </pic:spPr>
                </pic:pic>
              </a:graphicData>
            </a:graphic>
          </wp:inline>
        </w:drawing>
      </w:r>
    </w:p>
    <w:p>
      <w:pPr>
        <w:jc w:val="center"/>
      </w:pPr>
      <w:r>
        <w:drawing>
          <wp:inline xmlns:a="http://schemas.openxmlformats.org/drawingml/2006/main" xmlns:pic="http://schemas.openxmlformats.org/drawingml/2006/picture">
            <wp:extent cx="5580000" cy="3914903"/>
            <wp:docPr id="2" name="Picture 2"/>
            <wp:cNvGraphicFramePr>
              <a:graphicFrameLocks noChangeAspect="1"/>
            </wp:cNvGraphicFramePr>
            <a:graphic>
              <a:graphicData uri="http://schemas.openxmlformats.org/drawingml/2006/picture">
                <pic:pic>
                  <pic:nvPicPr>
                    <pic:cNvPr id="0" name="f_obj1_tut.png"/>
                    <pic:cNvPicPr/>
                  </pic:nvPicPr>
                  <pic:blipFill>
                    <a:blip r:embed="rId10"/>
                    <a:stretch>
                      <a:fillRect/>
                    </a:stretch>
                  </pic:blipFill>
                  <pic:spPr>
                    <a:xfrm>
                      <a:off x="0" y="0"/>
                      <a:ext cx="5580000" cy="3914903"/>
                    </a:xfrm>
                    <a:prstGeom prst="rect"/>
                  </pic:spPr>
                </pic:pic>
              </a:graphicData>
            </a:graphic>
          </wp:inline>
        </w:drawing>
      </w:r>
    </w:p>
    <w:p>
      <w:pPr>
        <w:spacing w:before="40"/>
        <w:jc w:val="center"/>
      </w:pPr>
      <w:r>
        <w:rPr>
          <w:rFonts w:ascii="Calibri" w:hAnsi="Calibri"/>
          <w:i/>
          <w:color w:val="64748B"/>
          <w:sz w:val="18"/>
        </w:rPr>
        <w:t>Figure 1. Répartition des TUT au sein de chaque agroforêt de ménage.</w:t>
      </w:r>
    </w:p>
    <w:p>
      <w:pPr>
        <w:keepNext/>
        <w:spacing w:before="180" w:after="80"/>
      </w:pPr>
      <w:r>
        <w:rPr>
          <w:rFonts w:ascii="Calibri" w:hAnsi="Calibri"/>
          <w:b/>
          <w:color w:val="0A8A75"/>
          <w:sz w:val="24"/>
        </w:rPr>
        <w:t>Interprétation</w:t>
      </w:r>
    </w:p>
    <w:p>
      <w:pPr>
        <w:jc w:val="both"/>
      </w:pPr>
      <w:r>
        <w:rPr>
          <w:sz w:val="22"/>
        </w:rPr>
        <w:t xml:space="preserve">À l'échelle des quatre agroforêts, les </w:t>
      </w:r>
      <w:r>
        <w:rPr>
          <w:b/>
          <w:sz w:val="22"/>
        </w:rPr>
        <w:t>jachères</w:t>
      </w:r>
      <w:r>
        <w:rPr>
          <w:sz w:val="22"/>
        </w:rPr>
        <w:t xml:space="preserve"> constituent le TUT dominant (41,1 % de la superficie inventoriée), devant les </w:t>
      </w:r>
      <w:r>
        <w:rPr>
          <w:b/>
          <w:sz w:val="22"/>
        </w:rPr>
        <w:t>cacaoyères</w:t>
      </w:r>
      <w:r>
        <w:rPr>
          <w:sz w:val="22"/>
        </w:rPr>
        <w:t xml:space="preserve"> (30,3 %), les </w:t>
      </w:r>
      <w:r>
        <w:rPr>
          <w:b/>
          <w:sz w:val="22"/>
        </w:rPr>
        <w:t>champs vivriers</w:t>
      </w:r>
      <w:r>
        <w:rPr>
          <w:sz w:val="22"/>
        </w:rPr>
        <w:t xml:space="preserve"> (23,2 %) et les </w:t>
      </w:r>
      <w:r>
        <w:rPr>
          <w:b/>
          <w:sz w:val="22"/>
        </w:rPr>
        <w:t>extensions de cacao</w:t>
      </w:r>
      <w:r>
        <w:rPr>
          <w:sz w:val="22"/>
        </w:rPr>
        <w:t xml:space="preserve"> (5,4 %). Cette prédominance des jachères revêt une signification écologique majeure dans le contexte de Lomié : sur des sols ferralitiques acides et pauvres en éléments nutritifs, la jachère forestière constitue le principal mécanisme de restauration de la fertilité et de reconstitution du couvert ligneux. Sa forte proportion traduit donc le maintien, par les ménages, d'un cycle agricole encore durable, dans lequel la régénération naturelle n'est pas sacrifiée à l'intensification.</w:t>
      </w:r>
    </w:p>
    <w:p>
      <w:pPr>
        <w:jc w:val="both"/>
      </w:pPr>
      <w:r>
        <w:rPr>
          <w:sz w:val="22"/>
        </w:rPr>
        <w:t xml:space="preserve">La répartition des TUT est toutefois très contrastée d'une agroforêt à l'autre, révélant des trajectoires de gestion distinctes. À </w:t>
      </w:r>
      <w:r>
        <w:rPr>
          <w:b/>
          <w:sz w:val="22"/>
        </w:rPr>
        <w:t>Bibassa</w:t>
      </w:r>
      <w:r>
        <w:rPr>
          <w:sz w:val="22"/>
        </w:rPr>
        <w:t xml:space="preserve">, la plus petite agroforêt, ce sont les champs vivriers qui dominent (57,8 % de la superficie), signe d'une orientation vers la sécurité alimentaire du ménage. À l'inverse, à </w:t>
      </w:r>
      <w:r>
        <w:rPr>
          <w:b/>
          <w:sz w:val="22"/>
        </w:rPr>
        <w:t>Ntié</w:t>
      </w:r>
      <w:r>
        <w:rPr>
          <w:sz w:val="22"/>
        </w:rPr>
        <w:t xml:space="preserve"> et </w:t>
      </w:r>
      <w:r>
        <w:rPr>
          <w:b/>
          <w:sz w:val="22"/>
        </w:rPr>
        <w:t>Oshea</w:t>
      </w:r>
      <w:r>
        <w:rPr>
          <w:sz w:val="22"/>
        </w:rPr>
        <w:t>, les jachères et les cacaoyères structurent le paysage, et l'apparition d'</w:t>
      </w:r>
      <w:r>
        <w:rPr>
          <w:b/>
          <w:sz w:val="22"/>
        </w:rPr>
        <w:t>extensions de cacao</w:t>
      </w:r>
      <w:r>
        <w:rPr>
          <w:sz w:val="22"/>
        </w:rPr>
        <w:t xml:space="preserve"> (5,2 % à 17,0 % selon le site) matérialise une dynamique d'expansion de la cacaoculture. À </w:t>
      </w:r>
      <w:r>
        <w:rPr>
          <w:b/>
          <w:sz w:val="22"/>
        </w:rPr>
        <w:t>Mekoul</w:t>
      </w:r>
      <w:r>
        <w:rPr>
          <w:sz w:val="22"/>
        </w:rPr>
        <w:t>, la plus vaste agroforêt, l'équilibre entre jachères, cacaoyères et champs vivriers témoigne d'un système diversifié à grande échelle.</w:t>
      </w:r>
    </w:p>
    <w:p>
      <w:pPr>
        <w:jc w:val="both"/>
      </w:pPr>
      <w:r>
        <w:rPr>
          <w:sz w:val="22"/>
        </w:rPr>
        <w:t>La présence d'extensions de cacao à Ntié et Oshea constitue un signal à surveiller : dans un contexte de hausse des cours mondiaux du cacao, une conversion progressive des jachères en cacaoyères réduirait la capacité de régénération des sols et la diversité ligneuse associée, compromettant à terme la durabilité de l'agroforêt. Ce point est développé dans la discussion et repris dans les recommandations.</w:t>
      </w:r>
    </w:p>
    <w:p>
      <w:pPr>
        <w:keepNext/>
        <w:spacing w:before="180" w:after="80"/>
      </w:pPr>
      <w:r>
        <w:rPr>
          <w:rFonts w:ascii="Calibri" w:hAnsi="Calibri"/>
          <w:b/>
          <w:color w:val="0A8A75"/>
          <w:sz w:val="24"/>
        </w:rPr>
        <w:t>Discussion</w:t>
      </w:r>
    </w:p>
    <w:p>
      <w:pPr>
        <w:jc w:val="both"/>
      </w:pPr>
      <w:r>
        <w:rPr>
          <w:sz w:val="22"/>
        </w:rPr>
        <w:t>La dominance des jachères (40 % de la superficie) confirme leur rôle central dans le maintien de la durabilité des agroforêts des ménages de Lomié, notamment pour la reconstitution du stock de nutriments et la restauration du couvert végétal (Carrière, 2002 ; FAO). Avec près de 30 % de la superficie, les cacaoyères s'affirment comme la principale culture pérenne, en cohérence avec les dynamiques agricoles documentées dans les régions forestières du Cameroun (Jagoret et al., 2021). Les extensions de cacao, bien que minoritaires (≈ 5 %), révèlent une dynamique d'expansion de la cacaoculture dans un contexte de cours favorables (Fabrice &amp; Happi, 2024) ; cette expansion mérite une surveillance, une réduction excessive des jachères au profit des cacaoyères pouvant compromettre la durabilité écologique de l'agroforêt (Vermeulen et al., 2011).</w:t>
      </w:r>
    </w:p>
    <w:p>
      <w:r>
        <w:br w:type="page"/>
      </w:r>
    </w:p>
    <w:p>
      <w:pPr>
        <w:keepNext/>
        <w:spacing w:before="240" w:after="120"/>
      </w:pPr>
      <w:r>
        <w:rPr>
          <w:rFonts w:ascii="Calibri" w:hAnsi="Calibri"/>
          <w:b/>
          <w:color w:val="0A1628"/>
          <w:sz w:val="28"/>
        </w:rPr>
        <w:t>3.2 Résultat 2 — Diversité floristique des agroforêts des ménages</w:t>
      </w:r>
    </w:p>
    <w:p>
      <w:pPr>
        <w:jc w:val="both"/>
      </w:pPr>
      <w:r>
        <w:rPr>
          <w:sz w:val="22"/>
        </w:rPr>
        <w:t xml:space="preserve">L'inventaire floristique exhaustif des quatre agroforêts (tous ligneux de DHP ≥ 10 cm) a recensé </w:t>
      </w:r>
      <w:r>
        <w:rPr>
          <w:b/>
          <w:sz w:val="22"/>
        </w:rPr>
        <w:t>2 379 individus</w:t>
      </w:r>
      <w:r>
        <w:rPr>
          <w:sz w:val="22"/>
        </w:rPr>
        <w:t xml:space="preserve"> répartis en </w:t>
      </w:r>
      <w:r>
        <w:rPr>
          <w:b/>
          <w:sz w:val="22"/>
        </w:rPr>
        <w:t>240 morpho-espèces</w:t>
      </w:r>
      <w:r>
        <w:rPr>
          <w:sz w:val="22"/>
        </w:rPr>
        <w:t>, dont 68 espèces formellement identifiées appartenant à 58 genres et 25 familles botaniques. La richesse par agroforêt croît avec la superficie : 141 individus / 63 espèces à Bibassa, 495 / 91 à Ntié, 625 / 77 à Oshea et 1118 / 108 à Mekoul.</w:t>
      </w:r>
    </w:p>
    <w:p>
      <w:pPr>
        <w:keepNext/>
        <w:spacing w:before="180" w:after="80"/>
      </w:pPr>
      <w:r>
        <w:rPr>
          <w:rFonts w:ascii="Calibri" w:hAnsi="Calibri"/>
          <w:b/>
          <w:color w:val="0A8A75"/>
          <w:sz w:val="24"/>
        </w:rPr>
        <w:t>Richesse spécifique et composition floristique</w:t>
      </w:r>
    </w:p>
    <w:p>
      <w:pPr>
        <w:keepNext/>
        <w:spacing w:before="160" w:after="40"/>
      </w:pPr>
      <w:r>
        <w:rPr>
          <w:rFonts w:ascii="Calibri" w:hAnsi="Calibri"/>
          <w:b/>
          <w:color w:val="0A1628"/>
          <w:sz w:val="19"/>
        </w:rPr>
        <w:t>Tableau 2. Richesse spécifique et effectifs par TUT dans chaque agroforêt</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Agroforêt</w:t>
            </w:r>
          </w:p>
        </w:tc>
        <w:tc>
          <w:tcPr>
            <w:tcW w:type="dxa" w:w="1926"/>
            <w:shd w:val="clear" w:fill="0A1628"/>
          </w:tcPr>
          <w:p>
            <w:pPr>
              <w:jc w:val="center"/>
            </w:pPr>
            <w:r>
              <w:rPr>
                <w:rFonts w:ascii="Calibri" w:hAnsi="Calibri"/>
                <w:b/>
                <w:color w:val="FFFFFF"/>
                <w:sz w:val="17"/>
              </w:rPr>
              <w:t>TUT</w:t>
            </w:r>
          </w:p>
        </w:tc>
        <w:tc>
          <w:tcPr>
            <w:tcW w:type="dxa" w:w="1926"/>
            <w:shd w:val="clear" w:fill="0A1628"/>
          </w:tcPr>
          <w:p>
            <w:pPr>
              <w:jc w:val="center"/>
            </w:pPr>
            <w:r>
              <w:rPr>
                <w:rFonts w:ascii="Calibri" w:hAnsi="Calibri"/>
                <w:b/>
                <w:color w:val="FFFFFF"/>
                <w:sz w:val="17"/>
              </w:rPr>
              <w:t>Individus</w:t>
            </w:r>
          </w:p>
        </w:tc>
        <w:tc>
          <w:tcPr>
            <w:tcW w:type="dxa" w:w="1926"/>
            <w:shd w:val="clear" w:fill="0A1628"/>
          </w:tcPr>
          <w:p>
            <w:pPr>
              <w:jc w:val="center"/>
            </w:pPr>
            <w:r>
              <w:rPr>
                <w:rFonts w:ascii="Calibri" w:hAnsi="Calibri"/>
                <w:b/>
                <w:color w:val="FFFFFF"/>
                <w:sz w:val="17"/>
              </w:rPr>
              <w:t>Espèces</w:t>
            </w:r>
          </w:p>
        </w:tc>
        <w:tc>
          <w:tcPr>
            <w:tcW w:type="dxa" w:w="1926"/>
            <w:shd w:val="clear" w:fill="0A1628"/>
          </w:tcPr>
          <w:p>
            <w:pPr>
              <w:jc w:val="center"/>
            </w:pPr>
            <w:r>
              <w:rPr>
                <w:rFonts w:ascii="Calibri" w:hAnsi="Calibri"/>
                <w:b/>
                <w:color w:val="FFFFFF"/>
                <w:sz w:val="17"/>
              </w:rPr>
              <w:t>Superficie (ha)</w:t>
            </w:r>
          </w:p>
        </w:tc>
      </w:tr>
      <w:tr>
        <w:tc>
          <w:tcPr>
            <w:tcW w:type="dxa" w:w="1926"/>
          </w:tcPr>
          <w:p>
            <w:pPr>
              <w:jc w:val="left"/>
            </w:pPr>
            <w:r>
              <w:rPr>
                <w:rFonts w:ascii="Calibri" w:hAnsi="Calibri"/>
                <w:sz w:val="16"/>
              </w:rPr>
              <w:t>Bibassa</w:t>
            </w:r>
          </w:p>
        </w:tc>
        <w:tc>
          <w:tcPr>
            <w:tcW w:type="dxa" w:w="1926"/>
          </w:tcPr>
          <w:p>
            <w:pPr>
              <w:jc w:val="left"/>
            </w:pPr>
            <w:r>
              <w:rPr>
                <w:rFonts w:ascii="Calibri" w:hAnsi="Calibri"/>
                <w:sz w:val="16"/>
              </w:rPr>
              <w:t>Cacaoyère</w:t>
            </w:r>
          </w:p>
        </w:tc>
        <w:tc>
          <w:tcPr>
            <w:tcW w:type="dxa" w:w="1926"/>
          </w:tcPr>
          <w:p>
            <w:pPr>
              <w:jc w:val="right"/>
            </w:pPr>
            <w:r>
              <w:rPr>
                <w:rFonts w:ascii="Calibri" w:hAnsi="Calibri"/>
                <w:sz w:val="16"/>
              </w:rPr>
              <w:t>86</w:t>
            </w:r>
          </w:p>
        </w:tc>
        <w:tc>
          <w:tcPr>
            <w:tcW w:type="dxa" w:w="1926"/>
          </w:tcPr>
          <w:p>
            <w:pPr>
              <w:jc w:val="right"/>
            </w:pPr>
            <w:r>
              <w:rPr>
                <w:rFonts w:ascii="Calibri" w:hAnsi="Calibri"/>
                <w:sz w:val="16"/>
              </w:rPr>
              <w:t>37</w:t>
            </w:r>
          </w:p>
        </w:tc>
        <w:tc>
          <w:tcPr>
            <w:tcW w:type="dxa" w:w="1926"/>
          </w:tcPr>
          <w:p>
            <w:pPr>
              <w:jc w:val="right"/>
            </w:pPr>
            <w:r>
              <w:rPr>
                <w:rFonts w:ascii="Calibri" w:hAnsi="Calibri"/>
                <w:sz w:val="16"/>
              </w:rPr>
              <w:t>0,48</w:t>
            </w:r>
          </w:p>
        </w:tc>
      </w:tr>
      <w:tr>
        <w:tc>
          <w:tcPr>
            <w:tcW w:type="dxa" w:w="1926"/>
            <w:shd w:val="clear" w:fill="F1F5F9"/>
          </w:tcPr>
          <w:p>
            <w:pPr>
              <w:jc w:val="left"/>
            </w:pPr>
            <w:r>
              <w:rPr>
                <w:rFonts w:ascii="Calibri" w:hAnsi="Calibri"/>
                <w:sz w:val="16"/>
              </w:rPr>
              <w:t>Bibassa</w:t>
            </w:r>
          </w:p>
        </w:tc>
        <w:tc>
          <w:tcPr>
            <w:tcW w:type="dxa" w:w="1926"/>
            <w:shd w:val="clear" w:fill="F1F5F9"/>
          </w:tcPr>
          <w:p>
            <w:pPr>
              <w:jc w:val="left"/>
            </w:pPr>
            <w:r>
              <w:rPr>
                <w:rFonts w:ascii="Calibri" w:hAnsi="Calibri"/>
                <w:sz w:val="16"/>
              </w:rPr>
              <w:t>Champs vivriers</w:t>
            </w:r>
          </w:p>
        </w:tc>
        <w:tc>
          <w:tcPr>
            <w:tcW w:type="dxa" w:w="1926"/>
            <w:shd w:val="clear" w:fill="F1F5F9"/>
          </w:tcPr>
          <w:p>
            <w:pPr>
              <w:jc w:val="right"/>
            </w:pPr>
            <w:r>
              <w:rPr>
                <w:rFonts w:ascii="Calibri" w:hAnsi="Calibri"/>
                <w:sz w:val="16"/>
              </w:rPr>
              <w:t>41</w:t>
            </w:r>
          </w:p>
        </w:tc>
        <w:tc>
          <w:tcPr>
            <w:tcW w:type="dxa" w:w="1926"/>
            <w:shd w:val="clear" w:fill="F1F5F9"/>
          </w:tcPr>
          <w:p>
            <w:pPr>
              <w:jc w:val="right"/>
            </w:pPr>
            <w:r>
              <w:rPr>
                <w:rFonts w:ascii="Calibri" w:hAnsi="Calibri"/>
                <w:sz w:val="16"/>
              </w:rPr>
              <w:t>29</w:t>
            </w:r>
          </w:p>
        </w:tc>
        <w:tc>
          <w:tcPr>
            <w:tcW w:type="dxa" w:w="1926"/>
            <w:shd w:val="clear" w:fill="F1F5F9"/>
          </w:tcPr>
          <w:p>
            <w:pPr>
              <w:jc w:val="right"/>
            </w:pPr>
            <w:r>
              <w:rPr>
                <w:rFonts w:ascii="Calibri" w:hAnsi="Calibri"/>
                <w:sz w:val="16"/>
              </w:rPr>
              <w:t>2,30</w:t>
            </w:r>
          </w:p>
        </w:tc>
      </w:tr>
      <w:tr>
        <w:tc>
          <w:tcPr>
            <w:tcW w:type="dxa" w:w="1926"/>
          </w:tcPr>
          <w:p>
            <w:pPr>
              <w:jc w:val="left"/>
            </w:pPr>
            <w:r>
              <w:rPr>
                <w:rFonts w:ascii="Calibri" w:hAnsi="Calibri"/>
                <w:sz w:val="16"/>
              </w:rPr>
              <w:t>Bibassa</w:t>
            </w:r>
          </w:p>
        </w:tc>
        <w:tc>
          <w:tcPr>
            <w:tcW w:type="dxa" w:w="1926"/>
          </w:tcPr>
          <w:p>
            <w:pPr>
              <w:jc w:val="left"/>
            </w:pPr>
            <w:r>
              <w:rPr>
                <w:rFonts w:ascii="Calibri" w:hAnsi="Calibri"/>
                <w:sz w:val="16"/>
              </w:rPr>
              <w:t>Jachère</w:t>
            </w:r>
          </w:p>
        </w:tc>
        <w:tc>
          <w:tcPr>
            <w:tcW w:type="dxa" w:w="1926"/>
          </w:tcPr>
          <w:p>
            <w:pPr>
              <w:jc w:val="right"/>
            </w:pPr>
            <w:r>
              <w:rPr>
                <w:rFonts w:ascii="Calibri" w:hAnsi="Calibri"/>
                <w:sz w:val="16"/>
              </w:rPr>
              <w:t>14</w:t>
            </w:r>
          </w:p>
        </w:tc>
        <w:tc>
          <w:tcPr>
            <w:tcW w:type="dxa" w:w="1926"/>
          </w:tcPr>
          <w:p>
            <w:pPr>
              <w:jc w:val="right"/>
            </w:pPr>
            <w:r>
              <w:rPr>
                <w:rFonts w:ascii="Calibri" w:hAnsi="Calibri"/>
                <w:sz w:val="16"/>
              </w:rPr>
              <w:t>8</w:t>
            </w:r>
          </w:p>
        </w:tc>
        <w:tc>
          <w:tcPr>
            <w:tcW w:type="dxa" w:w="1926"/>
          </w:tcPr>
          <w:p>
            <w:pPr>
              <w:jc w:val="right"/>
            </w:pPr>
            <w:r>
              <w:rPr>
                <w:rFonts w:ascii="Calibri" w:hAnsi="Calibri"/>
                <w:sz w:val="16"/>
              </w:rPr>
              <w:t>1,14</w:t>
            </w:r>
          </w:p>
        </w:tc>
      </w:tr>
      <w:tr>
        <w:tc>
          <w:tcPr>
            <w:tcW w:type="dxa" w:w="1926"/>
            <w:shd w:val="clear" w:fill="F1F5F9"/>
          </w:tcPr>
          <w:p>
            <w:pPr>
              <w:jc w:val="left"/>
            </w:pPr>
            <w:r>
              <w:rPr>
                <w:rFonts w:ascii="Calibri" w:hAnsi="Calibri"/>
                <w:sz w:val="16"/>
              </w:rPr>
              <w:t>Mekoul</w:t>
            </w:r>
          </w:p>
        </w:tc>
        <w:tc>
          <w:tcPr>
            <w:tcW w:type="dxa" w:w="1926"/>
            <w:shd w:val="clear" w:fill="F1F5F9"/>
          </w:tcPr>
          <w:p>
            <w:pPr>
              <w:jc w:val="left"/>
            </w:pPr>
            <w:r>
              <w:rPr>
                <w:rFonts w:ascii="Calibri" w:hAnsi="Calibri"/>
                <w:sz w:val="16"/>
              </w:rPr>
              <w:t>Cacaoyère</w:t>
            </w:r>
          </w:p>
        </w:tc>
        <w:tc>
          <w:tcPr>
            <w:tcW w:type="dxa" w:w="1926"/>
            <w:shd w:val="clear" w:fill="F1F5F9"/>
          </w:tcPr>
          <w:p>
            <w:pPr>
              <w:jc w:val="right"/>
            </w:pPr>
            <w:r>
              <w:rPr>
                <w:rFonts w:ascii="Calibri" w:hAnsi="Calibri"/>
                <w:sz w:val="16"/>
              </w:rPr>
              <w:t>657</w:t>
            </w:r>
          </w:p>
        </w:tc>
        <w:tc>
          <w:tcPr>
            <w:tcW w:type="dxa" w:w="1926"/>
            <w:shd w:val="clear" w:fill="F1F5F9"/>
          </w:tcPr>
          <w:p>
            <w:pPr>
              <w:jc w:val="right"/>
            </w:pPr>
            <w:r>
              <w:rPr>
                <w:rFonts w:ascii="Calibri" w:hAnsi="Calibri"/>
                <w:sz w:val="16"/>
              </w:rPr>
              <w:t>63</w:t>
            </w:r>
          </w:p>
        </w:tc>
        <w:tc>
          <w:tcPr>
            <w:tcW w:type="dxa" w:w="1926"/>
            <w:shd w:val="clear" w:fill="F1F5F9"/>
          </w:tcPr>
          <w:p>
            <w:pPr>
              <w:jc w:val="right"/>
            </w:pPr>
            <w:r>
              <w:rPr>
                <w:rFonts w:ascii="Calibri" w:hAnsi="Calibri"/>
                <w:sz w:val="16"/>
              </w:rPr>
              <w:t>12,04</w:t>
            </w:r>
          </w:p>
        </w:tc>
      </w:tr>
      <w:tr>
        <w:tc>
          <w:tcPr>
            <w:tcW w:type="dxa" w:w="1926"/>
          </w:tcPr>
          <w:p>
            <w:pPr>
              <w:jc w:val="left"/>
            </w:pPr>
            <w:r>
              <w:rPr>
                <w:rFonts w:ascii="Calibri" w:hAnsi="Calibri"/>
                <w:sz w:val="16"/>
              </w:rPr>
              <w:t>Mekoul</w:t>
            </w:r>
          </w:p>
        </w:tc>
        <w:tc>
          <w:tcPr>
            <w:tcW w:type="dxa" w:w="1926"/>
          </w:tcPr>
          <w:p>
            <w:pPr>
              <w:jc w:val="left"/>
            </w:pPr>
            <w:r>
              <w:rPr>
                <w:rFonts w:ascii="Calibri" w:hAnsi="Calibri"/>
                <w:sz w:val="16"/>
              </w:rPr>
              <w:t>Champs vivriers</w:t>
            </w:r>
          </w:p>
        </w:tc>
        <w:tc>
          <w:tcPr>
            <w:tcW w:type="dxa" w:w="1926"/>
          </w:tcPr>
          <w:p>
            <w:pPr>
              <w:jc w:val="right"/>
            </w:pPr>
            <w:r>
              <w:rPr>
                <w:rFonts w:ascii="Calibri" w:hAnsi="Calibri"/>
                <w:sz w:val="16"/>
              </w:rPr>
              <w:t>139</w:t>
            </w:r>
          </w:p>
        </w:tc>
        <w:tc>
          <w:tcPr>
            <w:tcW w:type="dxa" w:w="1926"/>
          </w:tcPr>
          <w:p>
            <w:pPr>
              <w:jc w:val="right"/>
            </w:pPr>
            <w:r>
              <w:rPr>
                <w:rFonts w:ascii="Calibri" w:hAnsi="Calibri"/>
                <w:sz w:val="16"/>
              </w:rPr>
              <w:t>44</w:t>
            </w:r>
          </w:p>
        </w:tc>
        <w:tc>
          <w:tcPr>
            <w:tcW w:type="dxa" w:w="1926"/>
          </w:tcPr>
          <w:p>
            <w:pPr>
              <w:jc w:val="right"/>
            </w:pPr>
            <w:r>
              <w:rPr>
                <w:rFonts w:ascii="Calibri" w:hAnsi="Calibri"/>
                <w:sz w:val="16"/>
              </w:rPr>
              <w:t>10,10</w:t>
            </w:r>
          </w:p>
        </w:tc>
      </w:tr>
      <w:tr>
        <w:tc>
          <w:tcPr>
            <w:tcW w:type="dxa" w:w="1926"/>
            <w:shd w:val="clear" w:fill="F1F5F9"/>
          </w:tcPr>
          <w:p>
            <w:pPr>
              <w:jc w:val="left"/>
            </w:pPr>
            <w:r>
              <w:rPr>
                <w:rFonts w:ascii="Calibri" w:hAnsi="Calibri"/>
                <w:sz w:val="16"/>
              </w:rPr>
              <w:t>Mekoul</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322</w:t>
            </w:r>
          </w:p>
        </w:tc>
        <w:tc>
          <w:tcPr>
            <w:tcW w:type="dxa" w:w="1926"/>
            <w:shd w:val="clear" w:fill="F1F5F9"/>
          </w:tcPr>
          <w:p>
            <w:pPr>
              <w:jc w:val="right"/>
            </w:pPr>
            <w:r>
              <w:rPr>
                <w:rFonts w:ascii="Calibri" w:hAnsi="Calibri"/>
                <w:sz w:val="16"/>
              </w:rPr>
              <w:t>52</w:t>
            </w:r>
          </w:p>
        </w:tc>
        <w:tc>
          <w:tcPr>
            <w:tcW w:type="dxa" w:w="1926"/>
            <w:shd w:val="clear" w:fill="F1F5F9"/>
          </w:tcPr>
          <w:p>
            <w:pPr>
              <w:jc w:val="right"/>
            </w:pPr>
            <w:r>
              <w:rPr>
                <w:rFonts w:ascii="Calibri" w:hAnsi="Calibri"/>
                <w:sz w:val="16"/>
              </w:rPr>
              <w:t>14,61</w:t>
            </w:r>
          </w:p>
        </w:tc>
      </w:tr>
      <w:tr>
        <w:tc>
          <w:tcPr>
            <w:tcW w:type="dxa" w:w="1926"/>
          </w:tcPr>
          <w:p>
            <w:pPr>
              <w:jc w:val="left"/>
            </w:pPr>
            <w:r>
              <w:rPr>
                <w:rFonts w:ascii="Calibri" w:hAnsi="Calibri"/>
                <w:sz w:val="16"/>
              </w:rPr>
              <w:t>Ntié</w:t>
            </w:r>
          </w:p>
        </w:tc>
        <w:tc>
          <w:tcPr>
            <w:tcW w:type="dxa" w:w="1926"/>
          </w:tcPr>
          <w:p>
            <w:pPr>
              <w:jc w:val="left"/>
            </w:pPr>
            <w:r>
              <w:rPr>
                <w:rFonts w:ascii="Calibri" w:hAnsi="Calibri"/>
                <w:sz w:val="16"/>
              </w:rPr>
              <w:t>Cacaoyère</w:t>
            </w:r>
          </w:p>
        </w:tc>
        <w:tc>
          <w:tcPr>
            <w:tcW w:type="dxa" w:w="1926"/>
          </w:tcPr>
          <w:p>
            <w:pPr>
              <w:jc w:val="right"/>
            </w:pPr>
            <w:r>
              <w:rPr>
                <w:rFonts w:ascii="Calibri" w:hAnsi="Calibri"/>
                <w:sz w:val="16"/>
              </w:rPr>
              <w:t>89</w:t>
            </w:r>
          </w:p>
        </w:tc>
        <w:tc>
          <w:tcPr>
            <w:tcW w:type="dxa" w:w="1926"/>
          </w:tcPr>
          <w:p>
            <w:pPr>
              <w:jc w:val="right"/>
            </w:pPr>
            <w:r>
              <w:rPr>
                <w:rFonts w:ascii="Calibri" w:hAnsi="Calibri"/>
                <w:sz w:val="16"/>
              </w:rPr>
              <w:t>33</w:t>
            </w:r>
          </w:p>
        </w:tc>
        <w:tc>
          <w:tcPr>
            <w:tcW w:type="dxa" w:w="1926"/>
          </w:tcPr>
          <w:p>
            <w:pPr>
              <w:jc w:val="right"/>
            </w:pPr>
            <w:r>
              <w:rPr>
                <w:rFonts w:ascii="Calibri" w:hAnsi="Calibri"/>
                <w:sz w:val="16"/>
              </w:rPr>
              <w:t>2,16</w:t>
            </w:r>
          </w:p>
        </w:tc>
      </w:tr>
      <w:tr>
        <w:tc>
          <w:tcPr>
            <w:tcW w:type="dxa" w:w="1926"/>
            <w:shd w:val="clear" w:fill="F1F5F9"/>
          </w:tcPr>
          <w:p>
            <w:pPr>
              <w:jc w:val="left"/>
            </w:pPr>
            <w:r>
              <w:rPr>
                <w:rFonts w:ascii="Calibri" w:hAnsi="Calibri"/>
                <w:sz w:val="16"/>
              </w:rPr>
              <w:t>Ntié</w:t>
            </w:r>
          </w:p>
        </w:tc>
        <w:tc>
          <w:tcPr>
            <w:tcW w:type="dxa" w:w="1926"/>
            <w:shd w:val="clear" w:fill="F1F5F9"/>
          </w:tcPr>
          <w:p>
            <w:pPr>
              <w:jc w:val="left"/>
            </w:pPr>
            <w:r>
              <w:rPr>
                <w:rFonts w:ascii="Calibri" w:hAnsi="Calibri"/>
                <w:sz w:val="16"/>
              </w:rPr>
              <w:t>Champs vivriers</w:t>
            </w:r>
          </w:p>
        </w:tc>
        <w:tc>
          <w:tcPr>
            <w:tcW w:type="dxa" w:w="1926"/>
            <w:shd w:val="clear" w:fill="F1F5F9"/>
          </w:tcPr>
          <w:p>
            <w:pPr>
              <w:jc w:val="right"/>
            </w:pPr>
            <w:r>
              <w:rPr>
                <w:rFonts w:ascii="Calibri" w:hAnsi="Calibri"/>
                <w:sz w:val="16"/>
              </w:rPr>
              <w:t>33</w:t>
            </w:r>
          </w:p>
        </w:tc>
        <w:tc>
          <w:tcPr>
            <w:tcW w:type="dxa" w:w="1926"/>
            <w:shd w:val="clear" w:fill="F1F5F9"/>
          </w:tcPr>
          <w:p>
            <w:pPr>
              <w:jc w:val="right"/>
            </w:pPr>
            <w:r>
              <w:rPr>
                <w:rFonts w:ascii="Calibri" w:hAnsi="Calibri"/>
                <w:sz w:val="16"/>
              </w:rPr>
              <w:t>17</w:t>
            </w:r>
          </w:p>
        </w:tc>
        <w:tc>
          <w:tcPr>
            <w:tcW w:type="dxa" w:w="1926"/>
            <w:shd w:val="clear" w:fill="F1F5F9"/>
          </w:tcPr>
          <w:p>
            <w:pPr>
              <w:jc w:val="right"/>
            </w:pPr>
            <w:r>
              <w:rPr>
                <w:rFonts w:ascii="Calibri" w:hAnsi="Calibri"/>
                <w:sz w:val="16"/>
              </w:rPr>
              <w:t>0,97</w:t>
            </w:r>
          </w:p>
        </w:tc>
      </w:tr>
      <w:tr>
        <w:tc>
          <w:tcPr>
            <w:tcW w:type="dxa" w:w="1926"/>
          </w:tcPr>
          <w:p>
            <w:pPr>
              <w:jc w:val="left"/>
            </w:pPr>
            <w:r>
              <w:rPr>
                <w:rFonts w:ascii="Calibri" w:hAnsi="Calibri"/>
                <w:sz w:val="16"/>
              </w:rPr>
              <w:t>Ntié</w:t>
            </w:r>
          </w:p>
        </w:tc>
        <w:tc>
          <w:tcPr>
            <w:tcW w:type="dxa" w:w="1926"/>
          </w:tcPr>
          <w:p>
            <w:pPr>
              <w:jc w:val="left"/>
            </w:pPr>
            <w:r>
              <w:rPr>
                <w:rFonts w:ascii="Calibri" w:hAnsi="Calibri"/>
                <w:sz w:val="16"/>
              </w:rPr>
              <w:t>Extension de cacao</w:t>
            </w:r>
          </w:p>
        </w:tc>
        <w:tc>
          <w:tcPr>
            <w:tcW w:type="dxa" w:w="1926"/>
          </w:tcPr>
          <w:p>
            <w:pPr>
              <w:jc w:val="right"/>
            </w:pPr>
            <w:r>
              <w:rPr>
                <w:rFonts w:ascii="Calibri" w:hAnsi="Calibri"/>
                <w:sz w:val="16"/>
              </w:rPr>
              <w:t>42</w:t>
            </w:r>
          </w:p>
        </w:tc>
        <w:tc>
          <w:tcPr>
            <w:tcW w:type="dxa" w:w="1926"/>
          </w:tcPr>
          <w:p>
            <w:pPr>
              <w:jc w:val="right"/>
            </w:pPr>
            <w:r>
              <w:rPr>
                <w:rFonts w:ascii="Calibri" w:hAnsi="Calibri"/>
                <w:sz w:val="16"/>
              </w:rPr>
              <w:t>23</w:t>
            </w:r>
          </w:p>
        </w:tc>
        <w:tc>
          <w:tcPr>
            <w:tcW w:type="dxa" w:w="1926"/>
          </w:tcPr>
          <w:p>
            <w:pPr>
              <w:jc w:val="right"/>
            </w:pPr>
            <w:r>
              <w:rPr>
                <w:rFonts w:ascii="Calibri" w:hAnsi="Calibri"/>
                <w:sz w:val="16"/>
              </w:rPr>
              <w:t>0,38</w:t>
            </w:r>
          </w:p>
        </w:tc>
      </w:tr>
      <w:tr>
        <w:tc>
          <w:tcPr>
            <w:tcW w:type="dxa" w:w="1926"/>
            <w:shd w:val="clear" w:fill="F1F5F9"/>
          </w:tcPr>
          <w:p>
            <w:pPr>
              <w:jc w:val="left"/>
            </w:pPr>
            <w:r>
              <w:rPr>
                <w:rFonts w:ascii="Calibri" w:hAnsi="Calibri"/>
                <w:sz w:val="16"/>
              </w:rPr>
              <w:t>Ntié</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331</w:t>
            </w:r>
          </w:p>
        </w:tc>
        <w:tc>
          <w:tcPr>
            <w:tcW w:type="dxa" w:w="1926"/>
            <w:shd w:val="clear" w:fill="F1F5F9"/>
          </w:tcPr>
          <w:p>
            <w:pPr>
              <w:jc w:val="right"/>
            </w:pPr>
            <w:r>
              <w:rPr>
                <w:rFonts w:ascii="Calibri" w:hAnsi="Calibri"/>
                <w:sz w:val="16"/>
              </w:rPr>
              <w:t>62</w:t>
            </w:r>
          </w:p>
        </w:tc>
        <w:tc>
          <w:tcPr>
            <w:tcW w:type="dxa" w:w="1926"/>
            <w:shd w:val="clear" w:fill="F1F5F9"/>
          </w:tcPr>
          <w:p>
            <w:pPr>
              <w:jc w:val="right"/>
            </w:pPr>
            <w:r>
              <w:rPr>
                <w:rFonts w:ascii="Calibri" w:hAnsi="Calibri"/>
                <w:sz w:val="16"/>
              </w:rPr>
              <w:t>3,42</w:t>
            </w:r>
          </w:p>
        </w:tc>
      </w:tr>
      <w:tr>
        <w:tc>
          <w:tcPr>
            <w:tcW w:type="dxa" w:w="1926"/>
          </w:tcPr>
          <w:p>
            <w:pPr>
              <w:jc w:val="left"/>
            </w:pPr>
            <w:r>
              <w:rPr>
                <w:rFonts w:ascii="Calibri" w:hAnsi="Calibri"/>
                <w:sz w:val="16"/>
              </w:rPr>
              <w:t>Oshea</w:t>
            </w:r>
          </w:p>
        </w:tc>
        <w:tc>
          <w:tcPr>
            <w:tcW w:type="dxa" w:w="1926"/>
          </w:tcPr>
          <w:p>
            <w:pPr>
              <w:jc w:val="left"/>
            </w:pPr>
            <w:r>
              <w:rPr>
                <w:rFonts w:ascii="Calibri" w:hAnsi="Calibri"/>
                <w:sz w:val="16"/>
              </w:rPr>
              <w:t>Cacaoyère</w:t>
            </w:r>
          </w:p>
        </w:tc>
        <w:tc>
          <w:tcPr>
            <w:tcW w:type="dxa" w:w="1926"/>
          </w:tcPr>
          <w:p>
            <w:pPr>
              <w:jc w:val="right"/>
            </w:pPr>
            <w:r>
              <w:rPr>
                <w:rFonts w:ascii="Calibri" w:hAnsi="Calibri"/>
                <w:sz w:val="16"/>
              </w:rPr>
              <w:t>261</w:t>
            </w:r>
          </w:p>
        </w:tc>
        <w:tc>
          <w:tcPr>
            <w:tcW w:type="dxa" w:w="1926"/>
          </w:tcPr>
          <w:p>
            <w:pPr>
              <w:jc w:val="right"/>
            </w:pPr>
            <w:r>
              <w:rPr>
                <w:rFonts w:ascii="Calibri" w:hAnsi="Calibri"/>
                <w:sz w:val="16"/>
              </w:rPr>
              <w:t>46</w:t>
            </w:r>
          </w:p>
        </w:tc>
        <w:tc>
          <w:tcPr>
            <w:tcW w:type="dxa" w:w="1926"/>
          </w:tcPr>
          <w:p>
            <w:pPr>
              <w:jc w:val="right"/>
            </w:pPr>
            <w:r>
              <w:rPr>
                <w:rFonts w:ascii="Calibri" w:hAnsi="Calibri"/>
                <w:sz w:val="16"/>
              </w:rPr>
              <w:t>4,98</w:t>
            </w:r>
          </w:p>
        </w:tc>
      </w:tr>
      <w:tr>
        <w:tc>
          <w:tcPr>
            <w:tcW w:type="dxa" w:w="1926"/>
            <w:shd w:val="clear" w:fill="F1F5F9"/>
          </w:tcPr>
          <w:p>
            <w:pPr>
              <w:jc w:val="left"/>
            </w:pPr>
            <w:r>
              <w:rPr>
                <w:rFonts w:ascii="Calibri" w:hAnsi="Calibri"/>
                <w:sz w:val="16"/>
              </w:rPr>
              <w:t>Oshea</w:t>
            </w:r>
          </w:p>
        </w:tc>
        <w:tc>
          <w:tcPr>
            <w:tcW w:type="dxa" w:w="1926"/>
            <w:shd w:val="clear" w:fill="F1F5F9"/>
          </w:tcPr>
          <w:p>
            <w:pPr>
              <w:jc w:val="left"/>
            </w:pPr>
            <w:r>
              <w:rPr>
                <w:rFonts w:ascii="Calibri" w:hAnsi="Calibri"/>
                <w:sz w:val="16"/>
              </w:rPr>
              <w:t>Champs vivriers</w:t>
            </w:r>
          </w:p>
        </w:tc>
        <w:tc>
          <w:tcPr>
            <w:tcW w:type="dxa" w:w="1926"/>
            <w:shd w:val="clear" w:fill="F1F5F9"/>
          </w:tcPr>
          <w:p>
            <w:pPr>
              <w:jc w:val="right"/>
            </w:pPr>
            <w:r>
              <w:rPr>
                <w:rFonts w:ascii="Calibri" w:hAnsi="Calibri"/>
                <w:sz w:val="16"/>
              </w:rPr>
              <w:t>18</w:t>
            </w:r>
          </w:p>
        </w:tc>
        <w:tc>
          <w:tcPr>
            <w:tcW w:type="dxa" w:w="1926"/>
            <w:shd w:val="clear" w:fill="F1F5F9"/>
          </w:tcPr>
          <w:p>
            <w:pPr>
              <w:jc w:val="right"/>
            </w:pPr>
            <w:r>
              <w:rPr>
                <w:rFonts w:ascii="Calibri" w:hAnsi="Calibri"/>
                <w:sz w:val="16"/>
              </w:rPr>
              <w:t>8</w:t>
            </w:r>
          </w:p>
        </w:tc>
        <w:tc>
          <w:tcPr>
            <w:tcW w:type="dxa" w:w="1926"/>
            <w:shd w:val="clear" w:fill="F1F5F9"/>
          </w:tcPr>
          <w:p>
            <w:pPr>
              <w:jc w:val="right"/>
            </w:pPr>
            <w:r>
              <w:rPr>
                <w:rFonts w:ascii="Calibri" w:hAnsi="Calibri"/>
                <w:sz w:val="16"/>
              </w:rPr>
              <w:t>1,73</w:t>
            </w:r>
          </w:p>
        </w:tc>
      </w:tr>
      <w:tr>
        <w:tc>
          <w:tcPr>
            <w:tcW w:type="dxa" w:w="1926"/>
          </w:tcPr>
          <w:p>
            <w:pPr>
              <w:jc w:val="left"/>
            </w:pPr>
            <w:r>
              <w:rPr>
                <w:rFonts w:ascii="Calibri" w:hAnsi="Calibri"/>
                <w:sz w:val="16"/>
              </w:rPr>
              <w:t>Oshea</w:t>
            </w:r>
          </w:p>
        </w:tc>
        <w:tc>
          <w:tcPr>
            <w:tcW w:type="dxa" w:w="1926"/>
          </w:tcPr>
          <w:p>
            <w:pPr>
              <w:jc w:val="left"/>
            </w:pPr>
            <w:r>
              <w:rPr>
                <w:rFonts w:ascii="Calibri" w:hAnsi="Calibri"/>
                <w:sz w:val="16"/>
              </w:rPr>
              <w:t>Extension de cacao</w:t>
            </w:r>
          </w:p>
        </w:tc>
        <w:tc>
          <w:tcPr>
            <w:tcW w:type="dxa" w:w="1926"/>
          </w:tcPr>
          <w:p>
            <w:pPr>
              <w:jc w:val="right"/>
            </w:pPr>
            <w:r>
              <w:rPr>
                <w:rFonts w:ascii="Calibri" w:hAnsi="Calibri"/>
                <w:sz w:val="16"/>
              </w:rPr>
              <w:t>128</w:t>
            </w:r>
          </w:p>
        </w:tc>
        <w:tc>
          <w:tcPr>
            <w:tcW w:type="dxa" w:w="1926"/>
          </w:tcPr>
          <w:p>
            <w:pPr>
              <w:jc w:val="right"/>
            </w:pPr>
            <w:r>
              <w:rPr>
                <w:rFonts w:ascii="Calibri" w:hAnsi="Calibri"/>
                <w:sz w:val="16"/>
              </w:rPr>
              <w:t>31</w:t>
            </w:r>
          </w:p>
        </w:tc>
        <w:tc>
          <w:tcPr>
            <w:tcW w:type="dxa" w:w="1926"/>
          </w:tcPr>
          <w:p>
            <w:pPr>
              <w:jc w:val="right"/>
            </w:pPr>
            <w:r>
              <w:rPr>
                <w:rFonts w:ascii="Calibri" w:hAnsi="Calibri"/>
                <w:sz w:val="16"/>
              </w:rPr>
              <w:t>3,12</w:t>
            </w:r>
          </w:p>
        </w:tc>
      </w:tr>
      <w:tr>
        <w:tc>
          <w:tcPr>
            <w:tcW w:type="dxa" w:w="1926"/>
            <w:shd w:val="clear" w:fill="F1F5F9"/>
          </w:tcPr>
          <w:p>
            <w:pPr>
              <w:jc w:val="left"/>
            </w:pPr>
            <w:r>
              <w:rPr>
                <w:rFonts w:ascii="Calibri" w:hAnsi="Calibri"/>
                <w:sz w:val="16"/>
              </w:rPr>
              <w:t>Oshea</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218</w:t>
            </w:r>
          </w:p>
        </w:tc>
        <w:tc>
          <w:tcPr>
            <w:tcW w:type="dxa" w:w="1926"/>
            <w:shd w:val="clear" w:fill="F1F5F9"/>
          </w:tcPr>
          <w:p>
            <w:pPr>
              <w:jc w:val="right"/>
            </w:pPr>
            <w:r>
              <w:rPr>
                <w:rFonts w:ascii="Calibri" w:hAnsi="Calibri"/>
                <w:sz w:val="16"/>
              </w:rPr>
              <w:t>35</w:t>
            </w:r>
          </w:p>
        </w:tc>
        <w:tc>
          <w:tcPr>
            <w:tcW w:type="dxa" w:w="1926"/>
            <w:shd w:val="clear" w:fill="F1F5F9"/>
          </w:tcPr>
          <w:p>
            <w:pPr>
              <w:jc w:val="right"/>
            </w:pPr>
            <w:r>
              <w:rPr>
                <w:rFonts w:ascii="Calibri" w:hAnsi="Calibri"/>
                <w:sz w:val="16"/>
              </w:rPr>
              <w:t>7,53</w:t>
            </w:r>
          </w:p>
        </w:tc>
      </w:tr>
    </w:tbl>
    <w:p>
      <w:pPr>
        <w:jc w:val="center"/>
      </w:pPr>
      <w:r>
        <w:drawing>
          <wp:inline xmlns:a="http://schemas.openxmlformats.org/drawingml/2006/main" xmlns:pic="http://schemas.openxmlformats.org/drawingml/2006/picture">
            <wp:extent cx="5400000" cy="3018045"/>
            <wp:docPr id="3" name="Picture 3"/>
            <wp:cNvGraphicFramePr>
              <a:graphicFrameLocks noChangeAspect="1"/>
            </wp:cNvGraphicFramePr>
            <a:graphic>
              <a:graphicData uri="http://schemas.openxmlformats.org/drawingml/2006/picture">
                <pic:pic>
                  <pic:nvPicPr>
                    <pic:cNvPr id="0" name="f_obj2_species.png"/>
                    <pic:cNvPicPr/>
                  </pic:nvPicPr>
                  <pic:blipFill>
                    <a:blip r:embed="rId11"/>
                    <a:stretch>
                      <a:fillRect/>
                    </a:stretch>
                  </pic:blipFill>
                  <pic:spPr>
                    <a:xfrm>
                      <a:off x="0" y="0"/>
                      <a:ext cx="5400000" cy="3018045"/>
                    </a:xfrm>
                    <a:prstGeom prst="rect"/>
                  </pic:spPr>
                </pic:pic>
              </a:graphicData>
            </a:graphic>
          </wp:inline>
        </w:drawing>
      </w:r>
    </w:p>
    <w:p>
      <w:pPr>
        <w:spacing w:before="40"/>
        <w:jc w:val="center"/>
      </w:pPr>
      <w:r>
        <w:rPr>
          <w:rFonts w:ascii="Calibri" w:hAnsi="Calibri"/>
          <w:i/>
          <w:color w:val="64748B"/>
          <w:sz w:val="18"/>
        </w:rPr>
        <w:t>Figure 2. Dix espèces ligneuses identifiées les plus abondantes (toutes agroforêts).</w:t>
      </w:r>
    </w:p>
    <w:p>
      <w:pPr>
        <w:jc w:val="center"/>
      </w:pPr>
      <w:r>
        <w:drawing>
          <wp:inline xmlns:a="http://schemas.openxmlformats.org/drawingml/2006/main" xmlns:pic="http://schemas.openxmlformats.org/drawingml/2006/picture">
            <wp:extent cx="5040000" cy="3014579"/>
            <wp:docPr id="4" name="Picture 4"/>
            <wp:cNvGraphicFramePr>
              <a:graphicFrameLocks noChangeAspect="1"/>
            </wp:cNvGraphicFramePr>
            <a:graphic>
              <a:graphicData uri="http://schemas.openxmlformats.org/drawingml/2006/picture">
                <pic:pic>
                  <pic:nvPicPr>
                    <pic:cNvPr id="0" name="f_obj2_families.png"/>
                    <pic:cNvPicPr/>
                  </pic:nvPicPr>
                  <pic:blipFill>
                    <a:blip r:embed="rId12"/>
                    <a:stretch>
                      <a:fillRect/>
                    </a:stretch>
                  </pic:blipFill>
                  <pic:spPr>
                    <a:xfrm>
                      <a:off x="0" y="0"/>
                      <a:ext cx="5040000" cy="3014579"/>
                    </a:xfrm>
                    <a:prstGeom prst="rect"/>
                  </pic:spPr>
                </pic:pic>
              </a:graphicData>
            </a:graphic>
          </wp:inline>
        </w:drawing>
      </w:r>
    </w:p>
    <w:p>
      <w:pPr>
        <w:spacing w:before="40"/>
        <w:jc w:val="center"/>
      </w:pPr>
      <w:r>
        <w:rPr>
          <w:rFonts w:ascii="Calibri" w:hAnsi="Calibri"/>
          <w:i/>
          <w:color w:val="64748B"/>
          <w:sz w:val="18"/>
        </w:rPr>
        <w:t>Figure 3. Familles botaniques les plus abondantes.</w:t>
      </w:r>
    </w:p>
    <w:p>
      <w:pPr>
        <w:jc w:val="both"/>
      </w:pPr>
      <w:r>
        <w:rPr>
          <w:i/>
          <w:sz w:val="22"/>
        </w:rPr>
        <w:t>Musanga cecropioides</w:t>
      </w:r>
      <w:r>
        <w:rPr>
          <w:sz w:val="22"/>
        </w:rPr>
        <w:t xml:space="preserve"> (parasolier) domine l'ensemble du peuplement avec 618 individus (26,0 %), suivi de </w:t>
      </w:r>
      <w:r>
        <w:rPr>
          <w:i/>
          <w:sz w:val="22"/>
        </w:rPr>
        <w:t>Terminalia superba</w:t>
      </w:r>
      <w:r>
        <w:rPr>
          <w:sz w:val="22"/>
        </w:rPr>
        <w:t xml:space="preserve"> (9,3 %) et de </w:t>
      </w:r>
      <w:r>
        <w:rPr>
          <w:i/>
          <w:sz w:val="22"/>
        </w:rPr>
        <w:t>Ricinodendron heudelotii</w:t>
      </w:r>
      <w:r>
        <w:rPr>
          <w:sz w:val="22"/>
        </w:rPr>
        <w:t xml:space="preserve"> — l'espèce productrice du Djansang — (6,0 %). Les familles dominantes sont les </w:t>
      </w:r>
      <w:r>
        <w:rPr>
          <w:b/>
          <w:sz w:val="22"/>
        </w:rPr>
        <w:t>Urticaceae</w:t>
      </w:r>
      <w:r>
        <w:rPr>
          <w:sz w:val="22"/>
        </w:rPr>
        <w:t xml:space="preserve"> (26,0 %, portées par le parasolier), les </w:t>
      </w:r>
      <w:r>
        <w:rPr>
          <w:b/>
          <w:sz w:val="22"/>
        </w:rPr>
        <w:t>Fabaceae</w:t>
      </w:r>
      <w:r>
        <w:rPr>
          <w:sz w:val="22"/>
        </w:rPr>
        <w:t xml:space="preserve"> (12,3 %) et les </w:t>
      </w:r>
      <w:r>
        <w:rPr>
          <w:b/>
          <w:sz w:val="22"/>
        </w:rPr>
        <w:t>Combretaceae</w:t>
      </w:r>
      <w:r>
        <w:rPr>
          <w:sz w:val="22"/>
        </w:rPr>
        <w:t xml:space="preserve"> (9,3 %).</w:t>
      </w:r>
    </w:p>
    <w:p>
      <w:pPr>
        <w:keepNext/>
        <w:spacing w:before="180" w:after="80"/>
      </w:pPr>
      <w:r>
        <w:rPr>
          <w:rFonts w:ascii="Calibri" w:hAnsi="Calibri"/>
          <w:b/>
          <w:color w:val="0A8A75"/>
          <w:sz w:val="24"/>
        </w:rPr>
        <w:t>Indices de diversité et de similarité</w:t>
      </w:r>
    </w:p>
    <w:p>
      <w:pPr>
        <w:keepNext/>
        <w:spacing w:before="160" w:after="40"/>
      </w:pPr>
      <w:r>
        <w:rPr>
          <w:rFonts w:ascii="Calibri" w:hAnsi="Calibri"/>
          <w:b/>
          <w:color w:val="0A1628"/>
          <w:sz w:val="19"/>
        </w:rPr>
        <w:t>Tableau 3. Indices de diversité par agroforêt de ménage</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fill="0A1628"/>
          </w:tcPr>
          <w:p>
            <w:pPr>
              <w:jc w:val="center"/>
            </w:pPr>
            <w:r>
              <w:rPr>
                <w:rFonts w:ascii="Calibri" w:hAnsi="Calibri"/>
                <w:b/>
                <w:color w:val="FFFFFF"/>
                <w:sz w:val="17"/>
              </w:rPr>
              <w:t>Agroforêt</w:t>
            </w:r>
          </w:p>
        </w:tc>
        <w:tc>
          <w:tcPr>
            <w:tcW w:type="dxa" w:w="1605"/>
            <w:shd w:val="clear" w:fill="0A1628"/>
          </w:tcPr>
          <w:p>
            <w:pPr>
              <w:jc w:val="center"/>
            </w:pPr>
            <w:r>
              <w:rPr>
                <w:rFonts w:ascii="Calibri" w:hAnsi="Calibri"/>
                <w:b/>
                <w:color w:val="FFFFFF"/>
                <w:sz w:val="17"/>
              </w:rPr>
              <w:t>N</w:t>
            </w:r>
          </w:p>
        </w:tc>
        <w:tc>
          <w:tcPr>
            <w:tcW w:type="dxa" w:w="1605"/>
            <w:shd w:val="clear" w:fill="0A1628"/>
          </w:tcPr>
          <w:p>
            <w:pPr>
              <w:jc w:val="center"/>
            </w:pPr>
            <w:r>
              <w:rPr>
                <w:rFonts w:ascii="Calibri" w:hAnsi="Calibri"/>
                <w:b/>
                <w:color w:val="FFFFFF"/>
                <w:sz w:val="17"/>
              </w:rPr>
              <w:t>Richesse S</w:t>
            </w:r>
          </w:p>
        </w:tc>
        <w:tc>
          <w:tcPr>
            <w:tcW w:type="dxa" w:w="1605"/>
            <w:shd w:val="clear" w:fill="0A1628"/>
          </w:tcPr>
          <w:p>
            <w:pPr>
              <w:jc w:val="center"/>
            </w:pPr>
            <w:r>
              <w:rPr>
                <w:rFonts w:ascii="Calibri" w:hAnsi="Calibri"/>
                <w:b/>
                <w:color w:val="FFFFFF"/>
                <w:sz w:val="17"/>
              </w:rPr>
              <w:t>Shannon H'</w:t>
            </w:r>
          </w:p>
        </w:tc>
        <w:tc>
          <w:tcPr>
            <w:tcW w:type="dxa" w:w="1605"/>
            <w:shd w:val="clear" w:fill="0A1628"/>
          </w:tcPr>
          <w:p>
            <w:pPr>
              <w:jc w:val="center"/>
            </w:pPr>
            <w:r>
              <w:rPr>
                <w:rFonts w:ascii="Calibri" w:hAnsi="Calibri"/>
                <w:b/>
                <w:color w:val="FFFFFF"/>
                <w:sz w:val="17"/>
              </w:rPr>
              <w:t>Simpson (1-D)</w:t>
            </w:r>
          </w:p>
        </w:tc>
        <w:tc>
          <w:tcPr>
            <w:tcW w:type="dxa" w:w="1605"/>
            <w:shd w:val="clear" w:fill="0A1628"/>
          </w:tcPr>
          <w:p>
            <w:pPr>
              <w:jc w:val="center"/>
            </w:pPr>
            <w:r>
              <w:rPr>
                <w:rFonts w:ascii="Calibri" w:hAnsi="Calibri"/>
                <w:b/>
                <w:color w:val="FFFFFF"/>
                <w:sz w:val="17"/>
              </w:rPr>
              <w:t>Piélou J</w:t>
            </w:r>
          </w:p>
        </w:tc>
      </w:tr>
      <w:tr>
        <w:tc>
          <w:tcPr>
            <w:tcW w:type="dxa" w:w="1605"/>
          </w:tcPr>
          <w:p>
            <w:pPr>
              <w:jc w:val="left"/>
            </w:pPr>
            <w:r>
              <w:rPr>
                <w:rFonts w:ascii="Calibri" w:hAnsi="Calibri"/>
                <w:sz w:val="16"/>
              </w:rPr>
              <w:t>Bibassa</w:t>
            </w:r>
          </w:p>
        </w:tc>
        <w:tc>
          <w:tcPr>
            <w:tcW w:type="dxa" w:w="1605"/>
          </w:tcPr>
          <w:p>
            <w:pPr>
              <w:jc w:val="right"/>
            </w:pPr>
            <w:r>
              <w:rPr>
                <w:rFonts w:ascii="Calibri" w:hAnsi="Calibri"/>
                <w:sz w:val="16"/>
              </w:rPr>
              <w:t>141</w:t>
            </w:r>
          </w:p>
        </w:tc>
        <w:tc>
          <w:tcPr>
            <w:tcW w:type="dxa" w:w="1605"/>
          </w:tcPr>
          <w:p>
            <w:pPr>
              <w:jc w:val="right"/>
            </w:pPr>
            <w:r>
              <w:rPr>
                <w:rFonts w:ascii="Calibri" w:hAnsi="Calibri"/>
                <w:sz w:val="16"/>
              </w:rPr>
              <w:t>63</w:t>
            </w:r>
          </w:p>
        </w:tc>
        <w:tc>
          <w:tcPr>
            <w:tcW w:type="dxa" w:w="1605"/>
          </w:tcPr>
          <w:p>
            <w:pPr>
              <w:jc w:val="right"/>
            </w:pPr>
            <w:r>
              <w:rPr>
                <w:rFonts w:ascii="Calibri" w:hAnsi="Calibri"/>
                <w:sz w:val="16"/>
              </w:rPr>
              <w:t>3,58</w:t>
            </w:r>
          </w:p>
        </w:tc>
        <w:tc>
          <w:tcPr>
            <w:tcW w:type="dxa" w:w="1605"/>
          </w:tcPr>
          <w:p>
            <w:pPr>
              <w:jc w:val="right"/>
            </w:pPr>
            <w:r>
              <w:rPr>
                <w:rFonts w:ascii="Calibri" w:hAnsi="Calibri"/>
                <w:sz w:val="16"/>
              </w:rPr>
              <w:t>0,947</w:t>
            </w:r>
          </w:p>
        </w:tc>
        <w:tc>
          <w:tcPr>
            <w:tcW w:type="dxa" w:w="1605"/>
          </w:tcPr>
          <w:p>
            <w:pPr>
              <w:jc w:val="right"/>
            </w:pPr>
            <w:r>
              <w:rPr>
                <w:rFonts w:ascii="Calibri" w:hAnsi="Calibri"/>
                <w:sz w:val="16"/>
              </w:rPr>
              <w:t>0,864</w:t>
            </w:r>
          </w:p>
        </w:tc>
      </w:tr>
      <w:tr>
        <w:tc>
          <w:tcPr>
            <w:tcW w:type="dxa" w:w="1605"/>
            <w:shd w:val="clear" w:fill="F1F5F9"/>
          </w:tcPr>
          <w:p>
            <w:pPr>
              <w:jc w:val="left"/>
            </w:pPr>
            <w:r>
              <w:rPr>
                <w:rFonts w:ascii="Calibri" w:hAnsi="Calibri"/>
                <w:sz w:val="16"/>
              </w:rPr>
              <w:t>Ntié</w:t>
            </w:r>
          </w:p>
        </w:tc>
        <w:tc>
          <w:tcPr>
            <w:tcW w:type="dxa" w:w="1605"/>
            <w:shd w:val="clear" w:fill="F1F5F9"/>
          </w:tcPr>
          <w:p>
            <w:pPr>
              <w:jc w:val="right"/>
            </w:pPr>
            <w:r>
              <w:rPr>
                <w:rFonts w:ascii="Calibri" w:hAnsi="Calibri"/>
                <w:sz w:val="16"/>
              </w:rPr>
              <w:t>495</w:t>
            </w:r>
          </w:p>
        </w:tc>
        <w:tc>
          <w:tcPr>
            <w:tcW w:type="dxa" w:w="1605"/>
            <w:shd w:val="clear" w:fill="F1F5F9"/>
          </w:tcPr>
          <w:p>
            <w:pPr>
              <w:jc w:val="right"/>
            </w:pPr>
            <w:r>
              <w:rPr>
                <w:rFonts w:ascii="Calibri" w:hAnsi="Calibri"/>
                <w:sz w:val="16"/>
              </w:rPr>
              <w:t>91</w:t>
            </w:r>
          </w:p>
        </w:tc>
        <w:tc>
          <w:tcPr>
            <w:tcW w:type="dxa" w:w="1605"/>
            <w:shd w:val="clear" w:fill="F1F5F9"/>
          </w:tcPr>
          <w:p>
            <w:pPr>
              <w:jc w:val="right"/>
            </w:pPr>
            <w:r>
              <w:rPr>
                <w:rFonts w:ascii="Calibri" w:hAnsi="Calibri"/>
                <w:sz w:val="16"/>
              </w:rPr>
              <w:t>3,48</w:t>
            </w:r>
          </w:p>
        </w:tc>
        <w:tc>
          <w:tcPr>
            <w:tcW w:type="dxa" w:w="1605"/>
            <w:shd w:val="clear" w:fill="F1F5F9"/>
          </w:tcPr>
          <w:p>
            <w:pPr>
              <w:jc w:val="right"/>
            </w:pPr>
            <w:r>
              <w:rPr>
                <w:rFonts w:ascii="Calibri" w:hAnsi="Calibri"/>
                <w:sz w:val="16"/>
              </w:rPr>
              <w:t>0,941</w:t>
            </w:r>
          </w:p>
        </w:tc>
        <w:tc>
          <w:tcPr>
            <w:tcW w:type="dxa" w:w="1605"/>
            <w:shd w:val="clear" w:fill="F1F5F9"/>
          </w:tcPr>
          <w:p>
            <w:pPr>
              <w:jc w:val="right"/>
            </w:pPr>
            <w:r>
              <w:rPr>
                <w:rFonts w:ascii="Calibri" w:hAnsi="Calibri"/>
                <w:sz w:val="16"/>
              </w:rPr>
              <w:t>0,772</w:t>
            </w:r>
          </w:p>
        </w:tc>
      </w:tr>
      <w:tr>
        <w:tc>
          <w:tcPr>
            <w:tcW w:type="dxa" w:w="1605"/>
          </w:tcPr>
          <w:p>
            <w:pPr>
              <w:jc w:val="left"/>
            </w:pPr>
            <w:r>
              <w:rPr>
                <w:rFonts w:ascii="Calibri" w:hAnsi="Calibri"/>
                <w:sz w:val="16"/>
              </w:rPr>
              <w:t>Oshea</w:t>
            </w:r>
          </w:p>
        </w:tc>
        <w:tc>
          <w:tcPr>
            <w:tcW w:type="dxa" w:w="1605"/>
          </w:tcPr>
          <w:p>
            <w:pPr>
              <w:jc w:val="right"/>
            </w:pPr>
            <w:r>
              <w:rPr>
                <w:rFonts w:ascii="Calibri" w:hAnsi="Calibri"/>
                <w:sz w:val="16"/>
              </w:rPr>
              <w:t>625</w:t>
            </w:r>
          </w:p>
        </w:tc>
        <w:tc>
          <w:tcPr>
            <w:tcW w:type="dxa" w:w="1605"/>
          </w:tcPr>
          <w:p>
            <w:pPr>
              <w:jc w:val="right"/>
            </w:pPr>
            <w:r>
              <w:rPr>
                <w:rFonts w:ascii="Calibri" w:hAnsi="Calibri"/>
                <w:sz w:val="16"/>
              </w:rPr>
              <w:t>77</w:t>
            </w:r>
          </w:p>
        </w:tc>
        <w:tc>
          <w:tcPr>
            <w:tcW w:type="dxa" w:w="1605"/>
          </w:tcPr>
          <w:p>
            <w:pPr>
              <w:jc w:val="right"/>
            </w:pPr>
            <w:r>
              <w:rPr>
                <w:rFonts w:ascii="Calibri" w:hAnsi="Calibri"/>
                <w:sz w:val="16"/>
              </w:rPr>
              <w:t>3,24</w:t>
            </w:r>
          </w:p>
        </w:tc>
        <w:tc>
          <w:tcPr>
            <w:tcW w:type="dxa" w:w="1605"/>
          </w:tcPr>
          <w:p>
            <w:pPr>
              <w:jc w:val="right"/>
            </w:pPr>
            <w:r>
              <w:rPr>
                <w:rFonts w:ascii="Calibri" w:hAnsi="Calibri"/>
                <w:sz w:val="16"/>
              </w:rPr>
              <w:t>0,928</w:t>
            </w:r>
          </w:p>
        </w:tc>
        <w:tc>
          <w:tcPr>
            <w:tcW w:type="dxa" w:w="1605"/>
          </w:tcPr>
          <w:p>
            <w:pPr>
              <w:jc w:val="right"/>
            </w:pPr>
            <w:r>
              <w:rPr>
                <w:rFonts w:ascii="Calibri" w:hAnsi="Calibri"/>
                <w:sz w:val="16"/>
              </w:rPr>
              <w:t>0,747</w:t>
            </w:r>
          </w:p>
        </w:tc>
      </w:tr>
      <w:tr>
        <w:tc>
          <w:tcPr>
            <w:tcW w:type="dxa" w:w="1605"/>
            <w:shd w:val="clear" w:fill="F1F5F9"/>
          </w:tcPr>
          <w:p>
            <w:pPr>
              <w:jc w:val="left"/>
            </w:pPr>
            <w:r>
              <w:rPr>
                <w:rFonts w:ascii="Calibri" w:hAnsi="Calibri"/>
                <w:sz w:val="16"/>
              </w:rPr>
              <w:t>Mekoul</w:t>
            </w:r>
          </w:p>
        </w:tc>
        <w:tc>
          <w:tcPr>
            <w:tcW w:type="dxa" w:w="1605"/>
            <w:shd w:val="clear" w:fill="F1F5F9"/>
          </w:tcPr>
          <w:p>
            <w:pPr>
              <w:jc w:val="right"/>
            </w:pPr>
            <w:r>
              <w:rPr>
                <w:rFonts w:ascii="Calibri" w:hAnsi="Calibri"/>
                <w:sz w:val="16"/>
              </w:rPr>
              <w:t>1118</w:t>
            </w:r>
          </w:p>
        </w:tc>
        <w:tc>
          <w:tcPr>
            <w:tcW w:type="dxa" w:w="1605"/>
            <w:shd w:val="clear" w:fill="F1F5F9"/>
          </w:tcPr>
          <w:p>
            <w:pPr>
              <w:jc w:val="right"/>
            </w:pPr>
            <w:r>
              <w:rPr>
                <w:rFonts w:ascii="Calibri" w:hAnsi="Calibri"/>
                <w:sz w:val="16"/>
              </w:rPr>
              <w:t>108</w:t>
            </w:r>
          </w:p>
        </w:tc>
        <w:tc>
          <w:tcPr>
            <w:tcW w:type="dxa" w:w="1605"/>
            <w:shd w:val="clear" w:fill="F1F5F9"/>
          </w:tcPr>
          <w:p>
            <w:pPr>
              <w:jc w:val="right"/>
            </w:pPr>
            <w:r>
              <w:rPr>
                <w:rFonts w:ascii="Calibri" w:hAnsi="Calibri"/>
                <w:sz w:val="16"/>
              </w:rPr>
              <w:t>2,84</w:t>
            </w:r>
          </w:p>
        </w:tc>
        <w:tc>
          <w:tcPr>
            <w:tcW w:type="dxa" w:w="1605"/>
            <w:shd w:val="clear" w:fill="F1F5F9"/>
          </w:tcPr>
          <w:p>
            <w:pPr>
              <w:jc w:val="right"/>
            </w:pPr>
            <w:r>
              <w:rPr>
                <w:rFonts w:ascii="Calibri" w:hAnsi="Calibri"/>
                <w:sz w:val="16"/>
              </w:rPr>
              <w:t>0,828</w:t>
            </w:r>
          </w:p>
        </w:tc>
        <w:tc>
          <w:tcPr>
            <w:tcW w:type="dxa" w:w="1605"/>
            <w:shd w:val="clear" w:fill="F1F5F9"/>
          </w:tcPr>
          <w:p>
            <w:pPr>
              <w:jc w:val="right"/>
            </w:pPr>
            <w:r>
              <w:rPr>
                <w:rFonts w:ascii="Calibri" w:hAnsi="Calibri"/>
                <w:sz w:val="16"/>
              </w:rPr>
              <w:t>0,606</w:t>
            </w:r>
          </w:p>
        </w:tc>
      </w:tr>
    </w:tbl>
    <w:p>
      <w:pPr>
        <w:jc w:val="center"/>
      </w:pPr>
      <w:r>
        <w:drawing>
          <wp:inline xmlns:a="http://schemas.openxmlformats.org/drawingml/2006/main" xmlns:pic="http://schemas.openxmlformats.org/drawingml/2006/picture">
            <wp:extent cx="5400000" cy="3089382"/>
            <wp:docPr id="5" name="Picture 5"/>
            <wp:cNvGraphicFramePr>
              <a:graphicFrameLocks noChangeAspect="1"/>
            </wp:cNvGraphicFramePr>
            <a:graphic>
              <a:graphicData uri="http://schemas.openxmlformats.org/drawingml/2006/picture">
                <pic:pic>
                  <pic:nvPicPr>
                    <pic:cNvPr id="0" name="f_obj2_indices.png"/>
                    <pic:cNvPicPr/>
                  </pic:nvPicPr>
                  <pic:blipFill>
                    <a:blip r:embed="rId13"/>
                    <a:stretch>
                      <a:fillRect/>
                    </a:stretch>
                  </pic:blipFill>
                  <pic:spPr>
                    <a:xfrm>
                      <a:off x="0" y="0"/>
                      <a:ext cx="5400000" cy="3089382"/>
                    </a:xfrm>
                    <a:prstGeom prst="rect"/>
                  </pic:spPr>
                </pic:pic>
              </a:graphicData>
            </a:graphic>
          </wp:inline>
        </w:drawing>
      </w:r>
    </w:p>
    <w:p>
      <w:pPr>
        <w:spacing w:before="40"/>
        <w:jc w:val="center"/>
      </w:pPr>
      <w:r>
        <w:rPr>
          <w:rFonts w:ascii="Calibri" w:hAnsi="Calibri"/>
          <w:i/>
          <w:color w:val="64748B"/>
          <w:sz w:val="18"/>
        </w:rPr>
        <w:t>Figure 4. Indices de diversité floristique par agroforêt.</w:t>
      </w:r>
    </w:p>
    <w:p>
      <w:pPr>
        <w:jc w:val="both"/>
      </w:pPr>
      <w:r>
        <w:rPr>
          <w:sz w:val="22"/>
        </w:rPr>
        <w:t xml:space="preserve">L'indice de Shannon décroît de </w:t>
      </w:r>
      <w:r>
        <w:rPr>
          <w:b/>
          <w:sz w:val="22"/>
        </w:rPr>
        <w:t>Bibassa (H' = 3,58)</w:t>
      </w:r>
      <w:r>
        <w:rPr>
          <w:sz w:val="22"/>
        </w:rPr>
        <w:t xml:space="preserve"> à </w:t>
      </w:r>
      <w:r>
        <w:rPr>
          <w:b/>
          <w:sz w:val="22"/>
        </w:rPr>
        <w:t>Mekoul (H' = 2,84)</w:t>
      </w:r>
      <w:r>
        <w:rPr>
          <w:sz w:val="22"/>
        </w:rPr>
        <w:t xml:space="preserve">. Selon la grille de Barmo et al. (2019), Bibassa, Ntié et Oshea (H' &gt; 3) présentent une diversité </w:t>
      </w:r>
      <w:r>
        <w:rPr>
          <w:b/>
          <w:sz w:val="22"/>
        </w:rPr>
        <w:t>élevée</w:t>
      </w:r>
      <w:r>
        <w:rPr>
          <w:sz w:val="22"/>
        </w:rPr>
        <w:t xml:space="preserve">, tandis que Mekoul (H' = 2,84) se situe en diversité </w:t>
      </w:r>
      <w:r>
        <w:rPr>
          <w:b/>
          <w:sz w:val="22"/>
        </w:rPr>
        <w:t>moyenne à élevée</w:t>
      </w:r>
      <w:r>
        <w:rPr>
          <w:sz w:val="22"/>
        </w:rPr>
        <w:t xml:space="preserve">, pénalisée par la surreprésentation de </w:t>
      </w:r>
      <w:r>
        <w:rPr>
          <w:i/>
          <w:sz w:val="22"/>
        </w:rPr>
        <w:t>Musanga cecropioides</w:t>
      </w:r>
      <w:r>
        <w:rPr>
          <w:sz w:val="22"/>
        </w:rPr>
        <w:t>. L'équitabilité de Piélou confirme cette hiérarchie (J de 0,86 à Bibassa à 0,61 à Mekoul) : le peuplement de Mekoul est le plus fortement dominé par quelques espèces. L'indice de Simpson, élevé partout (0,83 à 0,95), indique une faible probabilité de dominance dans l'ensemble des peuplements.</w:t>
      </w:r>
    </w:p>
    <w:p>
      <w:pPr>
        <w:keepNext/>
        <w:spacing w:before="160" w:after="40"/>
      </w:pPr>
      <w:r>
        <w:rPr>
          <w:rFonts w:ascii="Calibri" w:hAnsi="Calibri"/>
          <w:b/>
          <w:color w:val="0A1628"/>
          <w:sz w:val="19"/>
        </w:rPr>
        <w:t>Tableau 4. Indices de diversité par TUT des agroforêts (Tableau II du mémoire)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Agroforêt</w:t>
            </w:r>
          </w:p>
        </w:tc>
        <w:tc>
          <w:tcPr>
            <w:tcW w:type="dxa" w:w="1926"/>
            <w:shd w:val="clear" w:fill="0A1628"/>
          </w:tcPr>
          <w:p>
            <w:pPr>
              <w:jc w:val="center"/>
            </w:pPr>
            <w:r>
              <w:rPr>
                <w:rFonts w:ascii="Calibri" w:hAnsi="Calibri"/>
                <w:b/>
                <w:color w:val="FFFFFF"/>
                <w:sz w:val="17"/>
              </w:rPr>
              <w:t>TUT</w:t>
            </w:r>
          </w:p>
        </w:tc>
        <w:tc>
          <w:tcPr>
            <w:tcW w:type="dxa" w:w="1926"/>
            <w:shd w:val="clear" w:fill="0A1628"/>
          </w:tcPr>
          <w:p>
            <w:pPr>
              <w:jc w:val="center"/>
            </w:pPr>
            <w:r>
              <w:rPr>
                <w:rFonts w:ascii="Calibri" w:hAnsi="Calibri"/>
                <w:b/>
                <w:color w:val="FFFFFF"/>
                <w:sz w:val="17"/>
              </w:rPr>
              <w:t>Shannon H'</w:t>
            </w:r>
          </w:p>
        </w:tc>
        <w:tc>
          <w:tcPr>
            <w:tcW w:type="dxa" w:w="1926"/>
            <w:shd w:val="clear" w:fill="0A1628"/>
          </w:tcPr>
          <w:p>
            <w:pPr>
              <w:jc w:val="center"/>
            </w:pPr>
            <w:r>
              <w:rPr>
                <w:rFonts w:ascii="Calibri" w:hAnsi="Calibri"/>
                <w:b/>
                <w:color w:val="FFFFFF"/>
                <w:sz w:val="17"/>
              </w:rPr>
              <w:t>Simpson (1-D)</w:t>
            </w:r>
          </w:p>
        </w:tc>
        <w:tc>
          <w:tcPr>
            <w:tcW w:type="dxa" w:w="1926"/>
            <w:shd w:val="clear" w:fill="0A1628"/>
          </w:tcPr>
          <w:p>
            <w:pPr>
              <w:jc w:val="center"/>
            </w:pPr>
            <w:r>
              <w:rPr>
                <w:rFonts w:ascii="Calibri" w:hAnsi="Calibri"/>
                <w:b/>
                <w:color w:val="FFFFFF"/>
                <w:sz w:val="17"/>
              </w:rPr>
              <w:t>Pielou J</w:t>
            </w:r>
          </w:p>
        </w:tc>
      </w:tr>
      <w:tr>
        <w:tc>
          <w:tcPr>
            <w:tcW w:type="dxa" w:w="1926"/>
          </w:tcPr>
          <w:p>
            <w:pPr>
              <w:jc w:val="left"/>
            </w:pPr>
            <w:r>
              <w:rPr>
                <w:rFonts w:ascii="Calibri" w:hAnsi="Calibri"/>
                <w:sz w:val="16"/>
              </w:rPr>
              <w:t>Bibassa</w:t>
            </w:r>
          </w:p>
        </w:tc>
        <w:tc>
          <w:tcPr>
            <w:tcW w:type="dxa" w:w="1926"/>
          </w:tcPr>
          <w:p>
            <w:pPr>
              <w:jc w:val="left"/>
            </w:pPr>
            <w:r>
              <w:rPr>
                <w:rFonts w:ascii="Calibri" w:hAnsi="Calibri"/>
                <w:sz w:val="16"/>
              </w:rPr>
              <w:t>Cacaoyère</w:t>
            </w:r>
          </w:p>
        </w:tc>
        <w:tc>
          <w:tcPr>
            <w:tcW w:type="dxa" w:w="1926"/>
          </w:tcPr>
          <w:p>
            <w:pPr>
              <w:jc w:val="right"/>
            </w:pPr>
            <w:r>
              <w:rPr>
                <w:rFonts w:ascii="Calibri" w:hAnsi="Calibri"/>
                <w:sz w:val="16"/>
              </w:rPr>
              <w:t>3,085</w:t>
            </w:r>
          </w:p>
        </w:tc>
        <w:tc>
          <w:tcPr>
            <w:tcW w:type="dxa" w:w="1926"/>
          </w:tcPr>
          <w:p>
            <w:pPr>
              <w:jc w:val="right"/>
            </w:pPr>
            <w:r>
              <w:rPr>
                <w:rFonts w:ascii="Calibri" w:hAnsi="Calibri"/>
                <w:sz w:val="16"/>
              </w:rPr>
              <w:t>0,926</w:t>
            </w:r>
          </w:p>
        </w:tc>
        <w:tc>
          <w:tcPr>
            <w:tcW w:type="dxa" w:w="1926"/>
          </w:tcPr>
          <w:p>
            <w:pPr>
              <w:jc w:val="right"/>
            </w:pPr>
            <w:r>
              <w:rPr>
                <w:rFonts w:ascii="Calibri" w:hAnsi="Calibri"/>
                <w:sz w:val="16"/>
              </w:rPr>
              <w:t>0,854</w:t>
            </w:r>
          </w:p>
        </w:tc>
      </w:tr>
      <w:tr>
        <w:tc>
          <w:tcPr>
            <w:tcW w:type="dxa" w:w="1926"/>
            <w:shd w:val="clear" w:fill="F1F5F9"/>
          </w:tcPr>
          <w:p>
            <w:pPr>
              <w:jc w:val="left"/>
            </w:pPr>
            <w:r>
              <w:rPr>
                <w:rFonts w:ascii="Calibri" w:hAnsi="Calibri"/>
                <w:sz w:val="16"/>
              </w:rPr>
              <w:t>Bibassa</w:t>
            </w:r>
          </w:p>
        </w:tc>
        <w:tc>
          <w:tcPr>
            <w:tcW w:type="dxa" w:w="1926"/>
            <w:shd w:val="clear" w:fill="F1F5F9"/>
          </w:tcPr>
          <w:p>
            <w:pPr>
              <w:jc w:val="left"/>
            </w:pPr>
            <w:r>
              <w:rPr>
                <w:rFonts w:ascii="Calibri" w:hAnsi="Calibri"/>
                <w:sz w:val="16"/>
              </w:rPr>
              <w:t>Champs vivriers</w:t>
            </w:r>
          </w:p>
        </w:tc>
        <w:tc>
          <w:tcPr>
            <w:tcW w:type="dxa" w:w="1926"/>
            <w:shd w:val="clear" w:fill="F1F5F9"/>
          </w:tcPr>
          <w:p>
            <w:pPr>
              <w:jc w:val="right"/>
            </w:pPr>
            <w:r>
              <w:rPr>
                <w:rFonts w:ascii="Calibri" w:hAnsi="Calibri"/>
                <w:sz w:val="16"/>
              </w:rPr>
              <w:t>3,186</w:t>
            </w:r>
          </w:p>
        </w:tc>
        <w:tc>
          <w:tcPr>
            <w:tcW w:type="dxa" w:w="1926"/>
            <w:shd w:val="clear" w:fill="F1F5F9"/>
          </w:tcPr>
          <w:p>
            <w:pPr>
              <w:jc w:val="right"/>
            </w:pPr>
            <w:r>
              <w:rPr>
                <w:rFonts w:ascii="Calibri" w:hAnsi="Calibri"/>
                <w:sz w:val="16"/>
              </w:rPr>
              <w:t>0,947</w:t>
            </w:r>
          </w:p>
        </w:tc>
        <w:tc>
          <w:tcPr>
            <w:tcW w:type="dxa" w:w="1926"/>
            <w:shd w:val="clear" w:fill="F1F5F9"/>
          </w:tcPr>
          <w:p>
            <w:pPr>
              <w:jc w:val="right"/>
            </w:pPr>
            <w:r>
              <w:rPr>
                <w:rFonts w:ascii="Calibri" w:hAnsi="Calibri"/>
                <w:sz w:val="16"/>
              </w:rPr>
              <w:t>0,946</w:t>
            </w:r>
          </w:p>
        </w:tc>
      </w:tr>
      <w:tr>
        <w:tc>
          <w:tcPr>
            <w:tcW w:type="dxa" w:w="1926"/>
          </w:tcPr>
          <w:p>
            <w:pPr>
              <w:jc w:val="left"/>
            </w:pPr>
            <w:r>
              <w:rPr>
                <w:rFonts w:ascii="Calibri" w:hAnsi="Calibri"/>
                <w:sz w:val="16"/>
              </w:rPr>
              <w:t>Bibassa</w:t>
            </w:r>
          </w:p>
        </w:tc>
        <w:tc>
          <w:tcPr>
            <w:tcW w:type="dxa" w:w="1926"/>
          </w:tcPr>
          <w:p>
            <w:pPr>
              <w:jc w:val="left"/>
            </w:pPr>
            <w:r>
              <w:rPr>
                <w:rFonts w:ascii="Calibri" w:hAnsi="Calibri"/>
                <w:sz w:val="16"/>
              </w:rPr>
              <w:t>Jachère</w:t>
            </w:r>
          </w:p>
        </w:tc>
        <w:tc>
          <w:tcPr>
            <w:tcW w:type="dxa" w:w="1926"/>
          </w:tcPr>
          <w:p>
            <w:pPr>
              <w:jc w:val="right"/>
            </w:pPr>
            <w:r>
              <w:rPr>
                <w:rFonts w:ascii="Calibri" w:hAnsi="Calibri"/>
                <w:sz w:val="16"/>
              </w:rPr>
              <w:t>1,772</w:t>
            </w:r>
          </w:p>
        </w:tc>
        <w:tc>
          <w:tcPr>
            <w:tcW w:type="dxa" w:w="1926"/>
          </w:tcPr>
          <w:p>
            <w:pPr>
              <w:jc w:val="right"/>
            </w:pPr>
            <w:r>
              <w:rPr>
                <w:rFonts w:ascii="Calibri" w:hAnsi="Calibri"/>
                <w:sz w:val="16"/>
              </w:rPr>
              <w:t>0,765</w:t>
            </w:r>
          </w:p>
        </w:tc>
        <w:tc>
          <w:tcPr>
            <w:tcW w:type="dxa" w:w="1926"/>
          </w:tcPr>
          <w:p>
            <w:pPr>
              <w:jc w:val="right"/>
            </w:pPr>
            <w:r>
              <w:rPr>
                <w:rFonts w:ascii="Calibri" w:hAnsi="Calibri"/>
                <w:sz w:val="16"/>
              </w:rPr>
              <w:t>0,852</w:t>
            </w:r>
          </w:p>
        </w:tc>
      </w:tr>
      <w:tr>
        <w:tc>
          <w:tcPr>
            <w:tcW w:type="dxa" w:w="1926"/>
            <w:shd w:val="clear" w:fill="F1F5F9"/>
          </w:tcPr>
          <w:p>
            <w:pPr>
              <w:jc w:val="left"/>
            </w:pPr>
            <w:r>
              <w:rPr>
                <w:rFonts w:ascii="Calibri" w:hAnsi="Calibri"/>
                <w:sz w:val="16"/>
              </w:rPr>
              <w:t>Ntié</w:t>
            </w:r>
          </w:p>
        </w:tc>
        <w:tc>
          <w:tcPr>
            <w:tcW w:type="dxa" w:w="1926"/>
            <w:shd w:val="clear" w:fill="F1F5F9"/>
          </w:tcPr>
          <w:p>
            <w:pPr>
              <w:jc w:val="left"/>
            </w:pPr>
            <w:r>
              <w:rPr>
                <w:rFonts w:ascii="Calibri" w:hAnsi="Calibri"/>
                <w:sz w:val="16"/>
              </w:rPr>
              <w:t>Cacaoyère</w:t>
            </w:r>
          </w:p>
        </w:tc>
        <w:tc>
          <w:tcPr>
            <w:tcW w:type="dxa" w:w="1926"/>
            <w:shd w:val="clear" w:fill="F1F5F9"/>
          </w:tcPr>
          <w:p>
            <w:pPr>
              <w:jc w:val="right"/>
            </w:pPr>
            <w:r>
              <w:rPr>
                <w:rFonts w:ascii="Calibri" w:hAnsi="Calibri"/>
                <w:sz w:val="16"/>
              </w:rPr>
              <w:t>3,014</w:t>
            </w:r>
          </w:p>
        </w:tc>
        <w:tc>
          <w:tcPr>
            <w:tcW w:type="dxa" w:w="1926"/>
            <w:shd w:val="clear" w:fill="F1F5F9"/>
          </w:tcPr>
          <w:p>
            <w:pPr>
              <w:jc w:val="right"/>
            </w:pPr>
            <w:r>
              <w:rPr>
                <w:rFonts w:ascii="Calibri" w:hAnsi="Calibri"/>
                <w:sz w:val="16"/>
              </w:rPr>
              <w:t>0,925</w:t>
            </w:r>
          </w:p>
        </w:tc>
        <w:tc>
          <w:tcPr>
            <w:tcW w:type="dxa" w:w="1926"/>
            <w:shd w:val="clear" w:fill="F1F5F9"/>
          </w:tcPr>
          <w:p>
            <w:pPr>
              <w:jc w:val="right"/>
            </w:pPr>
            <w:r>
              <w:rPr>
                <w:rFonts w:ascii="Calibri" w:hAnsi="Calibri"/>
                <w:sz w:val="16"/>
              </w:rPr>
              <w:t>0,862</w:t>
            </w:r>
          </w:p>
        </w:tc>
      </w:tr>
      <w:tr>
        <w:tc>
          <w:tcPr>
            <w:tcW w:type="dxa" w:w="1926"/>
          </w:tcPr>
          <w:p>
            <w:pPr>
              <w:jc w:val="left"/>
            </w:pPr>
            <w:r>
              <w:rPr>
                <w:rFonts w:ascii="Calibri" w:hAnsi="Calibri"/>
                <w:sz w:val="16"/>
              </w:rPr>
              <w:t>Ntié</w:t>
            </w:r>
          </w:p>
        </w:tc>
        <w:tc>
          <w:tcPr>
            <w:tcW w:type="dxa" w:w="1926"/>
          </w:tcPr>
          <w:p>
            <w:pPr>
              <w:jc w:val="left"/>
            </w:pPr>
            <w:r>
              <w:rPr>
                <w:rFonts w:ascii="Calibri" w:hAnsi="Calibri"/>
                <w:sz w:val="16"/>
              </w:rPr>
              <w:t>Champs vivriers</w:t>
            </w:r>
          </w:p>
        </w:tc>
        <w:tc>
          <w:tcPr>
            <w:tcW w:type="dxa" w:w="1926"/>
          </w:tcPr>
          <w:p>
            <w:pPr>
              <w:jc w:val="right"/>
            </w:pPr>
            <w:r>
              <w:rPr>
                <w:rFonts w:ascii="Calibri" w:hAnsi="Calibri"/>
                <w:sz w:val="16"/>
              </w:rPr>
              <w:t>2,557</w:t>
            </w:r>
          </w:p>
        </w:tc>
        <w:tc>
          <w:tcPr>
            <w:tcW w:type="dxa" w:w="1926"/>
          </w:tcPr>
          <w:p>
            <w:pPr>
              <w:jc w:val="right"/>
            </w:pPr>
            <w:r>
              <w:rPr>
                <w:rFonts w:ascii="Calibri" w:hAnsi="Calibri"/>
                <w:sz w:val="16"/>
              </w:rPr>
              <w:t>0,9</w:t>
            </w:r>
          </w:p>
        </w:tc>
        <w:tc>
          <w:tcPr>
            <w:tcW w:type="dxa" w:w="1926"/>
          </w:tcPr>
          <w:p>
            <w:pPr>
              <w:jc w:val="right"/>
            </w:pPr>
            <w:r>
              <w:rPr>
                <w:rFonts w:ascii="Calibri" w:hAnsi="Calibri"/>
                <w:sz w:val="16"/>
              </w:rPr>
              <w:t>0,903</w:t>
            </w:r>
          </w:p>
        </w:tc>
      </w:tr>
      <w:tr>
        <w:tc>
          <w:tcPr>
            <w:tcW w:type="dxa" w:w="1926"/>
            <w:shd w:val="clear" w:fill="F1F5F9"/>
          </w:tcPr>
          <w:p>
            <w:pPr>
              <w:jc w:val="left"/>
            </w:pPr>
            <w:r>
              <w:rPr>
                <w:rFonts w:ascii="Calibri" w:hAnsi="Calibri"/>
                <w:sz w:val="16"/>
              </w:rPr>
              <w:t>Ntié</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3,191</w:t>
            </w:r>
          </w:p>
        </w:tc>
        <w:tc>
          <w:tcPr>
            <w:tcW w:type="dxa" w:w="1926"/>
            <w:shd w:val="clear" w:fill="F1F5F9"/>
          </w:tcPr>
          <w:p>
            <w:pPr>
              <w:jc w:val="right"/>
            </w:pPr>
            <w:r>
              <w:rPr>
                <w:rFonts w:ascii="Calibri" w:hAnsi="Calibri"/>
                <w:sz w:val="16"/>
              </w:rPr>
              <w:t>0,925</w:t>
            </w:r>
          </w:p>
        </w:tc>
        <w:tc>
          <w:tcPr>
            <w:tcW w:type="dxa" w:w="1926"/>
            <w:shd w:val="clear" w:fill="F1F5F9"/>
          </w:tcPr>
          <w:p>
            <w:pPr>
              <w:jc w:val="right"/>
            </w:pPr>
            <w:r>
              <w:rPr>
                <w:rFonts w:ascii="Calibri" w:hAnsi="Calibri"/>
                <w:sz w:val="16"/>
              </w:rPr>
              <w:t>0,773</w:t>
            </w:r>
          </w:p>
        </w:tc>
      </w:tr>
      <w:tr>
        <w:tc>
          <w:tcPr>
            <w:tcW w:type="dxa" w:w="1926"/>
          </w:tcPr>
          <w:p>
            <w:pPr>
              <w:jc w:val="left"/>
            </w:pPr>
            <w:r>
              <w:rPr>
                <w:rFonts w:ascii="Calibri" w:hAnsi="Calibri"/>
                <w:sz w:val="16"/>
              </w:rPr>
              <w:t>Ntié</w:t>
            </w:r>
          </w:p>
        </w:tc>
        <w:tc>
          <w:tcPr>
            <w:tcW w:type="dxa" w:w="1926"/>
          </w:tcPr>
          <w:p>
            <w:pPr>
              <w:jc w:val="left"/>
            </w:pPr>
            <w:r>
              <w:rPr>
                <w:rFonts w:ascii="Calibri" w:hAnsi="Calibri"/>
                <w:sz w:val="16"/>
              </w:rPr>
              <w:t>Extension de cacao</w:t>
            </w:r>
          </w:p>
        </w:tc>
        <w:tc>
          <w:tcPr>
            <w:tcW w:type="dxa" w:w="1926"/>
          </w:tcPr>
          <w:p>
            <w:pPr>
              <w:jc w:val="right"/>
            </w:pPr>
            <w:r>
              <w:rPr>
                <w:rFonts w:ascii="Calibri" w:hAnsi="Calibri"/>
                <w:sz w:val="16"/>
              </w:rPr>
              <w:t>2,775</w:t>
            </w:r>
          </w:p>
        </w:tc>
        <w:tc>
          <w:tcPr>
            <w:tcW w:type="dxa" w:w="1926"/>
          </w:tcPr>
          <w:p>
            <w:pPr>
              <w:jc w:val="right"/>
            </w:pPr>
            <w:r>
              <w:rPr>
                <w:rFonts w:ascii="Calibri" w:hAnsi="Calibri"/>
                <w:sz w:val="16"/>
              </w:rPr>
              <w:t>0,905</w:t>
            </w:r>
          </w:p>
        </w:tc>
        <w:tc>
          <w:tcPr>
            <w:tcW w:type="dxa" w:w="1926"/>
          </w:tcPr>
          <w:p>
            <w:pPr>
              <w:jc w:val="right"/>
            </w:pPr>
            <w:r>
              <w:rPr>
                <w:rFonts w:ascii="Calibri" w:hAnsi="Calibri"/>
                <w:sz w:val="16"/>
              </w:rPr>
              <w:t>0,885</w:t>
            </w:r>
          </w:p>
        </w:tc>
      </w:tr>
      <w:tr>
        <w:tc>
          <w:tcPr>
            <w:tcW w:type="dxa" w:w="1926"/>
            <w:shd w:val="clear" w:fill="F1F5F9"/>
          </w:tcPr>
          <w:p>
            <w:pPr>
              <w:jc w:val="left"/>
            </w:pPr>
            <w:r>
              <w:rPr>
                <w:rFonts w:ascii="Calibri" w:hAnsi="Calibri"/>
                <w:sz w:val="16"/>
              </w:rPr>
              <w:t>Oshea</w:t>
            </w:r>
          </w:p>
        </w:tc>
        <w:tc>
          <w:tcPr>
            <w:tcW w:type="dxa" w:w="1926"/>
            <w:shd w:val="clear" w:fill="F1F5F9"/>
          </w:tcPr>
          <w:p>
            <w:pPr>
              <w:jc w:val="left"/>
            </w:pPr>
            <w:r>
              <w:rPr>
                <w:rFonts w:ascii="Calibri" w:hAnsi="Calibri"/>
                <w:sz w:val="16"/>
              </w:rPr>
              <w:t>Cacaoyère</w:t>
            </w:r>
          </w:p>
        </w:tc>
        <w:tc>
          <w:tcPr>
            <w:tcW w:type="dxa" w:w="1926"/>
            <w:shd w:val="clear" w:fill="F1F5F9"/>
          </w:tcPr>
          <w:p>
            <w:pPr>
              <w:jc w:val="right"/>
            </w:pPr>
            <w:r>
              <w:rPr>
                <w:rFonts w:ascii="Calibri" w:hAnsi="Calibri"/>
                <w:sz w:val="16"/>
              </w:rPr>
              <w:t>2,958</w:t>
            </w:r>
          </w:p>
        </w:tc>
        <w:tc>
          <w:tcPr>
            <w:tcW w:type="dxa" w:w="1926"/>
            <w:shd w:val="clear" w:fill="F1F5F9"/>
          </w:tcPr>
          <w:p>
            <w:pPr>
              <w:jc w:val="right"/>
            </w:pPr>
            <w:r>
              <w:rPr>
                <w:rFonts w:ascii="Calibri" w:hAnsi="Calibri"/>
                <w:sz w:val="16"/>
              </w:rPr>
              <w:t>0,913</w:t>
            </w:r>
          </w:p>
        </w:tc>
        <w:tc>
          <w:tcPr>
            <w:tcW w:type="dxa" w:w="1926"/>
            <w:shd w:val="clear" w:fill="F1F5F9"/>
          </w:tcPr>
          <w:p>
            <w:pPr>
              <w:jc w:val="right"/>
            </w:pPr>
            <w:r>
              <w:rPr>
                <w:rFonts w:ascii="Calibri" w:hAnsi="Calibri"/>
                <w:sz w:val="16"/>
              </w:rPr>
              <w:t>0,777</w:t>
            </w:r>
          </w:p>
        </w:tc>
      </w:tr>
      <w:tr>
        <w:tc>
          <w:tcPr>
            <w:tcW w:type="dxa" w:w="1926"/>
          </w:tcPr>
          <w:p>
            <w:pPr>
              <w:jc w:val="left"/>
            </w:pPr>
            <w:r>
              <w:rPr>
                <w:rFonts w:ascii="Calibri" w:hAnsi="Calibri"/>
                <w:sz w:val="16"/>
              </w:rPr>
              <w:t>Oshea</w:t>
            </w:r>
          </w:p>
        </w:tc>
        <w:tc>
          <w:tcPr>
            <w:tcW w:type="dxa" w:w="1926"/>
          </w:tcPr>
          <w:p>
            <w:pPr>
              <w:jc w:val="left"/>
            </w:pPr>
            <w:r>
              <w:rPr>
                <w:rFonts w:ascii="Calibri" w:hAnsi="Calibri"/>
                <w:sz w:val="16"/>
              </w:rPr>
              <w:t>Champs vivriers</w:t>
            </w:r>
          </w:p>
        </w:tc>
        <w:tc>
          <w:tcPr>
            <w:tcW w:type="dxa" w:w="1926"/>
          </w:tcPr>
          <w:p>
            <w:pPr>
              <w:jc w:val="right"/>
            </w:pPr>
            <w:r>
              <w:rPr>
                <w:rFonts w:ascii="Calibri" w:hAnsi="Calibri"/>
                <w:sz w:val="16"/>
              </w:rPr>
              <w:t>1,658</w:t>
            </w:r>
          </w:p>
        </w:tc>
        <w:tc>
          <w:tcPr>
            <w:tcW w:type="dxa" w:w="1926"/>
          </w:tcPr>
          <w:p>
            <w:pPr>
              <w:jc w:val="right"/>
            </w:pPr>
            <w:r>
              <w:rPr>
                <w:rFonts w:ascii="Calibri" w:hAnsi="Calibri"/>
                <w:sz w:val="16"/>
              </w:rPr>
              <w:t>0,735</w:t>
            </w:r>
          </w:p>
        </w:tc>
        <w:tc>
          <w:tcPr>
            <w:tcW w:type="dxa" w:w="1926"/>
          </w:tcPr>
          <w:p>
            <w:pPr>
              <w:jc w:val="right"/>
            </w:pPr>
            <w:r>
              <w:rPr>
                <w:rFonts w:ascii="Calibri" w:hAnsi="Calibri"/>
                <w:sz w:val="16"/>
              </w:rPr>
              <w:t>0,797</w:t>
            </w:r>
          </w:p>
        </w:tc>
      </w:tr>
      <w:tr>
        <w:tc>
          <w:tcPr>
            <w:tcW w:type="dxa" w:w="1926"/>
            <w:shd w:val="clear" w:fill="F1F5F9"/>
          </w:tcPr>
          <w:p>
            <w:pPr>
              <w:jc w:val="left"/>
            </w:pPr>
            <w:r>
              <w:rPr>
                <w:rFonts w:ascii="Calibri" w:hAnsi="Calibri"/>
                <w:sz w:val="16"/>
              </w:rPr>
              <w:t>Oshea</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2,391</w:t>
            </w:r>
          </w:p>
        </w:tc>
        <w:tc>
          <w:tcPr>
            <w:tcW w:type="dxa" w:w="1926"/>
            <w:shd w:val="clear" w:fill="F1F5F9"/>
          </w:tcPr>
          <w:p>
            <w:pPr>
              <w:jc w:val="right"/>
            </w:pPr>
            <w:r>
              <w:rPr>
                <w:rFonts w:ascii="Calibri" w:hAnsi="Calibri"/>
                <w:sz w:val="16"/>
              </w:rPr>
              <w:t>0,813</w:t>
            </w:r>
          </w:p>
        </w:tc>
        <w:tc>
          <w:tcPr>
            <w:tcW w:type="dxa" w:w="1926"/>
            <w:shd w:val="clear" w:fill="F1F5F9"/>
          </w:tcPr>
          <w:p>
            <w:pPr>
              <w:jc w:val="right"/>
            </w:pPr>
            <w:r>
              <w:rPr>
                <w:rFonts w:ascii="Calibri" w:hAnsi="Calibri"/>
                <w:sz w:val="16"/>
              </w:rPr>
              <w:t>0,673</w:t>
            </w:r>
          </w:p>
        </w:tc>
      </w:tr>
      <w:tr>
        <w:tc>
          <w:tcPr>
            <w:tcW w:type="dxa" w:w="1926"/>
          </w:tcPr>
          <w:p>
            <w:pPr>
              <w:jc w:val="left"/>
            </w:pPr>
            <w:r>
              <w:rPr>
                <w:rFonts w:ascii="Calibri" w:hAnsi="Calibri"/>
                <w:sz w:val="16"/>
              </w:rPr>
              <w:t>Oshea</w:t>
            </w:r>
          </w:p>
        </w:tc>
        <w:tc>
          <w:tcPr>
            <w:tcW w:type="dxa" w:w="1926"/>
          </w:tcPr>
          <w:p>
            <w:pPr>
              <w:jc w:val="left"/>
            </w:pPr>
            <w:r>
              <w:rPr>
                <w:rFonts w:ascii="Calibri" w:hAnsi="Calibri"/>
                <w:sz w:val="16"/>
              </w:rPr>
              <w:t>Extension de cacao</w:t>
            </w:r>
          </w:p>
        </w:tc>
        <w:tc>
          <w:tcPr>
            <w:tcW w:type="dxa" w:w="1926"/>
          </w:tcPr>
          <w:p>
            <w:pPr>
              <w:jc w:val="right"/>
            </w:pPr>
            <w:r>
              <w:rPr>
                <w:rFonts w:ascii="Calibri" w:hAnsi="Calibri"/>
                <w:sz w:val="16"/>
              </w:rPr>
              <w:t>2,976</w:t>
            </w:r>
          </w:p>
        </w:tc>
        <w:tc>
          <w:tcPr>
            <w:tcW w:type="dxa" w:w="1926"/>
          </w:tcPr>
          <w:p>
            <w:pPr>
              <w:jc w:val="right"/>
            </w:pPr>
            <w:r>
              <w:rPr>
                <w:rFonts w:ascii="Calibri" w:hAnsi="Calibri"/>
                <w:sz w:val="16"/>
              </w:rPr>
              <w:t>0,927</w:t>
            </w:r>
          </w:p>
        </w:tc>
        <w:tc>
          <w:tcPr>
            <w:tcW w:type="dxa" w:w="1926"/>
          </w:tcPr>
          <w:p>
            <w:pPr>
              <w:jc w:val="right"/>
            </w:pPr>
            <w:r>
              <w:rPr>
                <w:rFonts w:ascii="Calibri" w:hAnsi="Calibri"/>
                <w:sz w:val="16"/>
              </w:rPr>
              <w:t>0,867</w:t>
            </w:r>
          </w:p>
        </w:tc>
      </w:tr>
      <w:tr>
        <w:tc>
          <w:tcPr>
            <w:tcW w:type="dxa" w:w="1926"/>
            <w:shd w:val="clear" w:fill="F1F5F9"/>
          </w:tcPr>
          <w:p>
            <w:pPr>
              <w:jc w:val="left"/>
            </w:pPr>
            <w:r>
              <w:rPr>
                <w:rFonts w:ascii="Calibri" w:hAnsi="Calibri"/>
                <w:sz w:val="16"/>
              </w:rPr>
              <w:t>Mekoul</w:t>
            </w:r>
          </w:p>
        </w:tc>
        <w:tc>
          <w:tcPr>
            <w:tcW w:type="dxa" w:w="1926"/>
            <w:shd w:val="clear" w:fill="F1F5F9"/>
          </w:tcPr>
          <w:p>
            <w:pPr>
              <w:jc w:val="left"/>
            </w:pPr>
            <w:r>
              <w:rPr>
                <w:rFonts w:ascii="Calibri" w:hAnsi="Calibri"/>
                <w:sz w:val="16"/>
              </w:rPr>
              <w:t>Cacaoyère</w:t>
            </w:r>
          </w:p>
        </w:tc>
        <w:tc>
          <w:tcPr>
            <w:tcW w:type="dxa" w:w="1926"/>
            <w:shd w:val="clear" w:fill="F1F5F9"/>
          </w:tcPr>
          <w:p>
            <w:pPr>
              <w:jc w:val="right"/>
            </w:pPr>
            <w:r>
              <w:rPr>
                <w:rFonts w:ascii="Calibri" w:hAnsi="Calibri"/>
                <w:sz w:val="16"/>
              </w:rPr>
              <w:t>2,472</w:t>
            </w:r>
          </w:p>
        </w:tc>
        <w:tc>
          <w:tcPr>
            <w:tcW w:type="dxa" w:w="1926"/>
            <w:shd w:val="clear" w:fill="F1F5F9"/>
          </w:tcPr>
          <w:p>
            <w:pPr>
              <w:jc w:val="right"/>
            </w:pPr>
            <w:r>
              <w:rPr>
                <w:rFonts w:ascii="Calibri" w:hAnsi="Calibri"/>
                <w:sz w:val="16"/>
              </w:rPr>
              <w:t>0,785</w:t>
            </w:r>
          </w:p>
        </w:tc>
        <w:tc>
          <w:tcPr>
            <w:tcW w:type="dxa" w:w="1926"/>
            <w:shd w:val="clear" w:fill="F1F5F9"/>
          </w:tcPr>
          <w:p>
            <w:pPr>
              <w:jc w:val="right"/>
            </w:pPr>
            <w:r>
              <w:rPr>
                <w:rFonts w:ascii="Calibri" w:hAnsi="Calibri"/>
                <w:sz w:val="16"/>
              </w:rPr>
              <w:t>0,597</w:t>
            </w:r>
          </w:p>
        </w:tc>
      </w:tr>
      <w:tr>
        <w:tc>
          <w:tcPr>
            <w:tcW w:type="dxa" w:w="1926"/>
          </w:tcPr>
          <w:p>
            <w:pPr>
              <w:jc w:val="left"/>
            </w:pPr>
            <w:r>
              <w:rPr>
                <w:rFonts w:ascii="Calibri" w:hAnsi="Calibri"/>
                <w:sz w:val="16"/>
              </w:rPr>
              <w:t>Mekoul</w:t>
            </w:r>
          </w:p>
        </w:tc>
        <w:tc>
          <w:tcPr>
            <w:tcW w:type="dxa" w:w="1926"/>
          </w:tcPr>
          <w:p>
            <w:pPr>
              <w:jc w:val="left"/>
            </w:pPr>
            <w:r>
              <w:rPr>
                <w:rFonts w:ascii="Calibri" w:hAnsi="Calibri"/>
                <w:sz w:val="16"/>
              </w:rPr>
              <w:t>Champs vivriers</w:t>
            </w:r>
          </w:p>
        </w:tc>
        <w:tc>
          <w:tcPr>
            <w:tcW w:type="dxa" w:w="1926"/>
          </w:tcPr>
          <w:p>
            <w:pPr>
              <w:jc w:val="right"/>
            </w:pPr>
            <w:r>
              <w:rPr>
                <w:rFonts w:ascii="Calibri" w:hAnsi="Calibri"/>
                <w:sz w:val="16"/>
              </w:rPr>
              <w:t>3,179</w:t>
            </w:r>
          </w:p>
        </w:tc>
        <w:tc>
          <w:tcPr>
            <w:tcW w:type="dxa" w:w="1926"/>
          </w:tcPr>
          <w:p>
            <w:pPr>
              <w:jc w:val="right"/>
            </w:pPr>
            <w:r>
              <w:rPr>
                <w:rFonts w:ascii="Calibri" w:hAnsi="Calibri"/>
                <w:sz w:val="16"/>
              </w:rPr>
              <w:t>0,933</w:t>
            </w:r>
          </w:p>
        </w:tc>
        <w:tc>
          <w:tcPr>
            <w:tcW w:type="dxa" w:w="1926"/>
          </w:tcPr>
          <w:p>
            <w:pPr>
              <w:jc w:val="right"/>
            </w:pPr>
            <w:r>
              <w:rPr>
                <w:rFonts w:ascii="Calibri" w:hAnsi="Calibri"/>
                <w:sz w:val="16"/>
              </w:rPr>
              <w:t>0,84</w:t>
            </w:r>
          </w:p>
        </w:tc>
      </w:tr>
      <w:tr>
        <w:tc>
          <w:tcPr>
            <w:tcW w:type="dxa" w:w="1926"/>
            <w:shd w:val="clear" w:fill="F1F5F9"/>
          </w:tcPr>
          <w:p>
            <w:pPr>
              <w:jc w:val="left"/>
            </w:pPr>
            <w:r>
              <w:rPr>
                <w:rFonts w:ascii="Calibri" w:hAnsi="Calibri"/>
                <w:sz w:val="16"/>
              </w:rPr>
              <w:t>Mekoul</w:t>
            </w:r>
          </w:p>
        </w:tc>
        <w:tc>
          <w:tcPr>
            <w:tcW w:type="dxa" w:w="1926"/>
            <w:shd w:val="clear" w:fill="F1F5F9"/>
          </w:tcPr>
          <w:p>
            <w:pPr>
              <w:jc w:val="left"/>
            </w:pPr>
            <w:r>
              <w:rPr>
                <w:rFonts w:ascii="Calibri" w:hAnsi="Calibri"/>
                <w:sz w:val="16"/>
              </w:rPr>
              <w:t>Jachère</w:t>
            </w:r>
          </w:p>
        </w:tc>
        <w:tc>
          <w:tcPr>
            <w:tcW w:type="dxa" w:w="1926"/>
            <w:shd w:val="clear" w:fill="F1F5F9"/>
          </w:tcPr>
          <w:p>
            <w:pPr>
              <w:jc w:val="right"/>
            </w:pPr>
            <w:r>
              <w:rPr>
                <w:rFonts w:ascii="Calibri" w:hAnsi="Calibri"/>
                <w:sz w:val="16"/>
              </w:rPr>
              <w:t>2,543</w:t>
            </w:r>
          </w:p>
        </w:tc>
        <w:tc>
          <w:tcPr>
            <w:tcW w:type="dxa" w:w="1926"/>
            <w:shd w:val="clear" w:fill="F1F5F9"/>
          </w:tcPr>
          <w:p>
            <w:pPr>
              <w:jc w:val="right"/>
            </w:pPr>
            <w:r>
              <w:rPr>
                <w:rFonts w:ascii="Calibri" w:hAnsi="Calibri"/>
                <w:sz w:val="16"/>
              </w:rPr>
              <w:t>0,782</w:t>
            </w:r>
          </w:p>
        </w:tc>
        <w:tc>
          <w:tcPr>
            <w:tcW w:type="dxa" w:w="1926"/>
            <w:shd w:val="clear" w:fill="F1F5F9"/>
          </w:tcPr>
          <w:p>
            <w:pPr>
              <w:jc w:val="right"/>
            </w:pPr>
            <w:r>
              <w:rPr>
                <w:rFonts w:ascii="Calibri" w:hAnsi="Calibri"/>
                <w:sz w:val="16"/>
              </w:rPr>
              <w:t>0,644</w:t>
            </w:r>
          </w:p>
        </w:tc>
      </w:tr>
    </w:tbl>
    <w:p>
      <w:pPr>
        <w:keepNext/>
        <w:spacing w:before="160" w:after="40"/>
      </w:pPr>
      <w:r>
        <w:rPr>
          <w:rFonts w:ascii="Calibri" w:hAnsi="Calibri"/>
          <w:b/>
          <w:color w:val="0A1628"/>
          <w:sz w:val="19"/>
        </w:rPr>
        <w:t>Tableau 5. Matrice de similarité de Sørensen entre agroforêts (%)</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Agroforêt</w:t>
            </w:r>
          </w:p>
        </w:tc>
        <w:tc>
          <w:tcPr>
            <w:tcW w:type="dxa" w:w="1926"/>
            <w:shd w:val="clear" w:fill="0A1628"/>
          </w:tcPr>
          <w:p>
            <w:pPr>
              <w:jc w:val="center"/>
            </w:pPr>
            <w:r>
              <w:rPr>
                <w:rFonts w:ascii="Calibri" w:hAnsi="Calibri"/>
                <w:b/>
                <w:color w:val="FFFFFF"/>
                <w:sz w:val="17"/>
              </w:rPr>
              <w:t>Bibassa</w:t>
            </w:r>
          </w:p>
        </w:tc>
        <w:tc>
          <w:tcPr>
            <w:tcW w:type="dxa" w:w="1926"/>
            <w:shd w:val="clear" w:fill="0A1628"/>
          </w:tcPr>
          <w:p>
            <w:pPr>
              <w:jc w:val="center"/>
            </w:pPr>
            <w:r>
              <w:rPr>
                <w:rFonts w:ascii="Calibri" w:hAnsi="Calibri"/>
                <w:b/>
                <w:color w:val="FFFFFF"/>
                <w:sz w:val="17"/>
              </w:rPr>
              <w:t>Ntié</w:t>
            </w:r>
          </w:p>
        </w:tc>
        <w:tc>
          <w:tcPr>
            <w:tcW w:type="dxa" w:w="1926"/>
            <w:shd w:val="clear" w:fill="0A1628"/>
          </w:tcPr>
          <w:p>
            <w:pPr>
              <w:jc w:val="center"/>
            </w:pPr>
            <w:r>
              <w:rPr>
                <w:rFonts w:ascii="Calibri" w:hAnsi="Calibri"/>
                <w:b/>
                <w:color w:val="FFFFFF"/>
                <w:sz w:val="17"/>
              </w:rPr>
              <w:t>Oshea</w:t>
            </w:r>
          </w:p>
        </w:tc>
        <w:tc>
          <w:tcPr>
            <w:tcW w:type="dxa" w:w="1926"/>
            <w:shd w:val="clear" w:fill="0A1628"/>
          </w:tcPr>
          <w:p>
            <w:pPr>
              <w:jc w:val="center"/>
            </w:pPr>
            <w:r>
              <w:rPr>
                <w:rFonts w:ascii="Calibri" w:hAnsi="Calibri"/>
                <w:b/>
                <w:color w:val="FFFFFF"/>
                <w:sz w:val="17"/>
              </w:rPr>
              <w:t>Mekoul</w:t>
            </w:r>
          </w:p>
        </w:tc>
      </w:tr>
      <w:tr>
        <w:tc>
          <w:tcPr>
            <w:tcW w:type="dxa" w:w="1926"/>
          </w:tcPr>
          <w:p>
            <w:pPr>
              <w:jc w:val="left"/>
            </w:pPr>
            <w:r>
              <w:rPr>
                <w:rFonts w:ascii="Calibri" w:hAnsi="Calibri"/>
                <w:sz w:val="16"/>
              </w:rPr>
              <w:t>Bibassa</w:t>
            </w:r>
          </w:p>
        </w:tc>
        <w:tc>
          <w:tcPr>
            <w:tcW w:type="dxa" w:w="1926"/>
          </w:tcPr>
          <w:p>
            <w:pPr>
              <w:jc w:val="right"/>
            </w:pPr>
            <w:r>
              <w:rPr>
                <w:rFonts w:ascii="Calibri" w:hAnsi="Calibri"/>
                <w:sz w:val="16"/>
              </w:rPr>
              <w:t>100,0</w:t>
            </w:r>
          </w:p>
        </w:tc>
        <w:tc>
          <w:tcPr>
            <w:tcW w:type="dxa" w:w="1926"/>
          </w:tcPr>
          <w:p>
            <w:pPr>
              <w:jc w:val="right"/>
            </w:pPr>
            <w:r>
              <w:rPr>
                <w:rFonts w:ascii="Calibri" w:hAnsi="Calibri"/>
                <w:sz w:val="16"/>
              </w:rPr>
              <w:t>27,3</w:t>
            </w:r>
          </w:p>
        </w:tc>
        <w:tc>
          <w:tcPr>
            <w:tcW w:type="dxa" w:w="1926"/>
          </w:tcPr>
          <w:p>
            <w:pPr>
              <w:jc w:val="right"/>
            </w:pPr>
            <w:r>
              <w:rPr>
                <w:rFonts w:ascii="Calibri" w:hAnsi="Calibri"/>
                <w:sz w:val="16"/>
              </w:rPr>
              <w:t>30,0</w:t>
            </w:r>
          </w:p>
        </w:tc>
        <w:tc>
          <w:tcPr>
            <w:tcW w:type="dxa" w:w="1926"/>
          </w:tcPr>
          <w:p>
            <w:pPr>
              <w:jc w:val="right"/>
            </w:pPr>
            <w:r>
              <w:rPr>
                <w:rFonts w:ascii="Calibri" w:hAnsi="Calibri"/>
                <w:sz w:val="16"/>
              </w:rPr>
              <w:t>23,4</w:t>
            </w:r>
          </w:p>
        </w:tc>
      </w:tr>
      <w:tr>
        <w:tc>
          <w:tcPr>
            <w:tcW w:type="dxa" w:w="1926"/>
            <w:shd w:val="clear" w:fill="F1F5F9"/>
          </w:tcPr>
          <w:p>
            <w:pPr>
              <w:jc w:val="left"/>
            </w:pPr>
            <w:r>
              <w:rPr>
                <w:rFonts w:ascii="Calibri" w:hAnsi="Calibri"/>
                <w:sz w:val="16"/>
              </w:rPr>
              <w:t>Ntié</w:t>
            </w:r>
          </w:p>
        </w:tc>
        <w:tc>
          <w:tcPr>
            <w:tcW w:type="dxa" w:w="1926"/>
            <w:shd w:val="clear" w:fill="F1F5F9"/>
          </w:tcPr>
          <w:p>
            <w:pPr>
              <w:jc w:val="right"/>
            </w:pPr>
            <w:r>
              <w:rPr>
                <w:rFonts w:ascii="Calibri" w:hAnsi="Calibri"/>
                <w:sz w:val="16"/>
              </w:rPr>
              <w:t>27,3</w:t>
            </w:r>
          </w:p>
        </w:tc>
        <w:tc>
          <w:tcPr>
            <w:tcW w:type="dxa" w:w="1926"/>
            <w:shd w:val="clear" w:fill="F1F5F9"/>
          </w:tcPr>
          <w:p>
            <w:pPr>
              <w:jc w:val="right"/>
            </w:pPr>
            <w:r>
              <w:rPr>
                <w:rFonts w:ascii="Calibri" w:hAnsi="Calibri"/>
                <w:sz w:val="16"/>
              </w:rPr>
              <w:t>100,0</w:t>
            </w:r>
          </w:p>
        </w:tc>
        <w:tc>
          <w:tcPr>
            <w:tcW w:type="dxa" w:w="1926"/>
            <w:shd w:val="clear" w:fill="F1F5F9"/>
          </w:tcPr>
          <w:p>
            <w:pPr>
              <w:jc w:val="right"/>
            </w:pPr>
            <w:r>
              <w:rPr>
                <w:rFonts w:ascii="Calibri" w:hAnsi="Calibri"/>
                <w:sz w:val="16"/>
              </w:rPr>
              <w:t>40,5</w:t>
            </w:r>
          </w:p>
        </w:tc>
        <w:tc>
          <w:tcPr>
            <w:tcW w:type="dxa" w:w="1926"/>
            <w:shd w:val="clear" w:fill="F1F5F9"/>
          </w:tcPr>
          <w:p>
            <w:pPr>
              <w:jc w:val="right"/>
            </w:pPr>
            <w:r>
              <w:rPr>
                <w:rFonts w:ascii="Calibri" w:hAnsi="Calibri"/>
                <w:sz w:val="16"/>
              </w:rPr>
              <w:t>31,2</w:t>
            </w:r>
          </w:p>
        </w:tc>
      </w:tr>
      <w:tr>
        <w:tc>
          <w:tcPr>
            <w:tcW w:type="dxa" w:w="1926"/>
          </w:tcPr>
          <w:p>
            <w:pPr>
              <w:jc w:val="left"/>
            </w:pPr>
            <w:r>
              <w:rPr>
                <w:rFonts w:ascii="Calibri" w:hAnsi="Calibri"/>
                <w:sz w:val="16"/>
              </w:rPr>
              <w:t>Oshea</w:t>
            </w:r>
          </w:p>
        </w:tc>
        <w:tc>
          <w:tcPr>
            <w:tcW w:type="dxa" w:w="1926"/>
          </w:tcPr>
          <w:p>
            <w:pPr>
              <w:jc w:val="right"/>
            </w:pPr>
            <w:r>
              <w:rPr>
                <w:rFonts w:ascii="Calibri" w:hAnsi="Calibri"/>
                <w:sz w:val="16"/>
              </w:rPr>
              <w:t>30,0</w:t>
            </w:r>
          </w:p>
        </w:tc>
        <w:tc>
          <w:tcPr>
            <w:tcW w:type="dxa" w:w="1926"/>
          </w:tcPr>
          <w:p>
            <w:pPr>
              <w:jc w:val="right"/>
            </w:pPr>
            <w:r>
              <w:rPr>
                <w:rFonts w:ascii="Calibri" w:hAnsi="Calibri"/>
                <w:sz w:val="16"/>
              </w:rPr>
              <w:t>40,5</w:t>
            </w:r>
          </w:p>
        </w:tc>
        <w:tc>
          <w:tcPr>
            <w:tcW w:type="dxa" w:w="1926"/>
          </w:tcPr>
          <w:p>
            <w:pPr>
              <w:jc w:val="right"/>
            </w:pPr>
            <w:r>
              <w:rPr>
                <w:rFonts w:ascii="Calibri" w:hAnsi="Calibri"/>
                <w:sz w:val="16"/>
              </w:rPr>
              <w:t>100,0</w:t>
            </w:r>
          </w:p>
        </w:tc>
        <w:tc>
          <w:tcPr>
            <w:tcW w:type="dxa" w:w="1926"/>
          </w:tcPr>
          <w:p>
            <w:pPr>
              <w:jc w:val="right"/>
            </w:pPr>
            <w:r>
              <w:rPr>
                <w:rFonts w:ascii="Calibri" w:hAnsi="Calibri"/>
                <w:sz w:val="16"/>
              </w:rPr>
              <w:t>40,0</w:t>
            </w:r>
          </w:p>
        </w:tc>
      </w:tr>
      <w:tr>
        <w:tc>
          <w:tcPr>
            <w:tcW w:type="dxa" w:w="1926"/>
            <w:shd w:val="clear" w:fill="F1F5F9"/>
          </w:tcPr>
          <w:p>
            <w:pPr>
              <w:jc w:val="left"/>
            </w:pPr>
            <w:r>
              <w:rPr>
                <w:rFonts w:ascii="Calibri" w:hAnsi="Calibri"/>
                <w:sz w:val="16"/>
              </w:rPr>
              <w:t>Mekoul</w:t>
            </w:r>
          </w:p>
        </w:tc>
        <w:tc>
          <w:tcPr>
            <w:tcW w:type="dxa" w:w="1926"/>
            <w:shd w:val="clear" w:fill="F1F5F9"/>
          </w:tcPr>
          <w:p>
            <w:pPr>
              <w:jc w:val="right"/>
            </w:pPr>
            <w:r>
              <w:rPr>
                <w:rFonts w:ascii="Calibri" w:hAnsi="Calibri"/>
                <w:sz w:val="16"/>
              </w:rPr>
              <w:t>23,4</w:t>
            </w:r>
          </w:p>
        </w:tc>
        <w:tc>
          <w:tcPr>
            <w:tcW w:type="dxa" w:w="1926"/>
            <w:shd w:val="clear" w:fill="F1F5F9"/>
          </w:tcPr>
          <w:p>
            <w:pPr>
              <w:jc w:val="right"/>
            </w:pPr>
            <w:r>
              <w:rPr>
                <w:rFonts w:ascii="Calibri" w:hAnsi="Calibri"/>
                <w:sz w:val="16"/>
              </w:rPr>
              <w:t>31,2</w:t>
            </w:r>
          </w:p>
        </w:tc>
        <w:tc>
          <w:tcPr>
            <w:tcW w:type="dxa" w:w="1926"/>
            <w:shd w:val="clear" w:fill="F1F5F9"/>
          </w:tcPr>
          <w:p>
            <w:pPr>
              <w:jc w:val="right"/>
            </w:pPr>
            <w:r>
              <w:rPr>
                <w:rFonts w:ascii="Calibri" w:hAnsi="Calibri"/>
                <w:sz w:val="16"/>
              </w:rPr>
              <w:t>40,0</w:t>
            </w:r>
          </w:p>
        </w:tc>
        <w:tc>
          <w:tcPr>
            <w:tcW w:type="dxa" w:w="1926"/>
            <w:shd w:val="clear" w:fill="F1F5F9"/>
          </w:tcPr>
          <w:p>
            <w:pPr>
              <w:jc w:val="right"/>
            </w:pPr>
            <w:r>
              <w:rPr>
                <w:rFonts w:ascii="Calibri" w:hAnsi="Calibri"/>
                <w:sz w:val="16"/>
              </w:rPr>
              <w:t>100,0</w:t>
            </w:r>
          </w:p>
        </w:tc>
      </w:tr>
    </w:tbl>
    <w:p>
      <w:pPr>
        <w:jc w:val="center"/>
      </w:pPr>
      <w:r>
        <w:drawing>
          <wp:inline xmlns:a="http://schemas.openxmlformats.org/drawingml/2006/main" xmlns:pic="http://schemas.openxmlformats.org/drawingml/2006/picture">
            <wp:extent cx="3780000" cy="3016166"/>
            <wp:docPr id="6" name="Picture 6"/>
            <wp:cNvGraphicFramePr>
              <a:graphicFrameLocks noChangeAspect="1"/>
            </wp:cNvGraphicFramePr>
            <a:graphic>
              <a:graphicData uri="http://schemas.openxmlformats.org/drawingml/2006/picture">
                <pic:pic>
                  <pic:nvPicPr>
                    <pic:cNvPr id="0" name="f_obj2_sorensen.png"/>
                    <pic:cNvPicPr/>
                  </pic:nvPicPr>
                  <pic:blipFill>
                    <a:blip r:embed="rId14"/>
                    <a:stretch>
                      <a:fillRect/>
                    </a:stretch>
                  </pic:blipFill>
                  <pic:spPr>
                    <a:xfrm>
                      <a:off x="0" y="0"/>
                      <a:ext cx="3780000" cy="3016166"/>
                    </a:xfrm>
                    <a:prstGeom prst="rect"/>
                  </pic:spPr>
                </pic:pic>
              </a:graphicData>
            </a:graphic>
          </wp:inline>
        </w:drawing>
      </w:r>
    </w:p>
    <w:p>
      <w:pPr>
        <w:jc w:val="both"/>
      </w:pPr>
      <w:r>
        <w:rPr>
          <w:sz w:val="22"/>
        </w:rPr>
        <w:t xml:space="preserve">Les similarités floristiques sont faibles à modérées (23,4 % à 40,5 %) : chaque agroforêt possède un cortège d'espèces en grande partie propre, ce qui traduit une forte diversité </w:t>
      </w:r>
      <w:r>
        <w:rPr>
          <w:b/>
          <w:sz w:val="22"/>
        </w:rPr>
        <w:t>bêta</w:t>
      </w:r>
      <w:r>
        <w:rPr>
          <w:sz w:val="22"/>
        </w:rPr>
        <w:t xml:space="preserve"> à l'échelle du paysage. Seize espèces sont néanmoins communes aux quatre sites, dont plusieurs espèces à PFNL (</w:t>
      </w:r>
      <w:r>
        <w:rPr>
          <w:i/>
          <w:sz w:val="22"/>
        </w:rPr>
        <w:t>Irvingia gabonensis</w:t>
      </w:r>
      <w:r>
        <w:rPr>
          <w:sz w:val="22"/>
        </w:rPr>
        <w:t xml:space="preserve">, </w:t>
      </w:r>
      <w:r>
        <w:rPr>
          <w:i/>
          <w:sz w:val="22"/>
        </w:rPr>
        <w:t>Ricinodendron heudelotii</w:t>
      </w:r>
      <w:r>
        <w:rPr>
          <w:sz w:val="22"/>
        </w:rPr>
        <w:t xml:space="preserve">, </w:t>
      </w:r>
      <w:r>
        <w:rPr>
          <w:i/>
          <w:sz w:val="22"/>
        </w:rPr>
        <w:t>Pentaclethra macrophylla</w:t>
      </w:r>
      <w:r>
        <w:rPr>
          <w:sz w:val="22"/>
        </w:rPr>
        <w:t xml:space="preserve">, </w:t>
      </w:r>
      <w:r>
        <w:rPr>
          <w:i/>
          <w:sz w:val="22"/>
        </w:rPr>
        <w:t>Baillonella toxisperma</w:t>
      </w:r>
      <w:r>
        <w:rPr>
          <w:sz w:val="22"/>
        </w:rPr>
        <w:t>), constituant un noyau floristique partagé délibérément maintenu par les ménages.</w:t>
      </w:r>
    </w:p>
    <w:p>
      <w:pPr>
        <w:keepNext/>
        <w:spacing w:before="180" w:after="80"/>
      </w:pPr>
      <w:r>
        <w:rPr>
          <w:rFonts w:ascii="Calibri" w:hAnsi="Calibri"/>
          <w:b/>
          <w:color w:val="0A8A75"/>
          <w:sz w:val="24"/>
        </w:rPr>
        <w:t>Structure des peuplements ligneux</w:t>
      </w:r>
    </w:p>
    <w:p>
      <w:pPr>
        <w:keepNext/>
        <w:spacing w:before="160" w:after="40"/>
      </w:pPr>
      <w:r>
        <w:rPr>
          <w:rFonts w:ascii="Calibri" w:hAnsi="Calibri"/>
          <w:b/>
          <w:color w:val="0A1628"/>
          <w:sz w:val="19"/>
        </w:rPr>
        <w:t>Tableau 6. Densité et surface terrière par agroforêt</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fill="0A1628"/>
          </w:tcPr>
          <w:p>
            <w:pPr>
              <w:jc w:val="center"/>
            </w:pPr>
            <w:r>
              <w:rPr>
                <w:rFonts w:ascii="Calibri" w:hAnsi="Calibri"/>
                <w:b/>
                <w:color w:val="FFFFFF"/>
                <w:sz w:val="17"/>
              </w:rPr>
              <w:t>Agroforêt</w:t>
            </w:r>
          </w:p>
        </w:tc>
        <w:tc>
          <w:tcPr>
            <w:tcW w:type="dxa" w:w="2408"/>
            <w:shd w:val="clear" w:fill="0A1628"/>
          </w:tcPr>
          <w:p>
            <w:pPr>
              <w:jc w:val="center"/>
            </w:pPr>
            <w:r>
              <w:rPr>
                <w:rFonts w:ascii="Calibri" w:hAnsi="Calibri"/>
                <w:b/>
                <w:color w:val="FFFFFF"/>
                <w:sz w:val="17"/>
              </w:rPr>
              <w:t>Superficie (ha)</w:t>
            </w:r>
          </w:p>
        </w:tc>
        <w:tc>
          <w:tcPr>
            <w:tcW w:type="dxa" w:w="2408"/>
            <w:shd w:val="clear" w:fill="0A1628"/>
          </w:tcPr>
          <w:p>
            <w:pPr>
              <w:jc w:val="center"/>
            </w:pPr>
            <w:r>
              <w:rPr>
                <w:rFonts w:ascii="Calibri" w:hAnsi="Calibri"/>
                <w:b/>
                <w:color w:val="FFFFFF"/>
                <w:sz w:val="17"/>
              </w:rPr>
              <w:t>Densité (ind./ha)</w:t>
            </w:r>
          </w:p>
        </w:tc>
        <w:tc>
          <w:tcPr>
            <w:tcW w:type="dxa" w:w="2408"/>
            <w:shd w:val="clear" w:fill="0A1628"/>
          </w:tcPr>
          <w:p>
            <w:pPr>
              <w:jc w:val="center"/>
            </w:pPr>
            <w:r>
              <w:rPr>
                <w:rFonts w:ascii="Calibri" w:hAnsi="Calibri"/>
                <w:b/>
                <w:color w:val="FFFFFF"/>
                <w:sz w:val="17"/>
              </w:rPr>
              <w:t>Surface terrière (m²/ha)</w:t>
            </w:r>
          </w:p>
        </w:tc>
      </w:tr>
      <w:tr>
        <w:tc>
          <w:tcPr>
            <w:tcW w:type="dxa" w:w="2408"/>
          </w:tcPr>
          <w:p>
            <w:pPr>
              <w:jc w:val="left"/>
            </w:pPr>
            <w:r>
              <w:rPr>
                <w:rFonts w:ascii="Calibri" w:hAnsi="Calibri"/>
                <w:sz w:val="16"/>
              </w:rPr>
              <w:t>Bibassa</w:t>
            </w:r>
          </w:p>
        </w:tc>
        <w:tc>
          <w:tcPr>
            <w:tcW w:type="dxa" w:w="2408"/>
          </w:tcPr>
          <w:p>
            <w:pPr>
              <w:jc w:val="right"/>
            </w:pPr>
            <w:r>
              <w:rPr>
                <w:rFonts w:ascii="Calibri" w:hAnsi="Calibri"/>
                <w:sz w:val="16"/>
              </w:rPr>
              <w:t>3,98</w:t>
            </w:r>
          </w:p>
        </w:tc>
        <w:tc>
          <w:tcPr>
            <w:tcW w:type="dxa" w:w="2408"/>
          </w:tcPr>
          <w:p>
            <w:pPr>
              <w:jc w:val="right"/>
            </w:pPr>
            <w:r>
              <w:rPr>
                <w:rFonts w:ascii="Calibri" w:hAnsi="Calibri"/>
                <w:sz w:val="16"/>
              </w:rPr>
              <w:t>35,4</w:t>
            </w:r>
          </w:p>
        </w:tc>
        <w:tc>
          <w:tcPr>
            <w:tcW w:type="dxa" w:w="2408"/>
          </w:tcPr>
          <w:p>
            <w:pPr>
              <w:jc w:val="right"/>
            </w:pPr>
            <w:r>
              <w:rPr>
                <w:rFonts w:ascii="Calibri" w:hAnsi="Calibri"/>
                <w:sz w:val="16"/>
              </w:rPr>
              <w:t>5,05</w:t>
            </w:r>
          </w:p>
        </w:tc>
      </w:tr>
      <w:tr>
        <w:tc>
          <w:tcPr>
            <w:tcW w:type="dxa" w:w="2408"/>
            <w:shd w:val="clear" w:fill="F1F5F9"/>
          </w:tcPr>
          <w:p>
            <w:pPr>
              <w:jc w:val="left"/>
            </w:pPr>
            <w:r>
              <w:rPr>
                <w:rFonts w:ascii="Calibri" w:hAnsi="Calibri"/>
                <w:sz w:val="16"/>
              </w:rPr>
              <w:t>Ntié</w:t>
            </w:r>
          </w:p>
        </w:tc>
        <w:tc>
          <w:tcPr>
            <w:tcW w:type="dxa" w:w="2408"/>
            <w:shd w:val="clear" w:fill="F1F5F9"/>
          </w:tcPr>
          <w:p>
            <w:pPr>
              <w:jc w:val="right"/>
            </w:pPr>
            <w:r>
              <w:rPr>
                <w:rFonts w:ascii="Calibri" w:hAnsi="Calibri"/>
                <w:sz w:val="16"/>
              </w:rPr>
              <w:t>7,25</w:t>
            </w:r>
          </w:p>
        </w:tc>
        <w:tc>
          <w:tcPr>
            <w:tcW w:type="dxa" w:w="2408"/>
            <w:shd w:val="clear" w:fill="F1F5F9"/>
          </w:tcPr>
          <w:p>
            <w:pPr>
              <w:jc w:val="right"/>
            </w:pPr>
            <w:r>
              <w:rPr>
                <w:rFonts w:ascii="Calibri" w:hAnsi="Calibri"/>
                <w:sz w:val="16"/>
              </w:rPr>
              <w:t>68,3</w:t>
            </w:r>
          </w:p>
        </w:tc>
        <w:tc>
          <w:tcPr>
            <w:tcW w:type="dxa" w:w="2408"/>
            <w:shd w:val="clear" w:fill="F1F5F9"/>
          </w:tcPr>
          <w:p>
            <w:pPr>
              <w:jc w:val="right"/>
            </w:pPr>
            <w:r>
              <w:rPr>
                <w:rFonts w:ascii="Calibri" w:hAnsi="Calibri"/>
                <w:sz w:val="16"/>
              </w:rPr>
              <w:t>16,99</w:t>
            </w:r>
          </w:p>
        </w:tc>
      </w:tr>
      <w:tr>
        <w:tc>
          <w:tcPr>
            <w:tcW w:type="dxa" w:w="2408"/>
          </w:tcPr>
          <w:p>
            <w:pPr>
              <w:jc w:val="left"/>
            </w:pPr>
            <w:r>
              <w:rPr>
                <w:rFonts w:ascii="Calibri" w:hAnsi="Calibri"/>
                <w:sz w:val="16"/>
              </w:rPr>
              <w:t>Oshea</w:t>
            </w:r>
          </w:p>
        </w:tc>
        <w:tc>
          <w:tcPr>
            <w:tcW w:type="dxa" w:w="2408"/>
          </w:tcPr>
          <w:p>
            <w:pPr>
              <w:jc w:val="right"/>
            </w:pPr>
            <w:r>
              <w:rPr>
                <w:rFonts w:ascii="Calibri" w:hAnsi="Calibri"/>
                <w:sz w:val="16"/>
              </w:rPr>
              <w:t>18,36</w:t>
            </w:r>
          </w:p>
        </w:tc>
        <w:tc>
          <w:tcPr>
            <w:tcW w:type="dxa" w:w="2408"/>
          </w:tcPr>
          <w:p>
            <w:pPr>
              <w:jc w:val="right"/>
            </w:pPr>
            <w:r>
              <w:rPr>
                <w:rFonts w:ascii="Calibri" w:hAnsi="Calibri"/>
                <w:sz w:val="16"/>
              </w:rPr>
              <w:t>34,0</w:t>
            </w:r>
          </w:p>
        </w:tc>
        <w:tc>
          <w:tcPr>
            <w:tcW w:type="dxa" w:w="2408"/>
          </w:tcPr>
          <w:p>
            <w:pPr>
              <w:jc w:val="right"/>
            </w:pPr>
            <w:r>
              <w:rPr>
                <w:rFonts w:ascii="Calibri" w:hAnsi="Calibri"/>
                <w:sz w:val="16"/>
              </w:rPr>
              <w:t>8,35</w:t>
            </w:r>
          </w:p>
        </w:tc>
      </w:tr>
      <w:tr>
        <w:tc>
          <w:tcPr>
            <w:tcW w:type="dxa" w:w="2408"/>
            <w:shd w:val="clear" w:fill="F1F5F9"/>
          </w:tcPr>
          <w:p>
            <w:pPr>
              <w:jc w:val="left"/>
            </w:pPr>
            <w:r>
              <w:rPr>
                <w:rFonts w:ascii="Calibri" w:hAnsi="Calibri"/>
                <w:sz w:val="16"/>
              </w:rPr>
              <w:t>Mekoul</w:t>
            </w:r>
          </w:p>
        </w:tc>
        <w:tc>
          <w:tcPr>
            <w:tcW w:type="dxa" w:w="2408"/>
            <w:shd w:val="clear" w:fill="F1F5F9"/>
          </w:tcPr>
          <w:p>
            <w:pPr>
              <w:jc w:val="right"/>
            </w:pPr>
            <w:r>
              <w:rPr>
                <w:rFonts w:ascii="Calibri" w:hAnsi="Calibri"/>
                <w:sz w:val="16"/>
              </w:rPr>
              <w:t>36,90</w:t>
            </w:r>
          </w:p>
        </w:tc>
        <w:tc>
          <w:tcPr>
            <w:tcW w:type="dxa" w:w="2408"/>
            <w:shd w:val="clear" w:fill="F1F5F9"/>
          </w:tcPr>
          <w:p>
            <w:pPr>
              <w:jc w:val="right"/>
            </w:pPr>
            <w:r>
              <w:rPr>
                <w:rFonts w:ascii="Calibri" w:hAnsi="Calibri"/>
                <w:sz w:val="16"/>
              </w:rPr>
              <w:t>30,3</w:t>
            </w:r>
          </w:p>
        </w:tc>
        <w:tc>
          <w:tcPr>
            <w:tcW w:type="dxa" w:w="2408"/>
            <w:shd w:val="clear" w:fill="F1F5F9"/>
          </w:tcPr>
          <w:p>
            <w:pPr>
              <w:jc w:val="right"/>
            </w:pPr>
            <w:r>
              <w:rPr>
                <w:rFonts w:ascii="Calibri" w:hAnsi="Calibri"/>
                <w:sz w:val="16"/>
              </w:rPr>
              <w:t>7,46</w:t>
            </w:r>
          </w:p>
        </w:tc>
      </w:tr>
    </w:tbl>
    <w:p>
      <w:pPr>
        <w:jc w:val="center"/>
      </w:pPr>
      <w:r>
        <w:drawing>
          <wp:inline xmlns:a="http://schemas.openxmlformats.org/drawingml/2006/main" xmlns:pic="http://schemas.openxmlformats.org/drawingml/2006/picture">
            <wp:extent cx="5580000" cy="2519578"/>
            <wp:docPr id="7" name="Picture 7"/>
            <wp:cNvGraphicFramePr>
              <a:graphicFrameLocks noChangeAspect="1"/>
            </wp:cNvGraphicFramePr>
            <a:graphic>
              <a:graphicData uri="http://schemas.openxmlformats.org/drawingml/2006/picture">
                <pic:pic>
                  <pic:nvPicPr>
                    <pic:cNvPr id="0" name="f_obj2_structure.png"/>
                    <pic:cNvPicPr/>
                  </pic:nvPicPr>
                  <pic:blipFill>
                    <a:blip r:embed="rId15"/>
                    <a:stretch>
                      <a:fillRect/>
                    </a:stretch>
                  </pic:blipFill>
                  <pic:spPr>
                    <a:xfrm>
                      <a:off x="0" y="0"/>
                      <a:ext cx="5580000" cy="2519578"/>
                    </a:xfrm>
                    <a:prstGeom prst="rect"/>
                  </pic:spPr>
                </pic:pic>
              </a:graphicData>
            </a:graphic>
          </wp:inline>
        </w:drawing>
      </w:r>
    </w:p>
    <w:p>
      <w:pPr>
        <w:jc w:val="center"/>
      </w:pPr>
      <w:r>
        <w:drawing>
          <wp:inline xmlns:a="http://schemas.openxmlformats.org/drawingml/2006/main" xmlns:pic="http://schemas.openxmlformats.org/drawingml/2006/picture">
            <wp:extent cx="5580000" cy="3669923"/>
            <wp:docPr id="8" name="Picture 8"/>
            <wp:cNvGraphicFramePr>
              <a:graphicFrameLocks noChangeAspect="1"/>
            </wp:cNvGraphicFramePr>
            <a:graphic>
              <a:graphicData uri="http://schemas.openxmlformats.org/drawingml/2006/picture">
                <pic:pic>
                  <pic:nvPicPr>
                    <pic:cNvPr id="0" name="f_obj2_diam.png"/>
                    <pic:cNvPicPr/>
                  </pic:nvPicPr>
                  <pic:blipFill>
                    <a:blip r:embed="rId16"/>
                    <a:stretch>
                      <a:fillRect/>
                    </a:stretch>
                  </pic:blipFill>
                  <pic:spPr>
                    <a:xfrm>
                      <a:off x="0" y="0"/>
                      <a:ext cx="5580000" cy="3669923"/>
                    </a:xfrm>
                    <a:prstGeom prst="rect"/>
                  </pic:spPr>
                </pic:pic>
              </a:graphicData>
            </a:graphic>
          </wp:inline>
        </w:drawing>
      </w:r>
    </w:p>
    <w:p>
      <w:pPr>
        <w:spacing w:before="40"/>
        <w:jc w:val="center"/>
      </w:pPr>
      <w:r>
        <w:rPr>
          <w:rFonts w:ascii="Calibri" w:hAnsi="Calibri"/>
          <w:i/>
          <w:color w:val="64748B"/>
          <w:sz w:val="18"/>
        </w:rPr>
        <w:t>Figure 5. Distribution des individus par classe de diamètre (structure en « J inversé »).</w:t>
      </w:r>
    </w:p>
    <w:p>
      <w:pPr>
        <w:jc w:val="both"/>
      </w:pPr>
      <w:r>
        <w:rPr>
          <w:sz w:val="22"/>
        </w:rPr>
        <w:t xml:space="preserve">La densité globale varie de </w:t>
      </w:r>
      <w:r>
        <w:rPr>
          <w:b/>
          <w:sz w:val="22"/>
        </w:rPr>
        <w:t>30,3 ind./ha</w:t>
      </w:r>
      <w:r>
        <w:rPr>
          <w:sz w:val="22"/>
        </w:rPr>
        <w:t xml:space="preserve"> (Mekoul) à </w:t>
      </w:r>
      <w:r>
        <w:rPr>
          <w:b/>
          <w:sz w:val="22"/>
        </w:rPr>
        <w:t>68,3 ind./ha</w:t>
      </w:r>
      <w:r>
        <w:rPr>
          <w:sz w:val="22"/>
        </w:rPr>
        <w:t xml:space="preserve"> (Ntié). La surface terrière ne suit pas la hiérarchie des superficies : Ntié, de taille intermédiaire, présente la valeur la plus élevée (16,99 m²/ha), portée par des individus de très grand diamètre dans ses jachères et extensions de cacao. La distribution par classe de diamètre adopte partout une forme en </w:t>
      </w:r>
      <w:r>
        <w:rPr>
          <w:b/>
          <w:sz w:val="22"/>
        </w:rPr>
        <w:t>« J inversé »</w:t>
      </w:r>
      <w:r>
        <w:rPr>
          <w:sz w:val="22"/>
        </w:rPr>
        <w:t xml:space="preserve">, la classe [10 ; 20[ cm étant la plus fournie (24 % à 30 % des individus), signature d'un peuplement en régénération active. La persistance d'arbres de très gros diamètre (classe ≥ 100 cm), notamment </w:t>
      </w:r>
      <w:r>
        <w:rPr>
          <w:i/>
          <w:sz w:val="22"/>
        </w:rPr>
        <w:t>Baillonella toxisperma</w:t>
      </w:r>
      <w:r>
        <w:rPr>
          <w:sz w:val="22"/>
        </w:rPr>
        <w:t xml:space="preserve"> (moabi, DHP jusqu'à 287 cm), témoigne d'une continuité de gestion transmise sur plusieurs générations.</w:t>
      </w:r>
    </w:p>
    <w:p>
      <w:pPr>
        <w:keepNext/>
        <w:spacing w:before="180" w:after="80"/>
      </w:pPr>
      <w:r>
        <w:rPr>
          <w:rFonts w:ascii="Calibri" w:hAnsi="Calibri"/>
          <w:b/>
          <w:color w:val="0A8A75"/>
          <w:sz w:val="24"/>
        </w:rPr>
        <w:t>Discussion</w:t>
      </w:r>
    </w:p>
    <w:p>
      <w:pPr>
        <w:jc w:val="both"/>
      </w:pPr>
      <w:r>
        <w:rPr>
          <w:sz w:val="22"/>
        </w:rPr>
        <w:t>Les indices de Shannon obtenus (2,84 à 3,58) sont nettement supérieurs à ceux des agroforêts cacaoyères sur précédent savanicole du Centre-Cameroun (H' ≈ 1,6 ; Fomekong et al., 2023) et comparables aux valeurs des agroforêts cacaoyères multistrates de la zone forestière humide du Centre et du Sud (Sonwa et al., 2007 ; Zapfack et al., 2016). Ils restent inférieurs à ceux des forêts naturelles peu perturbées de la périphérie du Dja (Gonmadje et al., 2011), positionnant les agroforêts de Lomié dans un registre intermédiaire entre forêt secondaire avancée et forêt naturelle. Cette position illustre leur capacité à conserver une diversité ligneuse élevée tout en maintenant une fonction productive, et conforte leur rôle d'espace tampon entre l'économie agricole et la conservation de la biodiversité dans le paysage TRIDOM.</w:t>
      </w:r>
    </w:p>
    <w:p>
      <w:pPr>
        <w:jc w:val="both"/>
      </w:pPr>
      <w:r>
        <w:rPr>
          <w:sz w:val="22"/>
        </w:rPr>
        <w:t xml:space="preserve">La dominance de </w:t>
      </w:r>
      <w:r>
        <w:rPr>
          <w:i/>
          <w:sz w:val="22"/>
        </w:rPr>
        <w:t>Musanga cecropioides</w:t>
      </w:r>
      <w:r>
        <w:rPr>
          <w:sz w:val="22"/>
        </w:rPr>
        <w:t>, pionnière héliophile des recrus et jachères, signale une dynamique de régénération post-perturbation, particulièrement à Mekoul. La conservation délibérée d'espèces à haute valeur d'usage (moabi, djansang, mango, mbalaka) au sein des quatre agroforêts confirme une logique paysanne d'investissement à long terme, largement documentée dans les agroforêts complexes d'Afrique centrale (Saj et al., 2017). Enfin, la présence d'individus géants dans ces agroforêts leur confère une fonction écologique de connectivité pour la faune forestière en périphérie de la Réserve de Biosphère du Dja, argument fort en faveur de la reconnaissance et de la conservation de ces systèmes.</w:t>
      </w:r>
    </w:p>
    <w:p>
      <w:r>
        <w:br w:type="page"/>
      </w:r>
    </w:p>
    <w:p>
      <w:pPr>
        <w:keepNext/>
        <w:spacing w:before="240" w:after="120"/>
      </w:pPr>
      <w:r>
        <w:rPr>
          <w:rFonts w:ascii="Calibri" w:hAnsi="Calibri"/>
          <w:b/>
          <w:color w:val="0A1628"/>
          <w:sz w:val="28"/>
        </w:rPr>
        <w:t>3.3 Résultat 3 — PFNL valorisés et contribution aux moyens de subsistance</w:t>
      </w:r>
    </w:p>
    <w:p>
      <w:pPr>
        <w:keepNext/>
        <w:spacing w:before="180" w:after="80"/>
      </w:pPr>
      <w:r>
        <w:rPr>
          <w:rFonts w:ascii="Calibri" w:hAnsi="Calibri"/>
          <w:b/>
          <w:color w:val="0A8A75"/>
          <w:sz w:val="24"/>
        </w:rPr>
        <w:t>3.3.1 Caractérisation socio-économique des ménages</w:t>
      </w:r>
    </w:p>
    <w:p>
      <w:pPr>
        <w:jc w:val="both"/>
      </w:pPr>
      <w:r>
        <w:rPr>
          <w:sz w:val="22"/>
        </w:rPr>
        <w:t>Les 50 ménages enquêtés se répartissent entre quatre organisations paysannes : le GIC Lumière Plus (20 membres, 40,0 %), le GIC Mpoulah Mepeh (17, 34,0 %), le GIC PLACKO (7, 14,0 %) et l'Association Femmes Dynamiques (6, 12,0 %).</w:t>
      </w:r>
    </w:p>
    <w:p>
      <w:pPr>
        <w:jc w:val="both"/>
      </w:pPr>
      <w:r>
        <w:rPr>
          <w:sz w:val="22"/>
        </w:rPr>
        <w:t xml:space="preserve">L'échantillon est dominé par les </w:t>
      </w:r>
      <w:r>
        <w:rPr>
          <w:b/>
          <w:sz w:val="22"/>
        </w:rPr>
        <w:t>femmes</w:t>
      </w:r>
      <w:r>
        <w:rPr>
          <w:sz w:val="22"/>
        </w:rPr>
        <w:t xml:space="preserve"> (72,0 % contre 28,0 % d'hommes), reflétant le rôle central des femmes dans la collecte des PFNL. Les tranches d'âge [35 ; 50[ et [50 ; 65[ regroupent 78,0 % des enquêtés : la collecte est exercée majoritairement par des adultes d'âge mûr. Le groupe ethnique </w:t>
      </w:r>
      <w:r>
        <w:rPr>
          <w:b/>
          <w:sz w:val="22"/>
        </w:rPr>
        <w:t>Zimé</w:t>
      </w:r>
      <w:r>
        <w:rPr>
          <w:sz w:val="22"/>
        </w:rPr>
        <w:t xml:space="preserve"> est majoritaire (76,0 %), aux côtés d'une minorité </w:t>
      </w:r>
      <w:r>
        <w:rPr>
          <w:b/>
          <w:sz w:val="22"/>
        </w:rPr>
        <w:t>Baka</w:t>
      </w:r>
      <w:r>
        <w:rPr>
          <w:sz w:val="22"/>
        </w:rPr>
        <w:t xml:space="preserve"> (10,0 %). Sur le plan matrimonial, 58 % sont mariés ; les configurations monoparentales (veuves 18 %, célibataires 16 %, divorcés 8 %) concernent une fraction non négligeable des ménages, révélant une certaine vulnérabilité socio-économique.</w:t>
      </w:r>
    </w:p>
    <w:p>
      <w:pPr>
        <w:jc w:val="center"/>
      </w:pPr>
      <w:r>
        <w:drawing>
          <wp:inline xmlns:a="http://schemas.openxmlformats.org/drawingml/2006/main" xmlns:pic="http://schemas.openxmlformats.org/drawingml/2006/picture">
            <wp:extent cx="5580000" cy="4273043"/>
            <wp:docPr id="9" name="Picture 9"/>
            <wp:cNvGraphicFramePr>
              <a:graphicFrameLocks noChangeAspect="1"/>
            </wp:cNvGraphicFramePr>
            <a:graphic>
              <a:graphicData uri="http://schemas.openxmlformats.org/drawingml/2006/picture">
                <pic:pic>
                  <pic:nvPicPr>
                    <pic:cNvPr id="0" name="fig10_profil.png"/>
                    <pic:cNvPicPr/>
                  </pic:nvPicPr>
                  <pic:blipFill>
                    <a:blip r:embed="rId17"/>
                    <a:stretch>
                      <a:fillRect/>
                    </a:stretch>
                  </pic:blipFill>
                  <pic:spPr>
                    <a:xfrm>
                      <a:off x="0" y="0"/>
                      <a:ext cx="5580000" cy="4273043"/>
                    </a:xfrm>
                    <a:prstGeom prst="rect"/>
                  </pic:spPr>
                </pic:pic>
              </a:graphicData>
            </a:graphic>
          </wp:inline>
        </w:drawing>
      </w:r>
    </w:p>
    <w:p>
      <w:pPr>
        <w:spacing w:before="40"/>
        <w:jc w:val="center"/>
      </w:pPr>
      <w:r>
        <w:rPr>
          <w:rFonts w:ascii="Calibri" w:hAnsi="Calibri"/>
          <w:i/>
          <w:color w:val="64748B"/>
          <w:sz w:val="18"/>
        </w:rPr>
        <w:t>Figure 6. Profil socio-démographique des enquêtés.</w:t>
      </w:r>
    </w:p>
    <w:p>
      <w:pPr>
        <w:keepNext/>
        <w:spacing w:before="180" w:after="80"/>
      </w:pPr>
      <w:r>
        <w:rPr>
          <w:rFonts w:ascii="Calibri" w:hAnsi="Calibri"/>
          <w:b/>
          <w:color w:val="0A8A75"/>
          <w:sz w:val="24"/>
        </w:rPr>
        <w:t>3.3.2 PFNL collectés et fréquence de citation</w:t>
      </w:r>
    </w:p>
    <w:p>
      <w:pPr>
        <w:keepNext/>
        <w:spacing w:before="160" w:after="40"/>
      </w:pPr>
      <w:r>
        <w:rPr>
          <w:rFonts w:ascii="Calibri" w:hAnsi="Calibri"/>
          <w:b/>
          <w:color w:val="0A1628"/>
          <w:sz w:val="19"/>
        </w:rPr>
        <w:t>Tableau 7. Fréquence de citation des PFNL collectés par les ménages (N = 50)</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fill="0A1628"/>
          </w:tcPr>
          <w:p>
            <w:pPr>
              <w:jc w:val="center"/>
            </w:pPr>
            <w:r>
              <w:rPr>
                <w:rFonts w:ascii="Calibri" w:hAnsi="Calibri"/>
                <w:b/>
                <w:color w:val="FFFFFF"/>
                <w:sz w:val="17"/>
              </w:rPr>
              <w:t>Rang</w:t>
            </w:r>
          </w:p>
        </w:tc>
        <w:tc>
          <w:tcPr>
            <w:tcW w:type="dxa" w:w="1605"/>
            <w:shd w:val="clear" w:fill="0A1628"/>
          </w:tcPr>
          <w:p>
            <w:pPr>
              <w:jc w:val="center"/>
            </w:pPr>
            <w:r>
              <w:rPr>
                <w:rFonts w:ascii="Calibri" w:hAnsi="Calibri"/>
                <w:b/>
                <w:color w:val="FFFFFF"/>
                <w:sz w:val="17"/>
              </w:rPr>
              <w:t>PFNL</w:t>
            </w:r>
          </w:p>
        </w:tc>
        <w:tc>
          <w:tcPr>
            <w:tcW w:type="dxa" w:w="1605"/>
            <w:shd w:val="clear" w:fill="0A1628"/>
          </w:tcPr>
          <w:p>
            <w:pPr>
              <w:jc w:val="center"/>
            </w:pPr>
            <w:r>
              <w:rPr>
                <w:rFonts w:ascii="Calibri" w:hAnsi="Calibri"/>
                <w:b/>
                <w:color w:val="FFFFFF"/>
                <w:sz w:val="17"/>
              </w:rPr>
              <w:t>Nom scientifique</w:t>
            </w:r>
          </w:p>
        </w:tc>
        <w:tc>
          <w:tcPr>
            <w:tcW w:type="dxa" w:w="1605"/>
            <w:shd w:val="clear" w:fill="0A1628"/>
          </w:tcPr>
          <w:p>
            <w:pPr>
              <w:jc w:val="center"/>
            </w:pPr>
            <w:r>
              <w:rPr>
                <w:rFonts w:ascii="Calibri" w:hAnsi="Calibri"/>
                <w:b/>
                <w:color w:val="FFFFFF"/>
                <w:sz w:val="17"/>
              </w:rPr>
              <w:t>n</w:t>
            </w:r>
          </w:p>
        </w:tc>
        <w:tc>
          <w:tcPr>
            <w:tcW w:type="dxa" w:w="1605"/>
            <w:shd w:val="clear" w:fill="0A1628"/>
          </w:tcPr>
          <w:p>
            <w:pPr>
              <w:jc w:val="center"/>
            </w:pPr>
            <w:r>
              <w:rPr>
                <w:rFonts w:ascii="Calibri" w:hAnsi="Calibri"/>
                <w:b/>
                <w:color w:val="FFFFFF"/>
                <w:sz w:val="17"/>
              </w:rPr>
              <w:t>fc (%)</w:t>
            </w:r>
          </w:p>
        </w:tc>
        <w:tc>
          <w:tcPr>
            <w:tcW w:type="dxa" w:w="1605"/>
            <w:shd w:val="clear" w:fill="0A1628"/>
          </w:tcPr>
          <w:p>
            <w:pPr>
              <w:jc w:val="center"/>
            </w:pPr>
            <w:r>
              <w:rPr>
                <w:rFonts w:ascii="Calibri" w:hAnsi="Calibri"/>
                <w:b/>
                <w:color w:val="FFFFFF"/>
                <w:sz w:val="17"/>
              </w:rPr>
              <w:t>IC 95 %</w:t>
            </w:r>
          </w:p>
        </w:tc>
      </w:tr>
      <w:tr>
        <w:tc>
          <w:tcPr>
            <w:tcW w:type="dxa" w:w="1605"/>
            <w:shd w:val="clear" w:fill="FDECD9"/>
          </w:tcPr>
          <w:p>
            <w:pPr>
              <w:jc w:val="right"/>
            </w:pPr>
            <w:r>
              <w:rPr>
                <w:rFonts w:ascii="Calibri" w:hAnsi="Calibri"/>
                <w:sz w:val="16"/>
              </w:rPr>
              <w:t>1</w:t>
            </w:r>
          </w:p>
        </w:tc>
        <w:tc>
          <w:tcPr>
            <w:tcW w:type="dxa" w:w="1605"/>
            <w:shd w:val="clear" w:fill="FDECD9"/>
          </w:tcPr>
          <w:p>
            <w:pPr>
              <w:jc w:val="left"/>
            </w:pPr>
            <w:r>
              <w:rPr>
                <w:rFonts w:ascii="Calibri" w:hAnsi="Calibri"/>
                <w:sz w:val="16"/>
              </w:rPr>
              <w:t>Mango</w:t>
            </w:r>
          </w:p>
        </w:tc>
        <w:tc>
          <w:tcPr>
            <w:tcW w:type="dxa" w:w="1605"/>
            <w:shd w:val="clear" w:fill="FDECD9"/>
          </w:tcPr>
          <w:p>
            <w:pPr>
              <w:jc w:val="left"/>
            </w:pPr>
            <w:r>
              <w:rPr>
                <w:rFonts w:ascii="Calibri" w:hAnsi="Calibri"/>
                <w:i/>
                <w:sz w:val="16"/>
              </w:rPr>
              <w:t>Irvingia gabonensis</w:t>
            </w:r>
          </w:p>
        </w:tc>
        <w:tc>
          <w:tcPr>
            <w:tcW w:type="dxa" w:w="1605"/>
            <w:shd w:val="clear" w:fill="FDECD9"/>
          </w:tcPr>
          <w:p>
            <w:pPr>
              <w:jc w:val="right"/>
            </w:pPr>
            <w:r>
              <w:rPr>
                <w:rFonts w:ascii="Calibri" w:hAnsi="Calibri"/>
                <w:sz w:val="16"/>
              </w:rPr>
              <w:t>48</w:t>
            </w:r>
          </w:p>
        </w:tc>
        <w:tc>
          <w:tcPr>
            <w:tcW w:type="dxa" w:w="1605"/>
            <w:shd w:val="clear" w:fill="FDECD9"/>
          </w:tcPr>
          <w:p>
            <w:pPr>
              <w:jc w:val="right"/>
            </w:pPr>
            <w:r>
              <w:rPr>
                <w:rFonts w:ascii="Calibri" w:hAnsi="Calibri"/>
                <w:sz w:val="16"/>
              </w:rPr>
              <w:t>96,0</w:t>
            </w:r>
          </w:p>
        </w:tc>
        <w:tc>
          <w:tcPr>
            <w:tcW w:type="dxa" w:w="1605"/>
            <w:shd w:val="clear" w:fill="FDECD9"/>
          </w:tcPr>
          <w:p>
            <w:pPr>
              <w:jc w:val="right"/>
            </w:pPr>
            <w:r>
              <w:rPr>
                <w:rFonts w:ascii="Calibri" w:hAnsi="Calibri"/>
                <w:sz w:val="16"/>
              </w:rPr>
              <w:t>86,5–98,9</w:t>
            </w:r>
          </w:p>
        </w:tc>
      </w:tr>
      <w:tr>
        <w:tc>
          <w:tcPr>
            <w:tcW w:type="dxa" w:w="1605"/>
            <w:shd w:val="clear" w:fill="FDECD9"/>
          </w:tcPr>
          <w:p>
            <w:pPr>
              <w:jc w:val="right"/>
            </w:pPr>
            <w:r>
              <w:rPr>
                <w:rFonts w:ascii="Calibri" w:hAnsi="Calibri"/>
                <w:sz w:val="16"/>
              </w:rPr>
              <w:t>2</w:t>
            </w:r>
          </w:p>
        </w:tc>
        <w:tc>
          <w:tcPr>
            <w:tcW w:type="dxa" w:w="1605"/>
            <w:shd w:val="clear" w:fill="FDECD9"/>
          </w:tcPr>
          <w:p>
            <w:pPr>
              <w:jc w:val="left"/>
            </w:pPr>
            <w:r>
              <w:rPr>
                <w:rFonts w:ascii="Calibri" w:hAnsi="Calibri"/>
                <w:sz w:val="16"/>
              </w:rPr>
              <w:t>Rondelle</w:t>
            </w:r>
          </w:p>
        </w:tc>
        <w:tc>
          <w:tcPr>
            <w:tcW w:type="dxa" w:w="1605"/>
            <w:shd w:val="clear" w:fill="FDECD9"/>
          </w:tcPr>
          <w:p>
            <w:pPr>
              <w:jc w:val="left"/>
            </w:pPr>
            <w:r>
              <w:rPr>
                <w:rFonts w:ascii="Calibri" w:hAnsi="Calibri"/>
                <w:i/>
                <w:sz w:val="16"/>
              </w:rPr>
              <w:t>Afrostyrax lepidophyllus</w:t>
            </w:r>
          </w:p>
        </w:tc>
        <w:tc>
          <w:tcPr>
            <w:tcW w:type="dxa" w:w="1605"/>
            <w:shd w:val="clear" w:fill="FDECD9"/>
          </w:tcPr>
          <w:p>
            <w:pPr>
              <w:jc w:val="right"/>
            </w:pPr>
            <w:r>
              <w:rPr>
                <w:rFonts w:ascii="Calibri" w:hAnsi="Calibri"/>
                <w:sz w:val="16"/>
              </w:rPr>
              <w:t>31</w:t>
            </w:r>
          </w:p>
        </w:tc>
        <w:tc>
          <w:tcPr>
            <w:tcW w:type="dxa" w:w="1605"/>
            <w:shd w:val="clear" w:fill="FDECD9"/>
          </w:tcPr>
          <w:p>
            <w:pPr>
              <w:jc w:val="right"/>
            </w:pPr>
            <w:r>
              <w:rPr>
                <w:rFonts w:ascii="Calibri" w:hAnsi="Calibri"/>
                <w:sz w:val="16"/>
              </w:rPr>
              <w:t>62,0</w:t>
            </w:r>
          </w:p>
        </w:tc>
        <w:tc>
          <w:tcPr>
            <w:tcW w:type="dxa" w:w="1605"/>
            <w:shd w:val="clear" w:fill="FDECD9"/>
          </w:tcPr>
          <w:p>
            <w:pPr>
              <w:jc w:val="right"/>
            </w:pPr>
            <w:r>
              <w:rPr>
                <w:rFonts w:ascii="Calibri" w:hAnsi="Calibri"/>
                <w:sz w:val="16"/>
              </w:rPr>
              <w:t>48,2–74,1</w:t>
            </w:r>
          </w:p>
        </w:tc>
      </w:tr>
      <w:tr>
        <w:tc>
          <w:tcPr>
            <w:tcW w:type="dxa" w:w="1605"/>
            <w:shd w:val="clear" w:fill="FDECD9"/>
          </w:tcPr>
          <w:p>
            <w:pPr>
              <w:jc w:val="right"/>
            </w:pPr>
            <w:r>
              <w:rPr>
                <w:rFonts w:ascii="Calibri" w:hAnsi="Calibri"/>
                <w:sz w:val="16"/>
              </w:rPr>
              <w:t>3</w:t>
            </w:r>
          </w:p>
        </w:tc>
        <w:tc>
          <w:tcPr>
            <w:tcW w:type="dxa" w:w="1605"/>
            <w:shd w:val="clear" w:fill="FDECD9"/>
          </w:tcPr>
          <w:p>
            <w:pPr>
              <w:jc w:val="left"/>
            </w:pPr>
            <w:r>
              <w:rPr>
                <w:rFonts w:ascii="Calibri" w:hAnsi="Calibri"/>
                <w:sz w:val="16"/>
              </w:rPr>
              <w:t>Mbalaka</w:t>
            </w:r>
          </w:p>
        </w:tc>
        <w:tc>
          <w:tcPr>
            <w:tcW w:type="dxa" w:w="1605"/>
            <w:shd w:val="clear" w:fill="FDECD9"/>
          </w:tcPr>
          <w:p>
            <w:pPr>
              <w:jc w:val="left"/>
            </w:pPr>
            <w:r>
              <w:rPr>
                <w:rFonts w:ascii="Calibri" w:hAnsi="Calibri"/>
                <w:i/>
                <w:sz w:val="16"/>
              </w:rPr>
              <w:t>Pentaclethra macrophylla</w:t>
            </w:r>
          </w:p>
        </w:tc>
        <w:tc>
          <w:tcPr>
            <w:tcW w:type="dxa" w:w="1605"/>
            <w:shd w:val="clear" w:fill="FDECD9"/>
          </w:tcPr>
          <w:p>
            <w:pPr>
              <w:jc w:val="right"/>
            </w:pPr>
            <w:r>
              <w:rPr>
                <w:rFonts w:ascii="Calibri" w:hAnsi="Calibri"/>
                <w:sz w:val="16"/>
              </w:rPr>
              <w:t>30</w:t>
            </w:r>
          </w:p>
        </w:tc>
        <w:tc>
          <w:tcPr>
            <w:tcW w:type="dxa" w:w="1605"/>
            <w:shd w:val="clear" w:fill="FDECD9"/>
          </w:tcPr>
          <w:p>
            <w:pPr>
              <w:jc w:val="right"/>
            </w:pPr>
            <w:r>
              <w:rPr>
                <w:rFonts w:ascii="Calibri" w:hAnsi="Calibri"/>
                <w:sz w:val="16"/>
              </w:rPr>
              <w:t>60,0</w:t>
            </w:r>
          </w:p>
        </w:tc>
        <w:tc>
          <w:tcPr>
            <w:tcW w:type="dxa" w:w="1605"/>
            <w:shd w:val="clear" w:fill="FDECD9"/>
          </w:tcPr>
          <w:p>
            <w:pPr>
              <w:jc w:val="right"/>
            </w:pPr>
            <w:r>
              <w:rPr>
                <w:rFonts w:ascii="Calibri" w:hAnsi="Calibri"/>
                <w:sz w:val="16"/>
              </w:rPr>
              <w:t>46,2–72,4</w:t>
            </w:r>
          </w:p>
        </w:tc>
      </w:tr>
      <w:tr>
        <w:tc>
          <w:tcPr>
            <w:tcW w:type="dxa" w:w="1605"/>
            <w:shd w:val="clear" w:fill="FDECD9"/>
          </w:tcPr>
          <w:p>
            <w:pPr>
              <w:jc w:val="right"/>
            </w:pPr>
            <w:r>
              <w:rPr>
                <w:rFonts w:ascii="Calibri" w:hAnsi="Calibri"/>
                <w:sz w:val="16"/>
              </w:rPr>
              <w:t>4</w:t>
            </w:r>
          </w:p>
        </w:tc>
        <w:tc>
          <w:tcPr>
            <w:tcW w:type="dxa" w:w="1605"/>
            <w:shd w:val="clear" w:fill="FDECD9"/>
          </w:tcPr>
          <w:p>
            <w:pPr>
              <w:jc w:val="left"/>
            </w:pPr>
            <w:r>
              <w:rPr>
                <w:rFonts w:ascii="Calibri" w:hAnsi="Calibri"/>
                <w:sz w:val="16"/>
              </w:rPr>
              <w:t>Djansang</w:t>
            </w:r>
          </w:p>
        </w:tc>
        <w:tc>
          <w:tcPr>
            <w:tcW w:type="dxa" w:w="1605"/>
            <w:shd w:val="clear" w:fill="FDECD9"/>
          </w:tcPr>
          <w:p>
            <w:pPr>
              <w:jc w:val="left"/>
            </w:pPr>
            <w:r>
              <w:rPr>
                <w:rFonts w:ascii="Calibri" w:hAnsi="Calibri"/>
                <w:i/>
                <w:sz w:val="16"/>
              </w:rPr>
              <w:t>Ricinodendron heudelotii</w:t>
            </w:r>
          </w:p>
        </w:tc>
        <w:tc>
          <w:tcPr>
            <w:tcW w:type="dxa" w:w="1605"/>
            <w:shd w:val="clear" w:fill="FDECD9"/>
          </w:tcPr>
          <w:p>
            <w:pPr>
              <w:jc w:val="right"/>
            </w:pPr>
            <w:r>
              <w:rPr>
                <w:rFonts w:ascii="Calibri" w:hAnsi="Calibri"/>
                <w:sz w:val="16"/>
              </w:rPr>
              <w:t>20</w:t>
            </w:r>
          </w:p>
        </w:tc>
        <w:tc>
          <w:tcPr>
            <w:tcW w:type="dxa" w:w="1605"/>
            <w:shd w:val="clear" w:fill="FDECD9"/>
          </w:tcPr>
          <w:p>
            <w:pPr>
              <w:jc w:val="right"/>
            </w:pPr>
            <w:r>
              <w:rPr>
                <w:rFonts w:ascii="Calibri" w:hAnsi="Calibri"/>
                <w:sz w:val="16"/>
              </w:rPr>
              <w:t>40,0</w:t>
            </w:r>
          </w:p>
        </w:tc>
        <w:tc>
          <w:tcPr>
            <w:tcW w:type="dxa" w:w="1605"/>
            <w:shd w:val="clear" w:fill="FDECD9"/>
          </w:tcPr>
          <w:p>
            <w:pPr>
              <w:jc w:val="right"/>
            </w:pPr>
            <w:r>
              <w:rPr>
                <w:rFonts w:ascii="Calibri" w:hAnsi="Calibri"/>
                <w:sz w:val="16"/>
              </w:rPr>
              <w:t>27,6–53,8</w:t>
            </w:r>
          </w:p>
        </w:tc>
      </w:tr>
      <w:tr>
        <w:tc>
          <w:tcPr>
            <w:tcW w:type="dxa" w:w="1605"/>
            <w:shd w:val="clear" w:fill="FDECD9"/>
          </w:tcPr>
          <w:p>
            <w:pPr>
              <w:jc w:val="right"/>
            </w:pPr>
            <w:r>
              <w:rPr>
                <w:rFonts w:ascii="Calibri" w:hAnsi="Calibri"/>
                <w:sz w:val="16"/>
              </w:rPr>
              <w:t>5</w:t>
            </w:r>
          </w:p>
        </w:tc>
        <w:tc>
          <w:tcPr>
            <w:tcW w:type="dxa" w:w="1605"/>
            <w:shd w:val="clear" w:fill="FDECD9"/>
          </w:tcPr>
          <w:p>
            <w:pPr>
              <w:jc w:val="left"/>
            </w:pPr>
            <w:r>
              <w:rPr>
                <w:rFonts w:ascii="Calibri" w:hAnsi="Calibri"/>
                <w:sz w:val="16"/>
              </w:rPr>
              <w:t>Moabi</w:t>
            </w:r>
          </w:p>
        </w:tc>
        <w:tc>
          <w:tcPr>
            <w:tcW w:type="dxa" w:w="1605"/>
            <w:shd w:val="clear" w:fill="FDECD9"/>
          </w:tcPr>
          <w:p>
            <w:pPr>
              <w:jc w:val="left"/>
            </w:pPr>
            <w:r>
              <w:rPr>
                <w:rFonts w:ascii="Calibri" w:hAnsi="Calibri"/>
                <w:i/>
                <w:sz w:val="16"/>
              </w:rPr>
              <w:t>Baillonella toxisperma</w:t>
            </w:r>
          </w:p>
        </w:tc>
        <w:tc>
          <w:tcPr>
            <w:tcW w:type="dxa" w:w="1605"/>
            <w:shd w:val="clear" w:fill="FDECD9"/>
          </w:tcPr>
          <w:p>
            <w:pPr>
              <w:jc w:val="right"/>
            </w:pPr>
            <w:r>
              <w:rPr>
                <w:rFonts w:ascii="Calibri" w:hAnsi="Calibri"/>
                <w:sz w:val="16"/>
              </w:rPr>
              <w:t>17</w:t>
            </w:r>
          </w:p>
        </w:tc>
        <w:tc>
          <w:tcPr>
            <w:tcW w:type="dxa" w:w="1605"/>
            <w:shd w:val="clear" w:fill="FDECD9"/>
          </w:tcPr>
          <w:p>
            <w:pPr>
              <w:jc w:val="right"/>
            </w:pPr>
            <w:r>
              <w:rPr>
                <w:rFonts w:ascii="Calibri" w:hAnsi="Calibri"/>
                <w:sz w:val="16"/>
              </w:rPr>
              <w:t>34,0</w:t>
            </w:r>
          </w:p>
        </w:tc>
        <w:tc>
          <w:tcPr>
            <w:tcW w:type="dxa" w:w="1605"/>
            <w:shd w:val="clear" w:fill="FDECD9"/>
          </w:tcPr>
          <w:p>
            <w:pPr>
              <w:jc w:val="right"/>
            </w:pPr>
            <w:r>
              <w:rPr>
                <w:rFonts w:ascii="Calibri" w:hAnsi="Calibri"/>
                <w:sz w:val="16"/>
              </w:rPr>
              <w:t>22,4–47,8</w:t>
            </w:r>
          </w:p>
        </w:tc>
      </w:tr>
      <w:tr>
        <w:tc>
          <w:tcPr>
            <w:tcW w:type="dxa" w:w="1605"/>
            <w:shd w:val="clear" w:fill="F1F5F9"/>
          </w:tcPr>
          <w:p>
            <w:pPr>
              <w:jc w:val="right"/>
            </w:pPr>
            <w:r>
              <w:rPr>
                <w:rFonts w:ascii="Calibri" w:hAnsi="Calibri"/>
                <w:sz w:val="16"/>
              </w:rPr>
              <w:t>6</w:t>
            </w:r>
          </w:p>
        </w:tc>
        <w:tc>
          <w:tcPr>
            <w:tcW w:type="dxa" w:w="1605"/>
            <w:shd w:val="clear" w:fill="F1F5F9"/>
          </w:tcPr>
          <w:p>
            <w:pPr>
              <w:jc w:val="left"/>
            </w:pPr>
            <w:r>
              <w:rPr>
                <w:rFonts w:ascii="Calibri" w:hAnsi="Calibri"/>
                <w:sz w:val="16"/>
              </w:rPr>
              <w:t>Tondo</w:t>
            </w:r>
          </w:p>
        </w:tc>
        <w:tc>
          <w:tcPr>
            <w:tcW w:type="dxa" w:w="1605"/>
            <w:shd w:val="clear" w:fill="F1F5F9"/>
          </w:tcPr>
          <w:p>
            <w:pPr>
              <w:jc w:val="left"/>
            </w:pPr>
            <w:r>
              <w:rPr>
                <w:rFonts w:ascii="Calibri" w:hAnsi="Calibri"/>
                <w:i/>
                <w:sz w:val="16"/>
              </w:rPr>
              <w:t>Aframomum sp.</w:t>
            </w:r>
          </w:p>
        </w:tc>
        <w:tc>
          <w:tcPr>
            <w:tcW w:type="dxa" w:w="1605"/>
            <w:shd w:val="clear" w:fill="F1F5F9"/>
          </w:tcPr>
          <w:p>
            <w:pPr>
              <w:jc w:val="right"/>
            </w:pPr>
            <w:r>
              <w:rPr>
                <w:rFonts w:ascii="Calibri" w:hAnsi="Calibri"/>
                <w:sz w:val="16"/>
              </w:rPr>
              <w:t>11</w:t>
            </w:r>
          </w:p>
        </w:tc>
        <w:tc>
          <w:tcPr>
            <w:tcW w:type="dxa" w:w="1605"/>
            <w:shd w:val="clear" w:fill="F1F5F9"/>
          </w:tcPr>
          <w:p>
            <w:pPr>
              <w:jc w:val="right"/>
            </w:pPr>
            <w:r>
              <w:rPr>
                <w:rFonts w:ascii="Calibri" w:hAnsi="Calibri"/>
                <w:sz w:val="16"/>
              </w:rPr>
              <w:t>22,0</w:t>
            </w:r>
          </w:p>
        </w:tc>
        <w:tc>
          <w:tcPr>
            <w:tcW w:type="dxa" w:w="1605"/>
            <w:shd w:val="clear" w:fill="F1F5F9"/>
          </w:tcPr>
          <w:p>
            <w:pPr>
              <w:jc w:val="right"/>
            </w:pPr>
            <w:r>
              <w:rPr>
                <w:rFonts w:ascii="Calibri" w:hAnsi="Calibri"/>
                <w:sz w:val="16"/>
              </w:rPr>
              <w:t>12,8–35,2</w:t>
            </w:r>
          </w:p>
        </w:tc>
      </w:tr>
      <w:tr>
        <w:tc>
          <w:tcPr>
            <w:tcW w:type="dxa" w:w="1605"/>
          </w:tcPr>
          <w:p>
            <w:pPr>
              <w:jc w:val="right"/>
            </w:pPr>
            <w:r>
              <w:rPr>
                <w:rFonts w:ascii="Calibri" w:hAnsi="Calibri"/>
                <w:sz w:val="16"/>
              </w:rPr>
              <w:t>7</w:t>
            </w:r>
          </w:p>
        </w:tc>
        <w:tc>
          <w:tcPr>
            <w:tcW w:type="dxa" w:w="1605"/>
          </w:tcPr>
          <w:p>
            <w:pPr>
              <w:jc w:val="left"/>
            </w:pPr>
            <w:r>
              <w:rPr>
                <w:rFonts w:ascii="Calibri" w:hAnsi="Calibri"/>
                <w:sz w:val="16"/>
              </w:rPr>
              <w:t>4 Côtés</w:t>
            </w:r>
          </w:p>
        </w:tc>
        <w:tc>
          <w:tcPr>
            <w:tcW w:type="dxa" w:w="1605"/>
          </w:tcPr>
          <w:p>
            <w:pPr>
              <w:jc w:val="left"/>
            </w:pPr>
            <w:r>
              <w:rPr>
                <w:rFonts w:ascii="Calibri" w:hAnsi="Calibri"/>
                <w:i/>
                <w:sz w:val="16"/>
              </w:rPr>
              <w:t>Tetrapleura tetraptera</w:t>
            </w:r>
          </w:p>
        </w:tc>
        <w:tc>
          <w:tcPr>
            <w:tcW w:type="dxa" w:w="1605"/>
          </w:tcPr>
          <w:p>
            <w:pPr>
              <w:jc w:val="right"/>
            </w:pPr>
            <w:r>
              <w:rPr>
                <w:rFonts w:ascii="Calibri" w:hAnsi="Calibri"/>
                <w:sz w:val="16"/>
              </w:rPr>
              <w:t>9</w:t>
            </w:r>
          </w:p>
        </w:tc>
        <w:tc>
          <w:tcPr>
            <w:tcW w:type="dxa" w:w="1605"/>
          </w:tcPr>
          <w:p>
            <w:pPr>
              <w:jc w:val="right"/>
            </w:pPr>
            <w:r>
              <w:rPr>
                <w:rFonts w:ascii="Calibri" w:hAnsi="Calibri"/>
                <w:sz w:val="16"/>
              </w:rPr>
              <w:t>18,0</w:t>
            </w:r>
          </w:p>
        </w:tc>
        <w:tc>
          <w:tcPr>
            <w:tcW w:type="dxa" w:w="1605"/>
          </w:tcPr>
          <w:p>
            <w:pPr>
              <w:jc w:val="right"/>
            </w:pPr>
            <w:r>
              <w:rPr>
                <w:rFonts w:ascii="Calibri" w:hAnsi="Calibri"/>
                <w:sz w:val="16"/>
              </w:rPr>
              <w:t>9,8–30,8</w:t>
            </w:r>
          </w:p>
        </w:tc>
      </w:tr>
      <w:tr>
        <w:tc>
          <w:tcPr>
            <w:tcW w:type="dxa" w:w="1605"/>
            <w:shd w:val="clear" w:fill="F1F5F9"/>
          </w:tcPr>
          <w:p>
            <w:pPr>
              <w:jc w:val="right"/>
            </w:pPr>
            <w:r>
              <w:rPr>
                <w:rFonts w:ascii="Calibri" w:hAnsi="Calibri"/>
                <w:sz w:val="16"/>
              </w:rPr>
              <w:t>8</w:t>
            </w:r>
          </w:p>
        </w:tc>
        <w:tc>
          <w:tcPr>
            <w:tcW w:type="dxa" w:w="1605"/>
            <w:shd w:val="clear" w:fill="F1F5F9"/>
          </w:tcPr>
          <w:p>
            <w:pPr>
              <w:jc w:val="left"/>
            </w:pPr>
            <w:r>
              <w:rPr>
                <w:rFonts w:ascii="Calibri" w:hAnsi="Calibri"/>
                <w:sz w:val="16"/>
              </w:rPr>
              <w:t>Pèpè</w:t>
            </w:r>
          </w:p>
        </w:tc>
        <w:tc>
          <w:tcPr>
            <w:tcW w:type="dxa" w:w="1605"/>
            <w:shd w:val="clear" w:fill="F1F5F9"/>
          </w:tcPr>
          <w:p>
            <w:pPr>
              <w:jc w:val="left"/>
            </w:pPr>
            <w:r>
              <w:rPr>
                <w:rFonts w:ascii="Calibri" w:hAnsi="Calibri"/>
                <w:i/>
                <w:sz w:val="16"/>
              </w:rPr>
              <w:t>Monodora myristica</w:t>
            </w:r>
          </w:p>
        </w:tc>
        <w:tc>
          <w:tcPr>
            <w:tcW w:type="dxa" w:w="1605"/>
            <w:shd w:val="clear" w:fill="F1F5F9"/>
          </w:tcPr>
          <w:p>
            <w:pPr>
              <w:jc w:val="right"/>
            </w:pPr>
            <w:r>
              <w:rPr>
                <w:rFonts w:ascii="Calibri" w:hAnsi="Calibri"/>
                <w:sz w:val="16"/>
              </w:rPr>
              <w:t>2</w:t>
            </w:r>
          </w:p>
        </w:tc>
        <w:tc>
          <w:tcPr>
            <w:tcW w:type="dxa" w:w="1605"/>
            <w:shd w:val="clear" w:fill="F1F5F9"/>
          </w:tcPr>
          <w:p>
            <w:pPr>
              <w:jc w:val="right"/>
            </w:pPr>
            <w:r>
              <w:rPr>
                <w:rFonts w:ascii="Calibri" w:hAnsi="Calibri"/>
                <w:sz w:val="16"/>
              </w:rPr>
              <w:t>4,0</w:t>
            </w:r>
          </w:p>
        </w:tc>
        <w:tc>
          <w:tcPr>
            <w:tcW w:type="dxa" w:w="1605"/>
            <w:shd w:val="clear" w:fill="F1F5F9"/>
          </w:tcPr>
          <w:p>
            <w:pPr>
              <w:jc w:val="right"/>
            </w:pPr>
            <w:r>
              <w:rPr>
                <w:rFonts w:ascii="Calibri" w:hAnsi="Calibri"/>
                <w:sz w:val="16"/>
              </w:rPr>
              <w:t>1,1–13,5</w:t>
            </w:r>
          </w:p>
        </w:tc>
      </w:tr>
      <w:tr>
        <w:tc>
          <w:tcPr>
            <w:tcW w:type="dxa" w:w="1605"/>
          </w:tcPr>
          <w:p>
            <w:pPr>
              <w:jc w:val="right"/>
            </w:pPr>
            <w:r>
              <w:rPr>
                <w:rFonts w:ascii="Calibri" w:hAnsi="Calibri"/>
                <w:sz w:val="16"/>
              </w:rPr>
              <w:t>9</w:t>
            </w:r>
          </w:p>
        </w:tc>
        <w:tc>
          <w:tcPr>
            <w:tcW w:type="dxa" w:w="1605"/>
          </w:tcPr>
          <w:p>
            <w:pPr>
              <w:jc w:val="left"/>
            </w:pPr>
            <w:r>
              <w:rPr>
                <w:rFonts w:ascii="Calibri" w:hAnsi="Calibri"/>
                <w:sz w:val="16"/>
              </w:rPr>
              <w:t>Koutou</w:t>
            </w:r>
          </w:p>
        </w:tc>
        <w:tc>
          <w:tcPr>
            <w:tcW w:type="dxa" w:w="1605"/>
          </w:tcPr>
          <w:p>
            <w:pPr>
              <w:jc w:val="left"/>
            </w:pPr>
            <w:r>
              <w:rPr>
                <w:rFonts w:ascii="Calibri" w:hAnsi="Calibri"/>
                <w:i/>
                <w:sz w:val="16"/>
              </w:rPr>
              <w:t>Armillaria camerunensis</w:t>
            </w:r>
          </w:p>
        </w:tc>
        <w:tc>
          <w:tcPr>
            <w:tcW w:type="dxa" w:w="1605"/>
          </w:tcPr>
          <w:p>
            <w:pPr>
              <w:jc w:val="right"/>
            </w:pPr>
            <w:r>
              <w:rPr>
                <w:rFonts w:ascii="Calibri" w:hAnsi="Calibri"/>
                <w:sz w:val="16"/>
              </w:rPr>
              <w:t>2</w:t>
            </w:r>
          </w:p>
        </w:tc>
        <w:tc>
          <w:tcPr>
            <w:tcW w:type="dxa" w:w="1605"/>
          </w:tcPr>
          <w:p>
            <w:pPr>
              <w:jc w:val="right"/>
            </w:pPr>
            <w:r>
              <w:rPr>
                <w:rFonts w:ascii="Calibri" w:hAnsi="Calibri"/>
                <w:sz w:val="16"/>
              </w:rPr>
              <w:t>4,0</w:t>
            </w:r>
          </w:p>
        </w:tc>
        <w:tc>
          <w:tcPr>
            <w:tcW w:type="dxa" w:w="1605"/>
          </w:tcPr>
          <w:p>
            <w:pPr>
              <w:jc w:val="right"/>
            </w:pPr>
            <w:r>
              <w:rPr>
                <w:rFonts w:ascii="Calibri" w:hAnsi="Calibri"/>
                <w:sz w:val="16"/>
              </w:rPr>
              <w:t>1,1–13,5</w:t>
            </w:r>
          </w:p>
        </w:tc>
      </w:tr>
      <w:tr>
        <w:tc>
          <w:tcPr>
            <w:tcW w:type="dxa" w:w="1605"/>
            <w:shd w:val="clear" w:fill="F1F5F9"/>
          </w:tcPr>
          <w:p>
            <w:pPr>
              <w:jc w:val="right"/>
            </w:pPr>
            <w:r>
              <w:rPr>
                <w:rFonts w:ascii="Calibri" w:hAnsi="Calibri"/>
                <w:sz w:val="16"/>
              </w:rPr>
              <w:t>10</w:t>
            </w:r>
          </w:p>
        </w:tc>
        <w:tc>
          <w:tcPr>
            <w:tcW w:type="dxa" w:w="1605"/>
            <w:shd w:val="clear" w:fill="F1F5F9"/>
          </w:tcPr>
          <w:p>
            <w:pPr>
              <w:jc w:val="left"/>
            </w:pPr>
            <w:r>
              <w:rPr>
                <w:rFonts w:ascii="Calibri" w:hAnsi="Calibri"/>
                <w:sz w:val="16"/>
              </w:rPr>
              <w:t>Bitter cola</w:t>
            </w:r>
          </w:p>
        </w:tc>
        <w:tc>
          <w:tcPr>
            <w:tcW w:type="dxa" w:w="1605"/>
            <w:shd w:val="clear" w:fill="F1F5F9"/>
          </w:tcPr>
          <w:p>
            <w:pPr>
              <w:jc w:val="left"/>
            </w:pPr>
            <w:r>
              <w:rPr>
                <w:rFonts w:ascii="Calibri" w:hAnsi="Calibri"/>
                <w:i/>
                <w:sz w:val="16"/>
              </w:rPr>
              <w:t>Garcinia kola</w:t>
            </w:r>
          </w:p>
        </w:tc>
        <w:tc>
          <w:tcPr>
            <w:tcW w:type="dxa" w:w="1605"/>
            <w:shd w:val="clear" w:fill="F1F5F9"/>
          </w:tcPr>
          <w:p>
            <w:pPr>
              <w:jc w:val="right"/>
            </w:pPr>
            <w:r>
              <w:rPr>
                <w:rFonts w:ascii="Calibri" w:hAnsi="Calibri"/>
                <w:sz w:val="16"/>
              </w:rPr>
              <w:t>1</w:t>
            </w:r>
          </w:p>
        </w:tc>
        <w:tc>
          <w:tcPr>
            <w:tcW w:type="dxa" w:w="1605"/>
            <w:shd w:val="clear" w:fill="F1F5F9"/>
          </w:tcPr>
          <w:p>
            <w:pPr>
              <w:jc w:val="right"/>
            </w:pPr>
            <w:r>
              <w:rPr>
                <w:rFonts w:ascii="Calibri" w:hAnsi="Calibri"/>
                <w:sz w:val="16"/>
              </w:rPr>
              <w:t>2,0</w:t>
            </w:r>
          </w:p>
        </w:tc>
        <w:tc>
          <w:tcPr>
            <w:tcW w:type="dxa" w:w="1605"/>
            <w:shd w:val="clear" w:fill="F1F5F9"/>
          </w:tcPr>
          <w:p>
            <w:pPr>
              <w:jc w:val="right"/>
            </w:pPr>
            <w:r>
              <w:rPr>
                <w:rFonts w:ascii="Calibri" w:hAnsi="Calibri"/>
                <w:sz w:val="16"/>
              </w:rPr>
              <w:t>0,4–10,5</w:t>
            </w:r>
          </w:p>
        </w:tc>
      </w:tr>
      <w:tr>
        <w:tc>
          <w:tcPr>
            <w:tcW w:type="dxa" w:w="1605"/>
          </w:tcPr>
          <w:p>
            <w:pPr>
              <w:jc w:val="right"/>
            </w:pPr>
            <w:r>
              <w:rPr>
                <w:rFonts w:ascii="Calibri" w:hAnsi="Calibri"/>
                <w:sz w:val="16"/>
              </w:rPr>
              <w:t>11</w:t>
            </w:r>
          </w:p>
        </w:tc>
        <w:tc>
          <w:tcPr>
            <w:tcW w:type="dxa" w:w="1605"/>
          </w:tcPr>
          <w:p>
            <w:pPr>
              <w:jc w:val="left"/>
            </w:pPr>
            <w:r>
              <w:rPr>
                <w:rFonts w:ascii="Calibri" w:hAnsi="Calibri"/>
                <w:sz w:val="16"/>
              </w:rPr>
              <w:t>Piment des oiseaux</w:t>
            </w:r>
          </w:p>
        </w:tc>
        <w:tc>
          <w:tcPr>
            <w:tcW w:type="dxa" w:w="1605"/>
          </w:tcPr>
          <w:p>
            <w:pPr>
              <w:jc w:val="left"/>
            </w:pPr>
            <w:r>
              <w:rPr>
                <w:rFonts w:ascii="Calibri" w:hAnsi="Calibri"/>
                <w:i/>
                <w:sz w:val="16"/>
              </w:rPr>
              <w:t>Capsicum frutescens</w:t>
            </w:r>
          </w:p>
        </w:tc>
        <w:tc>
          <w:tcPr>
            <w:tcW w:type="dxa" w:w="1605"/>
          </w:tcPr>
          <w:p>
            <w:pPr>
              <w:jc w:val="right"/>
            </w:pPr>
            <w:r>
              <w:rPr>
                <w:rFonts w:ascii="Calibri" w:hAnsi="Calibri"/>
                <w:sz w:val="16"/>
              </w:rPr>
              <w:t>1</w:t>
            </w:r>
          </w:p>
        </w:tc>
        <w:tc>
          <w:tcPr>
            <w:tcW w:type="dxa" w:w="1605"/>
          </w:tcPr>
          <w:p>
            <w:pPr>
              <w:jc w:val="right"/>
            </w:pPr>
            <w:r>
              <w:rPr>
                <w:rFonts w:ascii="Calibri" w:hAnsi="Calibri"/>
                <w:sz w:val="16"/>
              </w:rPr>
              <w:t>2,0</w:t>
            </w:r>
          </w:p>
        </w:tc>
        <w:tc>
          <w:tcPr>
            <w:tcW w:type="dxa" w:w="1605"/>
          </w:tcPr>
          <w:p>
            <w:pPr>
              <w:jc w:val="right"/>
            </w:pPr>
            <w:r>
              <w:rPr>
                <w:rFonts w:ascii="Calibri" w:hAnsi="Calibri"/>
                <w:sz w:val="16"/>
              </w:rPr>
              <w:t>0,4–10,5</w:t>
            </w:r>
          </w:p>
        </w:tc>
      </w:tr>
    </w:tbl>
    <w:p>
      <w:pPr>
        <w:jc w:val="center"/>
      </w:pPr>
      <w:r>
        <w:drawing>
          <wp:inline xmlns:a="http://schemas.openxmlformats.org/drawingml/2006/main" xmlns:pic="http://schemas.openxmlformats.org/drawingml/2006/picture">
            <wp:extent cx="5220000" cy="3274801"/>
            <wp:docPr id="10" name="Picture 10"/>
            <wp:cNvGraphicFramePr>
              <a:graphicFrameLocks noChangeAspect="1"/>
            </wp:cNvGraphicFramePr>
            <a:graphic>
              <a:graphicData uri="http://schemas.openxmlformats.org/drawingml/2006/picture">
                <pic:pic>
                  <pic:nvPicPr>
                    <pic:cNvPr id="0" name="fig01_fc_pfnl.png"/>
                    <pic:cNvPicPr/>
                  </pic:nvPicPr>
                  <pic:blipFill>
                    <a:blip r:embed="rId18"/>
                    <a:stretch>
                      <a:fillRect/>
                    </a:stretch>
                  </pic:blipFill>
                  <pic:spPr>
                    <a:xfrm>
                      <a:off x="0" y="0"/>
                      <a:ext cx="5220000" cy="3274801"/>
                    </a:xfrm>
                    <a:prstGeom prst="rect"/>
                  </pic:spPr>
                </pic:pic>
              </a:graphicData>
            </a:graphic>
          </wp:inline>
        </w:drawing>
      </w:r>
    </w:p>
    <w:p>
      <w:pPr>
        <w:spacing w:before="40"/>
        <w:jc w:val="center"/>
      </w:pPr>
      <w:r>
        <w:rPr>
          <w:rFonts w:ascii="Calibri" w:hAnsi="Calibri"/>
          <w:i/>
          <w:color w:val="64748B"/>
          <w:sz w:val="18"/>
        </w:rPr>
        <w:t>Figure 7. Fréquence de citation des PFNL ; en vert, les cinq PFNL majeurs.</w:t>
      </w:r>
    </w:p>
    <w:p>
      <w:pPr>
        <w:jc w:val="both"/>
      </w:pPr>
      <w:r>
        <w:rPr>
          <w:sz w:val="22"/>
        </w:rPr>
        <w:t xml:space="preserve">Onze PFNL, exclusivement d'origine végétale, sont collectés par les ménages. Cinq d'entre eux se détachent nettement (fc &gt; tiers de l'échantillon) et constituent les </w:t>
      </w:r>
      <w:r>
        <w:rPr>
          <w:b/>
          <w:sz w:val="22"/>
        </w:rPr>
        <w:t>PFNL majeurs</w:t>
      </w:r>
      <w:r>
        <w:rPr>
          <w:sz w:val="22"/>
        </w:rPr>
        <w:t xml:space="preserve"> : le Mango (</w:t>
      </w:r>
      <w:r>
        <w:rPr>
          <w:i/>
          <w:sz w:val="22"/>
        </w:rPr>
        <w:t>Irvingia gabonensis</w:t>
      </w:r>
      <w:r>
        <w:rPr>
          <w:sz w:val="22"/>
        </w:rPr>
        <w:t>, 96 %), la Rondelle (</w:t>
      </w:r>
      <w:r>
        <w:rPr>
          <w:i/>
          <w:sz w:val="22"/>
        </w:rPr>
        <w:t>Afrostyrax lepidophyllus</w:t>
      </w:r>
      <w:r>
        <w:rPr>
          <w:sz w:val="22"/>
        </w:rPr>
        <w:t>, 62 %), le Mbalaka (</w:t>
      </w:r>
      <w:r>
        <w:rPr>
          <w:i/>
          <w:sz w:val="22"/>
        </w:rPr>
        <w:t>Pentaclethra macrophylla</w:t>
      </w:r>
      <w:r>
        <w:rPr>
          <w:sz w:val="22"/>
        </w:rPr>
        <w:t>, 60 %), le Djansang (</w:t>
      </w:r>
      <w:r>
        <w:rPr>
          <w:i/>
          <w:sz w:val="22"/>
        </w:rPr>
        <w:t>Ricinodendron heudelotii</w:t>
      </w:r>
      <w:r>
        <w:rPr>
          <w:sz w:val="22"/>
        </w:rPr>
        <w:t>, 40 %) et le Moabi (</w:t>
      </w:r>
      <w:r>
        <w:rPr>
          <w:i/>
          <w:sz w:val="22"/>
        </w:rPr>
        <w:t>Baillonella toxisperma</w:t>
      </w:r>
      <w:r>
        <w:rPr>
          <w:sz w:val="22"/>
        </w:rPr>
        <w:t>, 34 %). La distribution des fréquences présente une rupture nette entre le cinquième produit (Moabi, 34 %) et le sixième (Tondo, 22 %), qui justifie statistiquement la sélection des cinq majeurs. Les intervalles de confiance larges des PFNL rares (Bitter cola, Piment des oiseaux : une seule citation) rappellent qu'aucune conclusion ne peut être tirée sur leur importance réelle à l'échelle de l'arrondissement.</w:t>
      </w:r>
    </w:p>
    <w:p>
      <w:pPr>
        <w:keepNext/>
        <w:spacing w:before="180" w:after="80"/>
      </w:pPr>
      <w:r>
        <w:rPr>
          <w:rFonts w:ascii="Calibri" w:hAnsi="Calibri"/>
          <w:b/>
          <w:color w:val="0A8A75"/>
          <w:sz w:val="24"/>
        </w:rPr>
        <w:t>3.3.3 Le panier de PFNL des ménages</w:t>
      </w:r>
    </w:p>
    <w:p>
      <w:pPr>
        <w:jc w:val="center"/>
      </w:pPr>
      <w:r>
        <w:drawing>
          <wp:inline xmlns:a="http://schemas.openxmlformats.org/drawingml/2006/main" xmlns:pic="http://schemas.openxmlformats.org/drawingml/2006/picture">
            <wp:extent cx="4680000" cy="3340912"/>
            <wp:docPr id="11" name="Picture 11"/>
            <wp:cNvGraphicFramePr>
              <a:graphicFrameLocks noChangeAspect="1"/>
            </wp:cNvGraphicFramePr>
            <a:graphic>
              <a:graphicData uri="http://schemas.openxmlformats.org/drawingml/2006/picture">
                <pic:pic>
                  <pic:nvPicPr>
                    <pic:cNvPr id="0" name="fig02_nb_pfnl_hist.png"/>
                    <pic:cNvPicPr/>
                  </pic:nvPicPr>
                  <pic:blipFill>
                    <a:blip r:embed="rId19"/>
                    <a:stretch>
                      <a:fillRect/>
                    </a:stretch>
                  </pic:blipFill>
                  <pic:spPr>
                    <a:xfrm>
                      <a:off x="0" y="0"/>
                      <a:ext cx="4680000" cy="3340912"/>
                    </a:xfrm>
                    <a:prstGeom prst="rect"/>
                  </pic:spPr>
                </pic:pic>
              </a:graphicData>
            </a:graphic>
          </wp:inline>
        </w:drawing>
      </w:r>
    </w:p>
    <w:p>
      <w:pPr>
        <w:spacing w:before="40"/>
        <w:jc w:val="center"/>
      </w:pPr>
      <w:r>
        <w:rPr>
          <w:rFonts w:ascii="Calibri" w:hAnsi="Calibri"/>
          <w:i/>
          <w:color w:val="64748B"/>
          <w:sz w:val="18"/>
        </w:rPr>
        <w:t>Figure 8. Distribution du nombre de PFNL collectés par ménage.</w:t>
      </w:r>
    </w:p>
    <w:p>
      <w:pPr>
        <w:jc w:val="both"/>
      </w:pPr>
      <w:r>
        <w:rPr>
          <w:sz w:val="22"/>
        </w:rPr>
        <w:t xml:space="preserve">Chaque ménage collecte en moyenne </w:t>
      </w:r>
      <w:r>
        <w:rPr>
          <w:b/>
          <w:sz w:val="22"/>
        </w:rPr>
        <w:t>3,44 ± 1,69 PFNL distincts</w:t>
      </w:r>
      <w:r>
        <w:rPr>
          <w:sz w:val="22"/>
        </w:rPr>
        <w:t xml:space="preserve"> (médiane = 3 ; étendue de 1 à 9). Cette diversification modérée traduit une </w:t>
      </w:r>
      <w:r>
        <w:rPr>
          <w:b/>
          <w:sz w:val="22"/>
        </w:rPr>
        <w:t>stratégie de sécurisation</w:t>
      </w:r>
      <w:r>
        <w:rPr>
          <w:sz w:val="22"/>
        </w:rPr>
        <w:t xml:space="preserve"> des revenus par la multiplication des sources, face à la saisonnalité et à l'incertitude de la fructification des espèces forestières.</w:t>
      </w:r>
    </w:p>
    <w:p>
      <w:pPr>
        <w:keepNext/>
        <w:spacing w:before="160" w:after="40"/>
      </w:pPr>
      <w:r>
        <w:rPr>
          <w:rFonts w:ascii="Calibri" w:hAnsi="Calibri"/>
          <w:b/>
          <w:color w:val="0A1628"/>
          <w:sz w:val="19"/>
        </w:rPr>
        <w:t>Tableau 8. Nombre moyen de PFNL collectés selon le GIC d'appartenance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GIC</w:t>
            </w:r>
          </w:p>
        </w:tc>
        <w:tc>
          <w:tcPr>
            <w:tcW w:type="dxa" w:w="3211"/>
            <w:shd w:val="clear" w:fill="0A1628"/>
          </w:tcPr>
          <w:p>
            <w:pPr>
              <w:jc w:val="center"/>
            </w:pPr>
            <w:r>
              <w:rPr>
                <w:rFonts w:ascii="Calibri" w:hAnsi="Calibri"/>
                <w:b/>
                <w:color w:val="FFFFFF"/>
                <w:sz w:val="17"/>
              </w:rPr>
              <w:t>n ménages</w:t>
            </w:r>
          </w:p>
        </w:tc>
        <w:tc>
          <w:tcPr>
            <w:tcW w:type="dxa" w:w="3211"/>
            <w:shd w:val="clear" w:fill="0A1628"/>
          </w:tcPr>
          <w:p>
            <w:pPr>
              <w:jc w:val="center"/>
            </w:pPr>
            <w:r>
              <w:rPr>
                <w:rFonts w:ascii="Calibri" w:hAnsi="Calibri"/>
                <w:b/>
                <w:color w:val="FFFFFF"/>
                <w:sz w:val="17"/>
              </w:rPr>
              <w:t>Nb PFNL moyen (± é.-t.)</w:t>
            </w:r>
          </w:p>
        </w:tc>
      </w:tr>
      <w:tr>
        <w:tc>
          <w:tcPr>
            <w:tcW w:type="dxa" w:w="3211"/>
          </w:tcPr>
          <w:p>
            <w:pPr>
              <w:jc w:val="left"/>
            </w:pPr>
            <w:r>
              <w:rPr>
                <w:rFonts w:ascii="Calibri" w:hAnsi="Calibri"/>
                <w:sz w:val="16"/>
              </w:rPr>
              <w:t>Lumière plus</w:t>
            </w:r>
          </w:p>
        </w:tc>
        <w:tc>
          <w:tcPr>
            <w:tcW w:type="dxa" w:w="3211"/>
          </w:tcPr>
          <w:p>
            <w:pPr>
              <w:jc w:val="right"/>
            </w:pPr>
            <w:r>
              <w:rPr>
                <w:rFonts w:ascii="Calibri" w:hAnsi="Calibri"/>
                <w:sz w:val="16"/>
              </w:rPr>
              <w:t>20</w:t>
            </w:r>
          </w:p>
        </w:tc>
        <w:tc>
          <w:tcPr>
            <w:tcW w:type="dxa" w:w="3211"/>
          </w:tcPr>
          <w:p>
            <w:pPr>
              <w:jc w:val="right"/>
            </w:pPr>
            <w:r>
              <w:rPr>
                <w:rFonts w:ascii="Calibri" w:hAnsi="Calibri"/>
                <w:sz w:val="16"/>
              </w:rPr>
              <w:t>4,25 ± 1,80</w:t>
            </w:r>
          </w:p>
        </w:tc>
      </w:tr>
      <w:tr>
        <w:tc>
          <w:tcPr>
            <w:tcW w:type="dxa" w:w="3211"/>
            <w:shd w:val="clear" w:fill="F1F5F9"/>
          </w:tcPr>
          <w:p>
            <w:pPr>
              <w:jc w:val="left"/>
            </w:pPr>
            <w:r>
              <w:rPr>
                <w:rFonts w:ascii="Calibri" w:hAnsi="Calibri"/>
                <w:sz w:val="16"/>
              </w:rPr>
              <w:t>PLACKO</w:t>
            </w:r>
          </w:p>
        </w:tc>
        <w:tc>
          <w:tcPr>
            <w:tcW w:type="dxa" w:w="3211"/>
            <w:shd w:val="clear" w:fill="F1F5F9"/>
          </w:tcPr>
          <w:p>
            <w:pPr>
              <w:jc w:val="right"/>
            </w:pPr>
            <w:r>
              <w:rPr>
                <w:rFonts w:ascii="Calibri" w:hAnsi="Calibri"/>
                <w:sz w:val="16"/>
              </w:rPr>
              <w:t>7</w:t>
            </w:r>
          </w:p>
        </w:tc>
        <w:tc>
          <w:tcPr>
            <w:tcW w:type="dxa" w:w="3211"/>
            <w:shd w:val="clear" w:fill="F1F5F9"/>
          </w:tcPr>
          <w:p>
            <w:pPr>
              <w:jc w:val="right"/>
            </w:pPr>
            <w:r>
              <w:rPr>
                <w:rFonts w:ascii="Calibri" w:hAnsi="Calibri"/>
                <w:sz w:val="16"/>
              </w:rPr>
              <w:t>4,00 ± 1,41</w:t>
            </w:r>
          </w:p>
        </w:tc>
      </w:tr>
      <w:tr>
        <w:tc>
          <w:tcPr>
            <w:tcW w:type="dxa" w:w="3211"/>
          </w:tcPr>
          <w:p>
            <w:pPr>
              <w:jc w:val="left"/>
            </w:pPr>
            <w:r>
              <w:rPr>
                <w:rFonts w:ascii="Calibri" w:hAnsi="Calibri"/>
                <w:sz w:val="16"/>
              </w:rPr>
              <w:t>Femmes Dynamiques</w:t>
            </w:r>
          </w:p>
        </w:tc>
        <w:tc>
          <w:tcPr>
            <w:tcW w:type="dxa" w:w="3211"/>
          </w:tcPr>
          <w:p>
            <w:pPr>
              <w:jc w:val="right"/>
            </w:pPr>
            <w:r>
              <w:rPr>
                <w:rFonts w:ascii="Calibri" w:hAnsi="Calibri"/>
                <w:sz w:val="16"/>
              </w:rPr>
              <w:t>6</w:t>
            </w:r>
          </w:p>
        </w:tc>
        <w:tc>
          <w:tcPr>
            <w:tcW w:type="dxa" w:w="3211"/>
          </w:tcPr>
          <w:p>
            <w:pPr>
              <w:jc w:val="right"/>
            </w:pPr>
            <w:r>
              <w:rPr>
                <w:rFonts w:ascii="Calibri" w:hAnsi="Calibri"/>
                <w:sz w:val="16"/>
              </w:rPr>
              <w:t>3,17 ± 0,75</w:t>
            </w:r>
          </w:p>
        </w:tc>
      </w:tr>
      <w:tr>
        <w:tc>
          <w:tcPr>
            <w:tcW w:type="dxa" w:w="3211"/>
            <w:shd w:val="clear" w:fill="F1F5F9"/>
          </w:tcPr>
          <w:p>
            <w:pPr>
              <w:jc w:val="left"/>
            </w:pPr>
            <w:r>
              <w:rPr>
                <w:rFonts w:ascii="Calibri" w:hAnsi="Calibri"/>
                <w:sz w:val="16"/>
              </w:rPr>
              <w:t>Mpoulah Mepeh</w:t>
            </w:r>
          </w:p>
        </w:tc>
        <w:tc>
          <w:tcPr>
            <w:tcW w:type="dxa" w:w="3211"/>
            <w:shd w:val="clear" w:fill="F1F5F9"/>
          </w:tcPr>
          <w:p>
            <w:pPr>
              <w:jc w:val="right"/>
            </w:pPr>
            <w:r>
              <w:rPr>
                <w:rFonts w:ascii="Calibri" w:hAnsi="Calibri"/>
                <w:sz w:val="16"/>
              </w:rPr>
              <w:t>17</w:t>
            </w:r>
          </w:p>
        </w:tc>
        <w:tc>
          <w:tcPr>
            <w:tcW w:type="dxa" w:w="3211"/>
            <w:shd w:val="clear" w:fill="F1F5F9"/>
          </w:tcPr>
          <w:p>
            <w:pPr>
              <w:jc w:val="right"/>
            </w:pPr>
            <w:r>
              <w:rPr>
                <w:rFonts w:ascii="Calibri" w:hAnsi="Calibri"/>
                <w:sz w:val="16"/>
              </w:rPr>
              <w:t>2,35 ± 1,32</w:t>
            </w:r>
          </w:p>
        </w:tc>
      </w:tr>
    </w:tbl>
    <w:p>
      <w:pPr>
        <w:jc w:val="both"/>
      </w:pPr>
      <w:r>
        <w:rPr>
          <w:sz w:val="22"/>
        </w:rPr>
        <w:t xml:space="preserve">Les ménages du GIC </w:t>
      </w:r>
      <w:r>
        <w:rPr>
          <w:b/>
          <w:sz w:val="22"/>
        </w:rPr>
        <w:t>Lumière Plus</w:t>
      </w:r>
      <w:r>
        <w:rPr>
          <w:sz w:val="22"/>
        </w:rPr>
        <w:t xml:space="preserve"> (4,25 PFNL) et du GIC </w:t>
      </w:r>
      <w:r>
        <w:rPr>
          <w:b/>
          <w:sz w:val="22"/>
        </w:rPr>
        <w:t>PLACKO</w:t>
      </w:r>
      <w:r>
        <w:rPr>
          <w:sz w:val="22"/>
        </w:rPr>
        <w:t xml:space="preserve"> (4,00), tous deux implantés à Kongo et étroitement liés à la cacaoculture, diversifient le plus leur collecte, tandis que le GIC </w:t>
      </w:r>
      <w:r>
        <w:rPr>
          <w:b/>
          <w:sz w:val="22"/>
        </w:rPr>
        <w:t>Mpoulah Mepeh</w:t>
      </w:r>
      <w:r>
        <w:rPr>
          <w:sz w:val="22"/>
        </w:rPr>
        <w:t xml:space="preserve"> de Zoulabot I présente le panier le plus restreint (2,35). Cette variation traduit des différences d'accès à la ressource et d'insertion dans les circuits de commercialisation selon la localité.</w:t>
      </w:r>
    </w:p>
    <w:p>
      <w:pPr>
        <w:keepNext/>
        <w:spacing w:before="180" w:after="80"/>
      </w:pPr>
      <w:r>
        <w:rPr>
          <w:rFonts w:ascii="Calibri" w:hAnsi="Calibri"/>
          <w:b/>
          <w:color w:val="0A8A75"/>
          <w:sz w:val="24"/>
        </w:rPr>
        <w:t>3.3.4 Organisation, lieux et zones de collecte</w:t>
      </w:r>
    </w:p>
    <w:p>
      <w:pPr>
        <w:jc w:val="center"/>
      </w:pPr>
      <w:r>
        <w:drawing>
          <wp:inline xmlns:a="http://schemas.openxmlformats.org/drawingml/2006/main" xmlns:pic="http://schemas.openxmlformats.org/drawingml/2006/picture">
            <wp:extent cx="5580000" cy="2814888"/>
            <wp:docPr id="12" name="Picture 12"/>
            <wp:cNvGraphicFramePr>
              <a:graphicFrameLocks noChangeAspect="1"/>
            </wp:cNvGraphicFramePr>
            <a:graphic>
              <a:graphicData uri="http://schemas.openxmlformats.org/drawingml/2006/picture">
                <pic:pic>
                  <pic:nvPicPr>
                    <pic:cNvPr id="0" name="fig03_organisation.png"/>
                    <pic:cNvPicPr/>
                  </pic:nvPicPr>
                  <pic:blipFill>
                    <a:blip r:embed="rId20"/>
                    <a:stretch>
                      <a:fillRect/>
                    </a:stretch>
                  </pic:blipFill>
                  <pic:spPr>
                    <a:xfrm>
                      <a:off x="0" y="0"/>
                      <a:ext cx="5580000" cy="2814888"/>
                    </a:xfrm>
                    <a:prstGeom prst="rect"/>
                  </pic:spPr>
                </pic:pic>
              </a:graphicData>
            </a:graphic>
          </wp:inline>
        </w:drawing>
      </w:r>
    </w:p>
    <w:p>
      <w:pPr>
        <w:spacing w:before="40"/>
        <w:jc w:val="center"/>
      </w:pPr>
      <w:r>
        <w:rPr>
          <w:rFonts w:ascii="Calibri" w:hAnsi="Calibri"/>
          <w:i/>
          <w:color w:val="64748B"/>
          <w:sz w:val="18"/>
        </w:rPr>
        <w:t>Figure 9. Organisation de la collecte des PFNL.</w:t>
      </w:r>
    </w:p>
    <w:p>
      <w:pPr>
        <w:keepNext/>
        <w:spacing w:before="160" w:after="40"/>
      </w:pPr>
      <w:r>
        <w:rPr>
          <w:rFonts w:ascii="Calibri" w:hAnsi="Calibri"/>
          <w:b/>
          <w:color w:val="0A1628"/>
          <w:sz w:val="19"/>
        </w:rPr>
        <w:t>Tableau 9. Organisation de la collecte des PFNL (n = 50)</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val="clear" w:fill="0A1628"/>
          </w:tcPr>
          <w:p>
            <w:pPr>
              <w:jc w:val="center"/>
            </w:pPr>
            <w:r>
              <w:rPr>
                <w:rFonts w:ascii="Calibri" w:hAnsi="Calibri"/>
                <w:b/>
                <w:color w:val="FFFFFF"/>
                <w:sz w:val="17"/>
              </w:rPr>
              <w:t>Dimension</w:t>
            </w:r>
          </w:p>
        </w:tc>
        <w:tc>
          <w:tcPr>
            <w:tcW w:type="dxa" w:w="2408"/>
            <w:shd w:val="clear" w:fill="0A1628"/>
          </w:tcPr>
          <w:p>
            <w:pPr>
              <w:jc w:val="center"/>
            </w:pPr>
            <w:r>
              <w:rPr>
                <w:rFonts w:ascii="Calibri" w:hAnsi="Calibri"/>
                <w:b/>
                <w:color w:val="FFFFFF"/>
                <w:sz w:val="17"/>
              </w:rPr>
              <w:t>Modalité</w:t>
            </w:r>
          </w:p>
        </w:tc>
        <w:tc>
          <w:tcPr>
            <w:tcW w:type="dxa" w:w="2408"/>
            <w:shd w:val="clear" w:fill="0A1628"/>
          </w:tcPr>
          <w:p>
            <w:pPr>
              <w:jc w:val="center"/>
            </w:pPr>
            <w:r>
              <w:rPr>
                <w:rFonts w:ascii="Calibri" w:hAnsi="Calibri"/>
                <w:b/>
                <w:color w:val="FFFFFF"/>
                <w:sz w:val="17"/>
              </w:rPr>
              <w:t>Effectif</w:t>
            </w:r>
          </w:p>
        </w:tc>
        <w:tc>
          <w:tcPr>
            <w:tcW w:type="dxa" w:w="2408"/>
            <w:shd w:val="clear" w:fill="0A1628"/>
          </w:tcPr>
          <w:p>
            <w:pPr>
              <w:jc w:val="center"/>
            </w:pPr>
            <w:r>
              <w:rPr>
                <w:rFonts w:ascii="Calibri" w:hAnsi="Calibri"/>
                <w:b/>
                <w:color w:val="FFFFFF"/>
                <w:sz w:val="17"/>
              </w:rPr>
              <w:t>%</w:t>
            </w:r>
          </w:p>
        </w:tc>
      </w:tr>
      <w:tr>
        <w:tc>
          <w:tcPr>
            <w:tcW w:type="dxa" w:w="2408"/>
          </w:tcPr>
          <w:p>
            <w:pPr>
              <w:jc w:val="left"/>
            </w:pPr>
            <w:r>
              <w:rPr>
                <w:rFonts w:ascii="Calibri" w:hAnsi="Calibri"/>
                <w:sz w:val="16"/>
              </w:rPr>
              <w:t>Méthode</w:t>
            </w:r>
          </w:p>
        </w:tc>
        <w:tc>
          <w:tcPr>
            <w:tcW w:type="dxa" w:w="2408"/>
          </w:tcPr>
          <w:p>
            <w:pPr>
              <w:jc w:val="left"/>
            </w:pPr>
            <w:r>
              <w:rPr>
                <w:rFonts w:ascii="Calibri" w:hAnsi="Calibri"/>
                <w:sz w:val="16"/>
              </w:rPr>
              <w:t>Ramassage seul</w:t>
            </w:r>
          </w:p>
        </w:tc>
        <w:tc>
          <w:tcPr>
            <w:tcW w:type="dxa" w:w="2408"/>
          </w:tcPr>
          <w:p>
            <w:pPr>
              <w:jc w:val="right"/>
            </w:pPr>
            <w:r>
              <w:rPr>
                <w:rFonts w:ascii="Calibri" w:hAnsi="Calibri"/>
                <w:sz w:val="16"/>
              </w:rPr>
              <w:t>33</w:t>
            </w:r>
          </w:p>
        </w:tc>
        <w:tc>
          <w:tcPr>
            <w:tcW w:type="dxa" w:w="2408"/>
          </w:tcPr>
          <w:p>
            <w:pPr>
              <w:jc w:val="right"/>
            </w:pPr>
            <w:r>
              <w:rPr>
                <w:rFonts w:ascii="Calibri" w:hAnsi="Calibri"/>
                <w:sz w:val="16"/>
              </w:rPr>
              <w:t>66,0</w:t>
            </w:r>
          </w:p>
        </w:tc>
      </w:tr>
      <w:tr>
        <w:tc>
          <w:tcPr>
            <w:tcW w:type="dxa" w:w="2408"/>
            <w:shd w:val="clear" w:fill="F1F5F9"/>
          </w:tcPr>
          <w:p>
            <w:pPr>
              <w:jc w:val="left"/>
            </w:pPr>
            <w:r>
              <w:rPr>
                <w:rFonts w:ascii="Calibri" w:hAnsi="Calibri"/>
                <w:sz w:val="16"/>
              </w:rPr>
              <w:t>Méthode</w:t>
            </w:r>
          </w:p>
        </w:tc>
        <w:tc>
          <w:tcPr>
            <w:tcW w:type="dxa" w:w="2408"/>
            <w:shd w:val="clear" w:fill="F1F5F9"/>
          </w:tcPr>
          <w:p>
            <w:pPr>
              <w:jc w:val="left"/>
            </w:pPr>
            <w:r>
              <w:rPr>
                <w:rFonts w:ascii="Calibri" w:hAnsi="Calibri"/>
                <w:sz w:val="16"/>
              </w:rPr>
              <w:t>Ramassage + achat</w:t>
            </w:r>
          </w:p>
        </w:tc>
        <w:tc>
          <w:tcPr>
            <w:tcW w:type="dxa" w:w="2408"/>
            <w:shd w:val="clear" w:fill="F1F5F9"/>
          </w:tcPr>
          <w:p>
            <w:pPr>
              <w:jc w:val="right"/>
            </w:pPr>
            <w:r>
              <w:rPr>
                <w:rFonts w:ascii="Calibri" w:hAnsi="Calibri"/>
                <w:sz w:val="16"/>
              </w:rPr>
              <w:t>16</w:t>
            </w:r>
          </w:p>
        </w:tc>
        <w:tc>
          <w:tcPr>
            <w:tcW w:type="dxa" w:w="2408"/>
            <w:shd w:val="clear" w:fill="F1F5F9"/>
          </w:tcPr>
          <w:p>
            <w:pPr>
              <w:jc w:val="right"/>
            </w:pPr>
            <w:r>
              <w:rPr>
                <w:rFonts w:ascii="Calibri" w:hAnsi="Calibri"/>
                <w:sz w:val="16"/>
              </w:rPr>
              <w:t>32,0</w:t>
            </w:r>
          </w:p>
        </w:tc>
      </w:tr>
      <w:tr>
        <w:tc>
          <w:tcPr>
            <w:tcW w:type="dxa" w:w="2408"/>
          </w:tcPr>
          <w:p>
            <w:pPr>
              <w:jc w:val="left"/>
            </w:pPr>
            <w:r>
              <w:rPr>
                <w:rFonts w:ascii="Calibri" w:hAnsi="Calibri"/>
                <w:sz w:val="16"/>
              </w:rPr>
              <w:t>Méthode</w:t>
            </w:r>
          </w:p>
        </w:tc>
        <w:tc>
          <w:tcPr>
            <w:tcW w:type="dxa" w:w="2408"/>
          </w:tcPr>
          <w:p>
            <w:pPr>
              <w:jc w:val="left"/>
            </w:pPr>
            <w:r>
              <w:rPr>
                <w:rFonts w:ascii="Calibri" w:hAnsi="Calibri"/>
                <w:sz w:val="16"/>
              </w:rPr>
              <w:t>Achat seul</w:t>
            </w:r>
          </w:p>
        </w:tc>
        <w:tc>
          <w:tcPr>
            <w:tcW w:type="dxa" w:w="2408"/>
          </w:tcPr>
          <w:p>
            <w:pPr>
              <w:jc w:val="right"/>
            </w:pPr>
            <w:r>
              <w:rPr>
                <w:rFonts w:ascii="Calibri" w:hAnsi="Calibri"/>
                <w:sz w:val="16"/>
              </w:rPr>
              <w:t>1</w:t>
            </w:r>
          </w:p>
        </w:tc>
        <w:tc>
          <w:tcPr>
            <w:tcW w:type="dxa" w:w="2408"/>
          </w:tcPr>
          <w:p>
            <w:pPr>
              <w:jc w:val="right"/>
            </w:pPr>
            <w:r>
              <w:rPr>
                <w:rFonts w:ascii="Calibri" w:hAnsi="Calibri"/>
                <w:sz w:val="16"/>
              </w:rPr>
              <w:t>2,0</w:t>
            </w:r>
          </w:p>
        </w:tc>
      </w:tr>
      <w:tr>
        <w:tc>
          <w:tcPr>
            <w:tcW w:type="dxa" w:w="2408"/>
            <w:shd w:val="clear" w:fill="F1F5F9"/>
          </w:tcPr>
          <w:p>
            <w:pPr>
              <w:jc w:val="left"/>
            </w:pPr>
            <w:r>
              <w:rPr>
                <w:rFonts w:ascii="Calibri" w:hAnsi="Calibri"/>
                <w:sz w:val="16"/>
              </w:rPr>
              <w:t>Type</w:t>
            </w:r>
          </w:p>
        </w:tc>
        <w:tc>
          <w:tcPr>
            <w:tcW w:type="dxa" w:w="2408"/>
            <w:shd w:val="clear" w:fill="F1F5F9"/>
          </w:tcPr>
          <w:p>
            <w:pPr>
              <w:jc w:val="left"/>
            </w:pPr>
            <w:r>
              <w:rPr>
                <w:rFonts w:ascii="Calibri" w:hAnsi="Calibri"/>
                <w:sz w:val="16"/>
              </w:rPr>
              <w:t>Collecte en famille</w:t>
            </w:r>
          </w:p>
        </w:tc>
        <w:tc>
          <w:tcPr>
            <w:tcW w:type="dxa" w:w="2408"/>
            <w:shd w:val="clear" w:fill="F1F5F9"/>
          </w:tcPr>
          <w:p>
            <w:pPr>
              <w:jc w:val="right"/>
            </w:pPr>
            <w:r>
              <w:rPr>
                <w:rFonts w:ascii="Calibri" w:hAnsi="Calibri"/>
                <w:sz w:val="16"/>
              </w:rPr>
              <w:t>43</w:t>
            </w:r>
          </w:p>
        </w:tc>
        <w:tc>
          <w:tcPr>
            <w:tcW w:type="dxa" w:w="2408"/>
            <w:shd w:val="clear" w:fill="F1F5F9"/>
          </w:tcPr>
          <w:p>
            <w:pPr>
              <w:jc w:val="right"/>
            </w:pPr>
            <w:r>
              <w:rPr>
                <w:rFonts w:ascii="Calibri" w:hAnsi="Calibri"/>
                <w:sz w:val="16"/>
              </w:rPr>
              <w:t>86,0</w:t>
            </w:r>
          </w:p>
        </w:tc>
      </w:tr>
      <w:tr>
        <w:tc>
          <w:tcPr>
            <w:tcW w:type="dxa" w:w="2408"/>
          </w:tcPr>
          <w:p>
            <w:pPr>
              <w:jc w:val="left"/>
            </w:pPr>
            <w:r>
              <w:rPr>
                <w:rFonts w:ascii="Calibri" w:hAnsi="Calibri"/>
                <w:sz w:val="16"/>
              </w:rPr>
              <w:t>Type</w:t>
            </w:r>
          </w:p>
        </w:tc>
        <w:tc>
          <w:tcPr>
            <w:tcW w:type="dxa" w:w="2408"/>
          </w:tcPr>
          <w:p>
            <w:pPr>
              <w:jc w:val="left"/>
            </w:pPr>
            <w:r>
              <w:rPr>
                <w:rFonts w:ascii="Calibri" w:hAnsi="Calibri"/>
                <w:sz w:val="16"/>
              </w:rPr>
              <w:t>Collecte individuelle</w:t>
            </w:r>
          </w:p>
        </w:tc>
        <w:tc>
          <w:tcPr>
            <w:tcW w:type="dxa" w:w="2408"/>
          </w:tcPr>
          <w:p>
            <w:pPr>
              <w:jc w:val="right"/>
            </w:pPr>
            <w:r>
              <w:rPr>
                <w:rFonts w:ascii="Calibri" w:hAnsi="Calibri"/>
                <w:sz w:val="16"/>
              </w:rPr>
              <w:t>7</w:t>
            </w:r>
          </w:p>
        </w:tc>
        <w:tc>
          <w:tcPr>
            <w:tcW w:type="dxa" w:w="2408"/>
          </w:tcPr>
          <w:p>
            <w:pPr>
              <w:jc w:val="right"/>
            </w:pPr>
            <w:r>
              <w:rPr>
                <w:rFonts w:ascii="Calibri" w:hAnsi="Calibri"/>
                <w:sz w:val="16"/>
              </w:rPr>
              <w:t>14,0</w:t>
            </w:r>
          </w:p>
        </w:tc>
      </w:tr>
      <w:tr>
        <w:tc>
          <w:tcPr>
            <w:tcW w:type="dxa" w:w="2408"/>
            <w:shd w:val="clear" w:fill="F1F5F9"/>
          </w:tcPr>
          <w:p>
            <w:pPr>
              <w:jc w:val="left"/>
            </w:pPr>
            <w:r>
              <w:rPr>
                <w:rFonts w:ascii="Calibri" w:hAnsi="Calibri"/>
                <w:sz w:val="16"/>
              </w:rPr>
              <w:t>Main-d'œuvre ext.</w:t>
            </w:r>
          </w:p>
        </w:tc>
        <w:tc>
          <w:tcPr>
            <w:tcW w:type="dxa" w:w="2408"/>
            <w:shd w:val="clear" w:fill="F1F5F9"/>
          </w:tcPr>
          <w:p>
            <w:pPr>
              <w:jc w:val="left"/>
            </w:pPr>
            <w:r>
              <w:rPr>
                <w:rFonts w:ascii="Calibri" w:hAnsi="Calibri"/>
                <w:sz w:val="16"/>
              </w:rPr>
              <w:t>Non</w:t>
            </w:r>
          </w:p>
        </w:tc>
        <w:tc>
          <w:tcPr>
            <w:tcW w:type="dxa" w:w="2408"/>
            <w:shd w:val="clear" w:fill="F1F5F9"/>
          </w:tcPr>
          <w:p>
            <w:pPr>
              <w:jc w:val="right"/>
            </w:pPr>
            <w:r>
              <w:rPr>
                <w:rFonts w:ascii="Calibri" w:hAnsi="Calibri"/>
                <w:sz w:val="16"/>
              </w:rPr>
              <w:t>35</w:t>
            </w:r>
          </w:p>
        </w:tc>
        <w:tc>
          <w:tcPr>
            <w:tcW w:type="dxa" w:w="2408"/>
            <w:shd w:val="clear" w:fill="F1F5F9"/>
          </w:tcPr>
          <w:p>
            <w:pPr>
              <w:jc w:val="right"/>
            </w:pPr>
            <w:r>
              <w:rPr>
                <w:rFonts w:ascii="Calibri" w:hAnsi="Calibri"/>
                <w:sz w:val="16"/>
              </w:rPr>
              <w:t>70,0</w:t>
            </w:r>
          </w:p>
        </w:tc>
      </w:tr>
      <w:tr>
        <w:tc>
          <w:tcPr>
            <w:tcW w:type="dxa" w:w="2408"/>
          </w:tcPr>
          <w:p>
            <w:pPr>
              <w:jc w:val="left"/>
            </w:pPr>
            <w:r>
              <w:rPr>
                <w:rFonts w:ascii="Calibri" w:hAnsi="Calibri"/>
                <w:sz w:val="16"/>
              </w:rPr>
              <w:t>Main-d'œuvre ext.</w:t>
            </w:r>
          </w:p>
        </w:tc>
        <w:tc>
          <w:tcPr>
            <w:tcW w:type="dxa" w:w="2408"/>
          </w:tcPr>
          <w:p>
            <w:pPr>
              <w:jc w:val="left"/>
            </w:pPr>
            <w:r>
              <w:rPr>
                <w:rFonts w:ascii="Calibri" w:hAnsi="Calibri"/>
                <w:sz w:val="16"/>
              </w:rPr>
              <w:t>Oui</w:t>
            </w:r>
          </w:p>
        </w:tc>
        <w:tc>
          <w:tcPr>
            <w:tcW w:type="dxa" w:w="2408"/>
          </w:tcPr>
          <w:p>
            <w:pPr>
              <w:jc w:val="right"/>
            </w:pPr>
            <w:r>
              <w:rPr>
                <w:rFonts w:ascii="Calibri" w:hAnsi="Calibri"/>
                <w:sz w:val="16"/>
              </w:rPr>
              <w:t>14</w:t>
            </w:r>
          </w:p>
        </w:tc>
        <w:tc>
          <w:tcPr>
            <w:tcW w:type="dxa" w:w="2408"/>
          </w:tcPr>
          <w:p>
            <w:pPr>
              <w:jc w:val="right"/>
            </w:pPr>
            <w:r>
              <w:rPr>
                <w:rFonts w:ascii="Calibri" w:hAnsi="Calibri"/>
                <w:sz w:val="16"/>
              </w:rPr>
              <w:t>28,0</w:t>
            </w:r>
          </w:p>
        </w:tc>
      </w:tr>
      <w:tr>
        <w:tc>
          <w:tcPr>
            <w:tcW w:type="dxa" w:w="2408"/>
            <w:shd w:val="clear" w:fill="F1F5F9"/>
          </w:tcPr>
          <w:p>
            <w:pPr>
              <w:jc w:val="left"/>
            </w:pPr>
            <w:r>
              <w:rPr>
                <w:rFonts w:ascii="Calibri" w:hAnsi="Calibri"/>
                <w:sz w:val="16"/>
              </w:rPr>
              <w:t>Main-d'œuvre ext.</w:t>
            </w:r>
          </w:p>
        </w:tc>
        <w:tc>
          <w:tcPr>
            <w:tcW w:type="dxa" w:w="2408"/>
            <w:shd w:val="clear" w:fill="F1F5F9"/>
          </w:tcPr>
          <w:p>
            <w:pPr>
              <w:jc w:val="left"/>
            </w:pPr>
            <w:r>
              <w:rPr>
                <w:rFonts w:ascii="Calibri" w:hAnsi="Calibri"/>
                <w:sz w:val="16"/>
              </w:rPr>
              <w:t>Non renseigné</w:t>
            </w:r>
          </w:p>
        </w:tc>
        <w:tc>
          <w:tcPr>
            <w:tcW w:type="dxa" w:w="2408"/>
            <w:shd w:val="clear" w:fill="F1F5F9"/>
          </w:tcPr>
          <w:p>
            <w:pPr>
              <w:jc w:val="right"/>
            </w:pPr>
            <w:r>
              <w:rPr>
                <w:rFonts w:ascii="Calibri" w:hAnsi="Calibri"/>
                <w:sz w:val="16"/>
              </w:rPr>
              <w:t>1</w:t>
            </w:r>
          </w:p>
        </w:tc>
        <w:tc>
          <w:tcPr>
            <w:tcW w:type="dxa" w:w="2408"/>
            <w:shd w:val="clear" w:fill="F1F5F9"/>
          </w:tcPr>
          <w:p>
            <w:pPr>
              <w:jc w:val="right"/>
            </w:pPr>
            <w:r>
              <w:rPr>
                <w:rFonts w:ascii="Calibri" w:hAnsi="Calibri"/>
                <w:sz w:val="16"/>
              </w:rPr>
              <w:t>2,0</w:t>
            </w:r>
          </w:p>
        </w:tc>
      </w:tr>
    </w:tbl>
    <w:p>
      <w:pPr>
        <w:keepNext/>
        <w:spacing w:before="160" w:after="40"/>
      </w:pPr>
      <w:r>
        <w:rPr>
          <w:rFonts w:ascii="Calibri" w:hAnsi="Calibri"/>
          <w:b/>
          <w:color w:val="0A1628"/>
          <w:sz w:val="19"/>
        </w:rPr>
        <w:t>Tableau 10. Lieux et zones de collecte des PFNL</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Lieu / zone de collecte</w:t>
            </w:r>
          </w:p>
        </w:tc>
        <w:tc>
          <w:tcPr>
            <w:tcW w:type="dxa" w:w="3211"/>
            <w:shd w:val="clear" w:fill="0A1628"/>
          </w:tcPr>
          <w:p>
            <w:pPr>
              <w:jc w:val="center"/>
            </w:pPr>
            <w:r>
              <w:rPr>
                <w:rFonts w:ascii="Calibri" w:hAnsi="Calibri"/>
                <w:b/>
                <w:color w:val="FFFFFF"/>
                <w:sz w:val="17"/>
              </w:rPr>
              <w:t>Effectif / mentions</w:t>
            </w:r>
          </w:p>
        </w:tc>
        <w:tc>
          <w:tcPr>
            <w:tcW w:type="dxa" w:w="3211"/>
            <w:shd w:val="clear" w:fill="0A1628"/>
          </w:tcPr>
          <w:p>
            <w:pPr>
              <w:jc w:val="center"/>
            </w:pPr>
            <w:r>
              <w:rPr>
                <w:rFonts w:ascii="Calibri" w:hAnsi="Calibri"/>
                <w:b/>
                <w:color w:val="FFFFFF"/>
                <w:sz w:val="17"/>
              </w:rPr>
              <w:t>% ménages</w:t>
            </w:r>
          </w:p>
        </w:tc>
      </w:tr>
      <w:tr>
        <w:tc>
          <w:tcPr>
            <w:tcW w:type="dxa" w:w="3211"/>
          </w:tcPr>
          <w:p>
            <w:pPr>
              <w:jc w:val="left"/>
            </w:pPr>
            <w:r>
              <w:rPr>
                <w:rFonts w:ascii="Calibri" w:hAnsi="Calibri"/>
                <w:sz w:val="16"/>
              </w:rPr>
              <w:t>Forêt</w:t>
            </w:r>
          </w:p>
        </w:tc>
        <w:tc>
          <w:tcPr>
            <w:tcW w:type="dxa" w:w="3211"/>
          </w:tcPr>
          <w:p>
            <w:pPr>
              <w:jc w:val="right"/>
            </w:pPr>
            <w:r>
              <w:rPr>
                <w:rFonts w:ascii="Calibri" w:hAnsi="Calibri"/>
                <w:sz w:val="16"/>
              </w:rPr>
              <w:t>22</w:t>
            </w:r>
          </w:p>
        </w:tc>
        <w:tc>
          <w:tcPr>
            <w:tcW w:type="dxa" w:w="3211"/>
          </w:tcPr>
          <w:p>
            <w:pPr>
              <w:jc w:val="right"/>
            </w:pPr>
            <w:r>
              <w:rPr>
                <w:rFonts w:ascii="Calibri" w:hAnsi="Calibri"/>
                <w:sz w:val="16"/>
              </w:rPr>
              <w:t>44,0</w:t>
            </w:r>
          </w:p>
        </w:tc>
      </w:tr>
      <w:tr>
        <w:tc>
          <w:tcPr>
            <w:tcW w:type="dxa" w:w="3211"/>
            <w:shd w:val="clear" w:fill="F1F5F9"/>
          </w:tcPr>
          <w:p>
            <w:pPr>
              <w:jc w:val="left"/>
            </w:pPr>
            <w:r>
              <w:rPr>
                <w:rFonts w:ascii="Calibri" w:hAnsi="Calibri"/>
                <w:sz w:val="16"/>
              </w:rPr>
              <w:t>Village et Forêt</w:t>
            </w:r>
          </w:p>
        </w:tc>
        <w:tc>
          <w:tcPr>
            <w:tcW w:type="dxa" w:w="3211"/>
            <w:shd w:val="clear" w:fill="F1F5F9"/>
          </w:tcPr>
          <w:p>
            <w:pPr>
              <w:jc w:val="right"/>
            </w:pPr>
            <w:r>
              <w:rPr>
                <w:rFonts w:ascii="Calibri" w:hAnsi="Calibri"/>
                <w:sz w:val="16"/>
              </w:rPr>
              <w:t>21</w:t>
            </w:r>
          </w:p>
        </w:tc>
        <w:tc>
          <w:tcPr>
            <w:tcW w:type="dxa" w:w="3211"/>
            <w:shd w:val="clear" w:fill="F1F5F9"/>
          </w:tcPr>
          <w:p>
            <w:pPr>
              <w:jc w:val="right"/>
            </w:pPr>
            <w:r>
              <w:rPr>
                <w:rFonts w:ascii="Calibri" w:hAnsi="Calibri"/>
                <w:sz w:val="16"/>
              </w:rPr>
              <w:t>42,0</w:t>
            </w:r>
          </w:p>
        </w:tc>
      </w:tr>
      <w:tr>
        <w:tc>
          <w:tcPr>
            <w:tcW w:type="dxa" w:w="3211"/>
          </w:tcPr>
          <w:p>
            <w:pPr>
              <w:jc w:val="left"/>
            </w:pPr>
            <w:r>
              <w:rPr>
                <w:rFonts w:ascii="Calibri" w:hAnsi="Calibri"/>
                <w:sz w:val="16"/>
              </w:rPr>
              <w:t>Village</w:t>
            </w:r>
          </w:p>
        </w:tc>
        <w:tc>
          <w:tcPr>
            <w:tcW w:type="dxa" w:w="3211"/>
          </w:tcPr>
          <w:p>
            <w:pPr>
              <w:jc w:val="right"/>
            </w:pPr>
            <w:r>
              <w:rPr>
                <w:rFonts w:ascii="Calibri" w:hAnsi="Calibri"/>
                <w:sz w:val="16"/>
              </w:rPr>
              <w:t>7</w:t>
            </w:r>
          </w:p>
        </w:tc>
        <w:tc>
          <w:tcPr>
            <w:tcW w:type="dxa" w:w="3211"/>
          </w:tcPr>
          <w:p>
            <w:pPr>
              <w:jc w:val="right"/>
            </w:pPr>
            <w:r>
              <w:rPr>
                <w:rFonts w:ascii="Calibri" w:hAnsi="Calibri"/>
                <w:sz w:val="16"/>
              </w:rPr>
              <w:t>14,0</w:t>
            </w:r>
          </w:p>
        </w:tc>
      </w:tr>
      <w:tr>
        <w:tc>
          <w:tcPr>
            <w:tcW w:type="dxa" w:w="3211"/>
            <w:shd w:val="clear" w:fill="F1F5F9"/>
          </w:tcPr>
          <w:p>
            <w:pPr>
              <w:jc w:val="left"/>
            </w:pPr>
            <w:r>
              <w:rPr>
                <w:rFonts w:ascii="Calibri" w:hAnsi="Calibri"/>
                <w:sz w:val="16"/>
              </w:rPr>
              <w:t>— dont zone : UFA</w:t>
            </w:r>
          </w:p>
        </w:tc>
        <w:tc>
          <w:tcPr>
            <w:tcW w:type="dxa" w:w="3211"/>
            <w:shd w:val="clear" w:fill="F1F5F9"/>
          </w:tcPr>
          <w:p>
            <w:pPr>
              <w:jc w:val="right"/>
            </w:pPr>
            <w:r>
              <w:rPr>
                <w:rFonts w:ascii="Calibri" w:hAnsi="Calibri"/>
                <w:sz w:val="16"/>
              </w:rPr>
              <w:t>25</w:t>
            </w:r>
          </w:p>
        </w:tc>
        <w:tc>
          <w:tcPr>
            <w:tcW w:type="dxa" w:w="3211"/>
            <w:shd w:val="clear" w:fill="F1F5F9"/>
          </w:tcPr>
          <w:p>
            <w:pPr>
              <w:jc w:val="right"/>
            </w:pPr>
            <w:r>
              <w:rPr>
                <w:rFonts w:ascii="Calibri" w:hAnsi="Calibri"/>
                <w:sz w:val="16"/>
              </w:rPr>
              <w:t>—</w:t>
            </w:r>
          </w:p>
        </w:tc>
      </w:tr>
      <w:tr>
        <w:tc>
          <w:tcPr>
            <w:tcW w:type="dxa" w:w="3211"/>
          </w:tcPr>
          <w:p>
            <w:pPr>
              <w:jc w:val="left"/>
            </w:pPr>
            <w:r>
              <w:rPr>
                <w:rFonts w:ascii="Calibri" w:hAnsi="Calibri"/>
                <w:sz w:val="16"/>
              </w:rPr>
              <w:t>— dont zone : Forêt non attribuée</w:t>
            </w:r>
          </w:p>
        </w:tc>
        <w:tc>
          <w:tcPr>
            <w:tcW w:type="dxa" w:w="3211"/>
          </w:tcPr>
          <w:p>
            <w:pPr>
              <w:jc w:val="right"/>
            </w:pPr>
            <w:r>
              <w:rPr>
                <w:rFonts w:ascii="Calibri" w:hAnsi="Calibri"/>
                <w:sz w:val="16"/>
              </w:rPr>
              <w:t>9</w:t>
            </w:r>
          </w:p>
        </w:tc>
        <w:tc>
          <w:tcPr>
            <w:tcW w:type="dxa" w:w="3211"/>
          </w:tcPr>
          <w:p>
            <w:pPr>
              <w:jc w:val="right"/>
            </w:pPr>
            <w:r>
              <w:rPr>
                <w:rFonts w:ascii="Calibri" w:hAnsi="Calibri"/>
                <w:sz w:val="16"/>
              </w:rPr>
              <w:t>—</w:t>
            </w:r>
          </w:p>
        </w:tc>
      </w:tr>
      <w:tr>
        <w:tc>
          <w:tcPr>
            <w:tcW w:type="dxa" w:w="3211"/>
            <w:shd w:val="clear" w:fill="F1F5F9"/>
          </w:tcPr>
          <w:p>
            <w:pPr>
              <w:jc w:val="left"/>
            </w:pPr>
            <w:r>
              <w:rPr>
                <w:rFonts w:ascii="Calibri" w:hAnsi="Calibri"/>
                <w:sz w:val="16"/>
              </w:rPr>
              <w:t>— dont zone : Forêt communautaire</w:t>
            </w:r>
          </w:p>
        </w:tc>
        <w:tc>
          <w:tcPr>
            <w:tcW w:type="dxa" w:w="3211"/>
            <w:shd w:val="clear" w:fill="F1F5F9"/>
          </w:tcPr>
          <w:p>
            <w:pPr>
              <w:jc w:val="right"/>
            </w:pPr>
            <w:r>
              <w:rPr>
                <w:rFonts w:ascii="Calibri" w:hAnsi="Calibri"/>
                <w:sz w:val="16"/>
              </w:rPr>
              <w:t>8</w:t>
            </w:r>
          </w:p>
        </w:tc>
        <w:tc>
          <w:tcPr>
            <w:tcW w:type="dxa" w:w="3211"/>
            <w:shd w:val="clear" w:fill="F1F5F9"/>
          </w:tcPr>
          <w:p>
            <w:pPr>
              <w:jc w:val="right"/>
            </w:pPr>
            <w:r>
              <w:rPr>
                <w:rFonts w:ascii="Calibri" w:hAnsi="Calibri"/>
                <w:sz w:val="16"/>
              </w:rPr>
              <w:t>—</w:t>
            </w:r>
          </w:p>
        </w:tc>
      </w:tr>
    </w:tbl>
    <w:p>
      <w:pPr>
        <w:jc w:val="both"/>
      </w:pPr>
      <w:r>
        <w:rPr>
          <w:sz w:val="22"/>
        </w:rPr>
        <w:t xml:space="preserve">Le </w:t>
      </w:r>
      <w:r>
        <w:rPr>
          <w:b/>
          <w:sz w:val="22"/>
        </w:rPr>
        <w:t>ramassage direct</w:t>
      </w:r>
      <w:r>
        <w:rPr>
          <w:sz w:val="22"/>
        </w:rPr>
        <w:t xml:space="preserve"> domine (98 % des ménages), 32 % le combinant avec l'achat auprès d'autres collecteurs. La collecte est très majoritairement </w:t>
      </w:r>
      <w:r>
        <w:rPr>
          <w:b/>
          <w:sz w:val="22"/>
        </w:rPr>
        <w:t>familiale</w:t>
      </w:r>
      <w:r>
        <w:rPr>
          <w:sz w:val="22"/>
        </w:rPr>
        <w:t xml:space="preserve"> (86,0 %), mobilisant l'ensemble des membres du ménage à l'exception des femmes enceintes et des enfants de moins de 10 ans. </w:t>
      </w:r>
      <w:r>
        <w:rPr>
          <w:b/>
          <w:sz w:val="22"/>
        </w:rPr>
        <w:t>28,0 % des ménages emploient une main-d'œuvre extérieure, exclusivement composée de Pygmées Baka</w:t>
      </w:r>
      <w:r>
        <w:rPr>
          <w:sz w:val="22"/>
        </w:rPr>
        <w:t xml:space="preserve"> — configuration socialement structurante analysée au §3.3.7. La collecte se déroule surtout </w:t>
      </w:r>
      <w:r>
        <w:rPr>
          <w:b/>
          <w:sz w:val="22"/>
        </w:rPr>
        <w:t>en forêt</w:t>
      </w:r>
      <w:r>
        <w:rPr>
          <w:sz w:val="22"/>
        </w:rPr>
        <w:t xml:space="preserve"> (86,0 % des ménages), principalement dans les </w:t>
      </w:r>
      <w:r>
        <w:rPr>
          <w:b/>
          <w:sz w:val="22"/>
        </w:rPr>
        <w:t>UFA</w:t>
      </w:r>
      <w:r>
        <w:rPr>
          <w:sz w:val="22"/>
        </w:rPr>
        <w:t xml:space="preserve"> (25 mentions : Pallisco, Dino et Fils, SEFECAM), les </w:t>
      </w:r>
      <w:r>
        <w:rPr>
          <w:b/>
          <w:sz w:val="22"/>
        </w:rPr>
        <w:t>forêts communautaires</w:t>
      </w:r>
      <w:r>
        <w:rPr>
          <w:sz w:val="22"/>
        </w:rPr>
        <w:t xml:space="preserve"> (Kongo, Malen-Eschambior : 8 mentions) et les </w:t>
      </w:r>
      <w:r>
        <w:rPr>
          <w:b/>
          <w:sz w:val="22"/>
        </w:rPr>
        <w:t>forêts non attribuées</w:t>
      </w:r>
      <w:r>
        <w:rPr>
          <w:sz w:val="22"/>
        </w:rPr>
        <w:t xml:space="preserve"> (9 mentions), révélant une dépendance des ménages à des espaces forestiers qu'ils ne contrôlent pas juridiquement.</w:t>
      </w:r>
    </w:p>
    <w:p>
      <w:pPr>
        <w:keepNext/>
        <w:spacing w:before="180" w:after="80"/>
      </w:pPr>
      <w:r>
        <w:rPr>
          <w:rFonts w:ascii="Calibri" w:hAnsi="Calibri"/>
          <w:b/>
          <w:color w:val="0A8A75"/>
          <w:sz w:val="24"/>
        </w:rPr>
        <w:t>3.3.5 Contribution économique des cinq PFNL majeurs</w:t>
      </w:r>
    </w:p>
    <w:p>
      <w:pPr>
        <w:keepNext/>
        <w:spacing w:before="160" w:after="40"/>
      </w:pPr>
      <w:r>
        <w:rPr>
          <w:rFonts w:ascii="Calibri" w:hAnsi="Calibri"/>
          <w:b/>
          <w:color w:val="0A1628"/>
          <w:sz w:val="19"/>
        </w:rPr>
        <w:t>Tableau 11. Statistiques descriptives des quantités et revenus des cinq PFNL majeurs</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val="clear" w:fill="0A1628"/>
          </w:tcPr>
          <w:p>
            <w:pPr>
              <w:jc w:val="center"/>
            </w:pPr>
            <w:r>
              <w:rPr>
                <w:rFonts w:ascii="Calibri" w:hAnsi="Calibri"/>
                <w:b/>
                <w:color w:val="FFFFFF"/>
                <w:sz w:val="17"/>
              </w:rPr>
              <w:t>Variable</w:t>
            </w:r>
          </w:p>
        </w:tc>
        <w:tc>
          <w:tcPr>
            <w:tcW w:type="dxa" w:w="1204"/>
            <w:shd w:val="clear" w:fill="0A1628"/>
          </w:tcPr>
          <w:p>
            <w:pPr>
              <w:jc w:val="center"/>
            </w:pPr>
            <w:r>
              <w:rPr>
                <w:rFonts w:ascii="Calibri" w:hAnsi="Calibri"/>
                <w:b/>
                <w:color w:val="FFFFFF"/>
                <w:sz w:val="17"/>
              </w:rPr>
              <w:t>n</w:t>
            </w:r>
          </w:p>
        </w:tc>
        <w:tc>
          <w:tcPr>
            <w:tcW w:type="dxa" w:w="1204"/>
            <w:shd w:val="clear" w:fill="0A1628"/>
          </w:tcPr>
          <w:p>
            <w:pPr>
              <w:jc w:val="center"/>
            </w:pPr>
            <w:r>
              <w:rPr>
                <w:rFonts w:ascii="Calibri" w:hAnsi="Calibri"/>
                <w:b/>
                <w:color w:val="FFFFFF"/>
                <w:sz w:val="17"/>
              </w:rPr>
              <w:t>Moyenne</w:t>
            </w:r>
          </w:p>
        </w:tc>
        <w:tc>
          <w:tcPr>
            <w:tcW w:type="dxa" w:w="1204"/>
            <w:shd w:val="clear" w:fill="0A1628"/>
          </w:tcPr>
          <w:p>
            <w:pPr>
              <w:jc w:val="center"/>
            </w:pPr>
            <w:r>
              <w:rPr>
                <w:rFonts w:ascii="Calibri" w:hAnsi="Calibri"/>
                <w:b/>
                <w:color w:val="FFFFFF"/>
                <w:sz w:val="17"/>
              </w:rPr>
              <w:t>Médiane</w:t>
            </w:r>
          </w:p>
        </w:tc>
        <w:tc>
          <w:tcPr>
            <w:tcW w:type="dxa" w:w="1204"/>
            <w:shd w:val="clear" w:fill="0A1628"/>
          </w:tcPr>
          <w:p>
            <w:pPr>
              <w:jc w:val="center"/>
            </w:pPr>
            <w:r>
              <w:rPr>
                <w:rFonts w:ascii="Calibri" w:hAnsi="Calibri"/>
                <w:b/>
                <w:color w:val="FFFFFF"/>
                <w:sz w:val="17"/>
              </w:rPr>
              <w:t>Q1</w:t>
            </w:r>
          </w:p>
        </w:tc>
        <w:tc>
          <w:tcPr>
            <w:tcW w:type="dxa" w:w="1204"/>
            <w:shd w:val="clear" w:fill="0A1628"/>
          </w:tcPr>
          <w:p>
            <w:pPr>
              <w:jc w:val="center"/>
            </w:pPr>
            <w:r>
              <w:rPr>
                <w:rFonts w:ascii="Calibri" w:hAnsi="Calibri"/>
                <w:b/>
                <w:color w:val="FFFFFF"/>
                <w:sz w:val="17"/>
              </w:rPr>
              <w:t>Q3</w:t>
            </w:r>
          </w:p>
        </w:tc>
        <w:tc>
          <w:tcPr>
            <w:tcW w:type="dxa" w:w="1204"/>
            <w:shd w:val="clear" w:fill="0A1628"/>
          </w:tcPr>
          <w:p>
            <w:pPr>
              <w:jc w:val="center"/>
            </w:pPr>
            <w:r>
              <w:rPr>
                <w:rFonts w:ascii="Calibri" w:hAnsi="Calibri"/>
                <w:b/>
                <w:color w:val="FFFFFF"/>
                <w:sz w:val="17"/>
              </w:rPr>
              <w:t>Écart-type</w:t>
            </w:r>
          </w:p>
        </w:tc>
        <w:tc>
          <w:tcPr>
            <w:tcW w:type="dxa" w:w="1204"/>
            <w:shd w:val="clear" w:fill="0A1628"/>
          </w:tcPr>
          <w:p>
            <w:pPr>
              <w:jc w:val="center"/>
            </w:pPr>
            <w:r>
              <w:rPr>
                <w:rFonts w:ascii="Calibri" w:hAnsi="Calibri"/>
                <w:b/>
                <w:color w:val="FFFFFF"/>
                <w:sz w:val="17"/>
              </w:rPr>
              <w:t>CV %</w:t>
            </w:r>
          </w:p>
        </w:tc>
      </w:tr>
      <w:tr>
        <w:tc>
          <w:tcPr>
            <w:tcW w:type="dxa" w:w="1204"/>
            <w:shd w:val="clear" w:fill="0A8A75"/>
          </w:tcPr>
          <w:p>
            <w:pPr>
              <w:jc w:val="left"/>
            </w:pPr>
            <w:r>
              <w:rPr>
                <w:rFonts w:ascii="Calibri" w:hAnsi="Calibri"/>
                <w:b/>
                <w:color w:val="FFFFFF"/>
                <w:sz w:val="16"/>
              </w:rPr>
              <w:t>Mango — unité : Combo</w:t>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r>
      <w:tr>
        <w:tc>
          <w:tcPr>
            <w:tcW w:type="dxa" w:w="1204"/>
            <w:shd w:val="clear" w:fill="F1F5F9"/>
          </w:tcPr>
          <w:p>
            <w:pPr>
              <w:jc w:val="left"/>
            </w:pPr>
            <w:r>
              <w:rPr>
                <w:rFonts w:ascii="Calibri" w:hAnsi="Calibri"/>
                <w:sz w:val="16"/>
              </w:rPr>
              <w:t>Qté collectée</w:t>
            </w:r>
          </w:p>
        </w:tc>
        <w:tc>
          <w:tcPr>
            <w:tcW w:type="dxa" w:w="1204"/>
            <w:shd w:val="clear" w:fill="F1F5F9"/>
          </w:tcPr>
          <w:p>
            <w:pPr>
              <w:jc w:val="right"/>
            </w:pPr>
            <w:r>
              <w:rPr>
                <w:rFonts w:ascii="Calibri" w:hAnsi="Calibri"/>
                <w:sz w:val="16"/>
              </w:rPr>
              <w:t>47</w:t>
            </w:r>
          </w:p>
        </w:tc>
        <w:tc>
          <w:tcPr>
            <w:tcW w:type="dxa" w:w="1204"/>
            <w:shd w:val="clear" w:fill="F1F5F9"/>
          </w:tcPr>
          <w:p>
            <w:pPr>
              <w:jc w:val="right"/>
            </w:pPr>
            <w:r>
              <w:rPr>
                <w:rFonts w:ascii="Calibri" w:hAnsi="Calibri"/>
                <w:sz w:val="16"/>
              </w:rPr>
              <w:t>99</w:t>
            </w:r>
          </w:p>
        </w:tc>
        <w:tc>
          <w:tcPr>
            <w:tcW w:type="dxa" w:w="1204"/>
            <w:shd w:val="clear" w:fill="F1F5F9"/>
          </w:tcPr>
          <w:p>
            <w:pPr>
              <w:jc w:val="right"/>
            </w:pPr>
            <w:r>
              <w:rPr>
                <w:rFonts w:ascii="Calibri" w:hAnsi="Calibri"/>
                <w:sz w:val="16"/>
              </w:rPr>
              <w:t>90</w:t>
            </w:r>
          </w:p>
        </w:tc>
        <w:tc>
          <w:tcPr>
            <w:tcW w:type="dxa" w:w="1204"/>
            <w:shd w:val="clear" w:fill="F1F5F9"/>
          </w:tcPr>
          <w:p>
            <w:pPr>
              <w:jc w:val="right"/>
            </w:pPr>
            <w:r>
              <w:rPr>
                <w:rFonts w:ascii="Calibri" w:hAnsi="Calibri"/>
                <w:sz w:val="16"/>
              </w:rPr>
              <w:t>60</w:t>
            </w:r>
          </w:p>
        </w:tc>
        <w:tc>
          <w:tcPr>
            <w:tcW w:type="dxa" w:w="1204"/>
            <w:shd w:val="clear" w:fill="F1F5F9"/>
          </w:tcPr>
          <w:p>
            <w:pPr>
              <w:jc w:val="right"/>
            </w:pPr>
            <w:r>
              <w:rPr>
                <w:rFonts w:ascii="Calibri" w:hAnsi="Calibri"/>
                <w:sz w:val="16"/>
              </w:rPr>
              <w:t>120</w:t>
            </w:r>
          </w:p>
        </w:tc>
        <w:tc>
          <w:tcPr>
            <w:tcW w:type="dxa" w:w="1204"/>
            <w:shd w:val="clear" w:fill="F1F5F9"/>
          </w:tcPr>
          <w:p>
            <w:pPr>
              <w:jc w:val="right"/>
            </w:pPr>
            <w:r>
              <w:rPr>
                <w:rFonts w:ascii="Calibri" w:hAnsi="Calibri"/>
                <w:sz w:val="16"/>
              </w:rPr>
              <w:t>61</w:t>
            </w:r>
          </w:p>
        </w:tc>
        <w:tc>
          <w:tcPr>
            <w:tcW w:type="dxa" w:w="1204"/>
            <w:shd w:val="clear" w:fill="F1F5F9"/>
          </w:tcPr>
          <w:p>
            <w:pPr>
              <w:jc w:val="right"/>
            </w:pPr>
            <w:r>
              <w:rPr>
                <w:rFonts w:ascii="Calibri" w:hAnsi="Calibri"/>
                <w:sz w:val="16"/>
              </w:rPr>
              <w:t>61</w:t>
            </w:r>
          </w:p>
        </w:tc>
      </w:tr>
      <w:tr>
        <w:tc>
          <w:tcPr>
            <w:tcW w:type="dxa" w:w="1204"/>
          </w:tcPr>
          <w:p>
            <w:pPr>
              <w:jc w:val="left"/>
            </w:pPr>
            <w:r>
              <w:rPr>
                <w:rFonts w:ascii="Calibri" w:hAnsi="Calibri"/>
                <w:sz w:val="16"/>
              </w:rPr>
              <w:t>Qté autoconso.</w:t>
            </w:r>
          </w:p>
        </w:tc>
        <w:tc>
          <w:tcPr>
            <w:tcW w:type="dxa" w:w="1204"/>
          </w:tcPr>
          <w:p>
            <w:pPr>
              <w:jc w:val="right"/>
            </w:pPr>
            <w:r>
              <w:rPr>
                <w:rFonts w:ascii="Calibri" w:hAnsi="Calibri"/>
                <w:sz w:val="16"/>
              </w:rPr>
              <w:t>47</w:t>
            </w:r>
          </w:p>
        </w:tc>
        <w:tc>
          <w:tcPr>
            <w:tcW w:type="dxa" w:w="1204"/>
          </w:tcPr>
          <w:p>
            <w:pPr>
              <w:jc w:val="right"/>
            </w:pPr>
            <w:r>
              <w:rPr>
                <w:rFonts w:ascii="Calibri" w:hAnsi="Calibri"/>
                <w:sz w:val="16"/>
              </w:rPr>
              <w:t>15</w:t>
            </w:r>
          </w:p>
        </w:tc>
        <w:tc>
          <w:tcPr>
            <w:tcW w:type="dxa" w:w="1204"/>
          </w:tcPr>
          <w:p>
            <w:pPr>
              <w:jc w:val="right"/>
            </w:pPr>
            <w:r>
              <w:rPr>
                <w:rFonts w:ascii="Calibri" w:hAnsi="Calibri"/>
                <w:sz w:val="16"/>
              </w:rPr>
              <w:t>10</w:t>
            </w:r>
          </w:p>
        </w:tc>
        <w:tc>
          <w:tcPr>
            <w:tcW w:type="dxa" w:w="1204"/>
          </w:tcPr>
          <w:p>
            <w:pPr>
              <w:jc w:val="right"/>
            </w:pPr>
            <w:r>
              <w:rPr>
                <w:rFonts w:ascii="Calibri" w:hAnsi="Calibri"/>
                <w:sz w:val="16"/>
              </w:rPr>
              <w:t>5</w:t>
            </w:r>
          </w:p>
        </w:tc>
        <w:tc>
          <w:tcPr>
            <w:tcW w:type="dxa" w:w="1204"/>
          </w:tcPr>
          <w:p>
            <w:pPr>
              <w:jc w:val="right"/>
            </w:pPr>
            <w:r>
              <w:rPr>
                <w:rFonts w:ascii="Calibri" w:hAnsi="Calibri"/>
                <w:sz w:val="16"/>
              </w:rPr>
              <w:t>26</w:t>
            </w:r>
          </w:p>
        </w:tc>
        <w:tc>
          <w:tcPr>
            <w:tcW w:type="dxa" w:w="1204"/>
          </w:tcPr>
          <w:p>
            <w:pPr>
              <w:jc w:val="right"/>
            </w:pPr>
            <w:r>
              <w:rPr>
                <w:rFonts w:ascii="Calibri" w:hAnsi="Calibri"/>
                <w:sz w:val="16"/>
              </w:rPr>
              <w:t>14</w:t>
            </w:r>
          </w:p>
        </w:tc>
        <w:tc>
          <w:tcPr>
            <w:tcW w:type="dxa" w:w="1204"/>
          </w:tcPr>
          <w:p>
            <w:pPr>
              <w:jc w:val="right"/>
            </w:pPr>
            <w:r>
              <w:rPr>
                <w:rFonts w:ascii="Calibri" w:hAnsi="Calibri"/>
                <w:sz w:val="16"/>
              </w:rPr>
              <w:t>94</w:t>
            </w:r>
          </w:p>
        </w:tc>
      </w:tr>
      <w:tr>
        <w:tc>
          <w:tcPr>
            <w:tcW w:type="dxa" w:w="1204"/>
            <w:shd w:val="clear" w:fill="F1F5F9"/>
          </w:tcPr>
          <w:p>
            <w:pPr>
              <w:jc w:val="left"/>
            </w:pPr>
            <w:r>
              <w:rPr>
                <w:rFonts w:ascii="Calibri" w:hAnsi="Calibri"/>
                <w:sz w:val="16"/>
              </w:rPr>
              <w:t>Qté vendue</w:t>
            </w:r>
          </w:p>
        </w:tc>
        <w:tc>
          <w:tcPr>
            <w:tcW w:type="dxa" w:w="1204"/>
            <w:shd w:val="clear" w:fill="F1F5F9"/>
          </w:tcPr>
          <w:p>
            <w:pPr>
              <w:jc w:val="right"/>
            </w:pPr>
            <w:r>
              <w:rPr>
                <w:rFonts w:ascii="Calibri" w:hAnsi="Calibri"/>
                <w:sz w:val="16"/>
              </w:rPr>
              <w:t>47</w:t>
            </w:r>
          </w:p>
        </w:tc>
        <w:tc>
          <w:tcPr>
            <w:tcW w:type="dxa" w:w="1204"/>
            <w:shd w:val="clear" w:fill="F1F5F9"/>
          </w:tcPr>
          <w:p>
            <w:pPr>
              <w:jc w:val="right"/>
            </w:pPr>
            <w:r>
              <w:rPr>
                <w:rFonts w:ascii="Calibri" w:hAnsi="Calibri"/>
                <w:sz w:val="16"/>
              </w:rPr>
              <w:t>84</w:t>
            </w:r>
          </w:p>
        </w:tc>
        <w:tc>
          <w:tcPr>
            <w:tcW w:type="dxa" w:w="1204"/>
            <w:shd w:val="clear" w:fill="F1F5F9"/>
          </w:tcPr>
          <w:p>
            <w:pPr>
              <w:jc w:val="right"/>
            </w:pPr>
            <w:r>
              <w:rPr>
                <w:rFonts w:ascii="Calibri" w:hAnsi="Calibri"/>
                <w:sz w:val="16"/>
              </w:rPr>
              <w:t>87</w:t>
            </w:r>
          </w:p>
        </w:tc>
        <w:tc>
          <w:tcPr>
            <w:tcW w:type="dxa" w:w="1204"/>
            <w:shd w:val="clear" w:fill="F1F5F9"/>
          </w:tcPr>
          <w:p>
            <w:pPr>
              <w:jc w:val="right"/>
            </w:pPr>
            <w:r>
              <w:rPr>
                <w:rFonts w:ascii="Calibri" w:hAnsi="Calibri"/>
                <w:sz w:val="16"/>
              </w:rPr>
              <w:t>39</w:t>
            </w:r>
          </w:p>
        </w:tc>
        <w:tc>
          <w:tcPr>
            <w:tcW w:type="dxa" w:w="1204"/>
            <w:shd w:val="clear" w:fill="F1F5F9"/>
          </w:tcPr>
          <w:p>
            <w:pPr>
              <w:jc w:val="right"/>
            </w:pPr>
            <w:r>
              <w:rPr>
                <w:rFonts w:ascii="Calibri" w:hAnsi="Calibri"/>
                <w:sz w:val="16"/>
              </w:rPr>
              <w:t>113</w:t>
            </w:r>
          </w:p>
        </w:tc>
        <w:tc>
          <w:tcPr>
            <w:tcW w:type="dxa" w:w="1204"/>
            <w:shd w:val="clear" w:fill="F1F5F9"/>
          </w:tcPr>
          <w:p>
            <w:pPr>
              <w:jc w:val="right"/>
            </w:pPr>
            <w:r>
              <w:rPr>
                <w:rFonts w:ascii="Calibri" w:hAnsi="Calibri"/>
                <w:sz w:val="16"/>
              </w:rPr>
              <w:t>55</w:t>
            </w:r>
          </w:p>
        </w:tc>
        <w:tc>
          <w:tcPr>
            <w:tcW w:type="dxa" w:w="1204"/>
            <w:shd w:val="clear" w:fill="F1F5F9"/>
          </w:tcPr>
          <w:p>
            <w:pPr>
              <w:jc w:val="right"/>
            </w:pPr>
            <w:r>
              <w:rPr>
                <w:rFonts w:ascii="Calibri" w:hAnsi="Calibri"/>
                <w:sz w:val="16"/>
              </w:rPr>
              <w:t>66</w:t>
            </w:r>
          </w:p>
        </w:tc>
      </w:tr>
      <w:tr>
        <w:tc>
          <w:tcPr>
            <w:tcW w:type="dxa" w:w="1204"/>
          </w:tcPr>
          <w:p>
            <w:pPr>
              <w:jc w:val="left"/>
            </w:pPr>
            <w:r>
              <w:rPr>
                <w:rFonts w:ascii="Calibri" w:hAnsi="Calibri"/>
                <w:sz w:val="16"/>
              </w:rPr>
              <w:t>Prix unitaire (FCFA)</w:t>
            </w:r>
          </w:p>
        </w:tc>
        <w:tc>
          <w:tcPr>
            <w:tcW w:type="dxa" w:w="1204"/>
          </w:tcPr>
          <w:p>
            <w:pPr>
              <w:jc w:val="right"/>
            </w:pPr>
            <w:r>
              <w:rPr>
                <w:rFonts w:ascii="Calibri" w:hAnsi="Calibri"/>
                <w:sz w:val="16"/>
              </w:rPr>
              <w:t>47</w:t>
            </w:r>
          </w:p>
        </w:tc>
        <w:tc>
          <w:tcPr>
            <w:tcW w:type="dxa" w:w="1204"/>
          </w:tcPr>
          <w:p>
            <w:pPr>
              <w:jc w:val="right"/>
            </w:pPr>
            <w:r>
              <w:rPr>
                <w:rFonts w:ascii="Calibri" w:hAnsi="Calibri"/>
                <w:sz w:val="16"/>
              </w:rPr>
              <w:t>2 745</w:t>
            </w:r>
          </w:p>
        </w:tc>
        <w:tc>
          <w:tcPr>
            <w:tcW w:type="dxa" w:w="1204"/>
          </w:tcPr>
          <w:p>
            <w:pPr>
              <w:jc w:val="right"/>
            </w:pPr>
            <w:r>
              <w:rPr>
                <w:rFonts w:ascii="Calibri" w:hAnsi="Calibri"/>
                <w:sz w:val="16"/>
              </w:rPr>
              <w:t>2 500</w:t>
            </w:r>
          </w:p>
        </w:tc>
        <w:tc>
          <w:tcPr>
            <w:tcW w:type="dxa" w:w="1204"/>
          </w:tcPr>
          <w:p>
            <w:pPr>
              <w:jc w:val="right"/>
            </w:pPr>
            <w:r>
              <w:rPr>
                <w:rFonts w:ascii="Calibri" w:hAnsi="Calibri"/>
                <w:sz w:val="16"/>
              </w:rPr>
              <w:t>2 500</w:t>
            </w:r>
          </w:p>
        </w:tc>
        <w:tc>
          <w:tcPr>
            <w:tcW w:type="dxa" w:w="1204"/>
          </w:tcPr>
          <w:p>
            <w:pPr>
              <w:jc w:val="right"/>
            </w:pPr>
            <w:r>
              <w:rPr>
                <w:rFonts w:ascii="Calibri" w:hAnsi="Calibri"/>
                <w:sz w:val="16"/>
              </w:rPr>
              <w:t>3 000</w:t>
            </w:r>
          </w:p>
        </w:tc>
        <w:tc>
          <w:tcPr>
            <w:tcW w:type="dxa" w:w="1204"/>
          </w:tcPr>
          <w:p>
            <w:pPr>
              <w:jc w:val="right"/>
            </w:pPr>
            <w:r>
              <w:rPr>
                <w:rFonts w:ascii="Calibri" w:hAnsi="Calibri"/>
                <w:sz w:val="16"/>
              </w:rPr>
              <w:t>293</w:t>
            </w:r>
          </w:p>
        </w:tc>
        <w:tc>
          <w:tcPr>
            <w:tcW w:type="dxa" w:w="1204"/>
          </w:tcPr>
          <w:p>
            <w:pPr>
              <w:jc w:val="right"/>
            </w:pPr>
            <w:r>
              <w:rPr>
                <w:rFonts w:ascii="Calibri" w:hAnsi="Calibri"/>
                <w:sz w:val="16"/>
              </w:rPr>
              <w:t>11</w:t>
            </w:r>
          </w:p>
        </w:tc>
      </w:tr>
      <w:tr>
        <w:tc>
          <w:tcPr>
            <w:tcW w:type="dxa" w:w="1204"/>
            <w:shd w:val="clear" w:fill="F1F5F9"/>
          </w:tcPr>
          <w:p>
            <w:pPr>
              <w:jc w:val="left"/>
            </w:pPr>
            <w:r>
              <w:rPr>
                <w:rFonts w:ascii="Calibri" w:hAnsi="Calibri"/>
                <w:sz w:val="16"/>
              </w:rPr>
              <w:t>Revenu (FCFA)</w:t>
            </w:r>
          </w:p>
        </w:tc>
        <w:tc>
          <w:tcPr>
            <w:tcW w:type="dxa" w:w="1204"/>
            <w:shd w:val="clear" w:fill="F1F5F9"/>
          </w:tcPr>
          <w:p>
            <w:pPr>
              <w:jc w:val="right"/>
            </w:pPr>
            <w:r>
              <w:rPr>
                <w:rFonts w:ascii="Calibri" w:hAnsi="Calibri"/>
                <w:sz w:val="16"/>
              </w:rPr>
              <w:t>47</w:t>
            </w:r>
          </w:p>
        </w:tc>
        <w:tc>
          <w:tcPr>
            <w:tcW w:type="dxa" w:w="1204"/>
            <w:shd w:val="clear" w:fill="F1F5F9"/>
          </w:tcPr>
          <w:p>
            <w:pPr>
              <w:jc w:val="right"/>
            </w:pPr>
            <w:r>
              <w:rPr>
                <w:rFonts w:ascii="Calibri" w:hAnsi="Calibri"/>
                <w:sz w:val="16"/>
              </w:rPr>
              <w:t>230 755</w:t>
            </w:r>
          </w:p>
        </w:tc>
        <w:tc>
          <w:tcPr>
            <w:tcW w:type="dxa" w:w="1204"/>
            <w:shd w:val="clear" w:fill="F1F5F9"/>
          </w:tcPr>
          <w:p>
            <w:pPr>
              <w:jc w:val="right"/>
            </w:pPr>
            <w:r>
              <w:rPr>
                <w:rFonts w:ascii="Calibri" w:hAnsi="Calibri"/>
                <w:sz w:val="16"/>
              </w:rPr>
              <w:t>217 500</w:t>
            </w:r>
          </w:p>
        </w:tc>
        <w:tc>
          <w:tcPr>
            <w:tcW w:type="dxa" w:w="1204"/>
            <w:shd w:val="clear" w:fill="F1F5F9"/>
          </w:tcPr>
          <w:p>
            <w:pPr>
              <w:jc w:val="right"/>
            </w:pPr>
            <w:r>
              <w:rPr>
                <w:rFonts w:ascii="Calibri" w:hAnsi="Calibri"/>
                <w:sz w:val="16"/>
              </w:rPr>
              <w:t>105 750</w:t>
            </w:r>
          </w:p>
        </w:tc>
        <w:tc>
          <w:tcPr>
            <w:tcW w:type="dxa" w:w="1204"/>
            <w:shd w:val="clear" w:fill="F1F5F9"/>
          </w:tcPr>
          <w:p>
            <w:pPr>
              <w:jc w:val="right"/>
            </w:pPr>
            <w:r>
              <w:rPr>
                <w:rFonts w:ascii="Calibri" w:hAnsi="Calibri"/>
                <w:sz w:val="16"/>
              </w:rPr>
              <w:t>291 250</w:t>
            </w:r>
          </w:p>
        </w:tc>
        <w:tc>
          <w:tcPr>
            <w:tcW w:type="dxa" w:w="1204"/>
            <w:shd w:val="clear" w:fill="F1F5F9"/>
          </w:tcPr>
          <w:p>
            <w:pPr>
              <w:jc w:val="right"/>
            </w:pPr>
            <w:r>
              <w:rPr>
                <w:rFonts w:ascii="Calibri" w:hAnsi="Calibri"/>
                <w:sz w:val="16"/>
              </w:rPr>
              <w:t>159 519</w:t>
            </w:r>
          </w:p>
        </w:tc>
        <w:tc>
          <w:tcPr>
            <w:tcW w:type="dxa" w:w="1204"/>
            <w:shd w:val="clear" w:fill="F1F5F9"/>
          </w:tcPr>
          <w:p>
            <w:pPr>
              <w:jc w:val="right"/>
            </w:pPr>
            <w:r>
              <w:rPr>
                <w:rFonts w:ascii="Calibri" w:hAnsi="Calibri"/>
                <w:sz w:val="16"/>
              </w:rPr>
              <w:t>69</w:t>
            </w:r>
          </w:p>
        </w:tc>
      </w:tr>
      <w:tr>
        <w:tc>
          <w:tcPr>
            <w:tcW w:type="dxa" w:w="1204"/>
            <w:shd w:val="clear" w:fill="0A8A75"/>
          </w:tcPr>
          <w:p>
            <w:pPr>
              <w:jc w:val="left"/>
            </w:pPr>
            <w:r>
              <w:rPr>
                <w:rFonts w:ascii="Calibri" w:hAnsi="Calibri"/>
                <w:b/>
                <w:color w:val="FFFFFF"/>
                <w:sz w:val="16"/>
              </w:rPr>
              <w:t>Rondelle — unité : Combo</w:t>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r>
      <w:tr>
        <w:tc>
          <w:tcPr>
            <w:tcW w:type="dxa" w:w="1204"/>
            <w:shd w:val="clear" w:fill="F1F5F9"/>
          </w:tcPr>
          <w:p>
            <w:pPr>
              <w:jc w:val="left"/>
            </w:pPr>
            <w:r>
              <w:rPr>
                <w:rFonts w:ascii="Calibri" w:hAnsi="Calibri"/>
                <w:sz w:val="16"/>
              </w:rPr>
              <w:t>Qté collectée</w:t>
            </w:r>
          </w:p>
        </w:tc>
        <w:tc>
          <w:tcPr>
            <w:tcW w:type="dxa" w:w="1204"/>
            <w:shd w:val="clear" w:fill="F1F5F9"/>
          </w:tcPr>
          <w:p>
            <w:pPr>
              <w:jc w:val="right"/>
            </w:pPr>
            <w:r>
              <w:rPr>
                <w:rFonts w:ascii="Calibri" w:hAnsi="Calibri"/>
                <w:sz w:val="16"/>
              </w:rPr>
              <w:t>30</w:t>
            </w:r>
          </w:p>
        </w:tc>
        <w:tc>
          <w:tcPr>
            <w:tcW w:type="dxa" w:w="1204"/>
            <w:shd w:val="clear" w:fill="F1F5F9"/>
          </w:tcPr>
          <w:p>
            <w:pPr>
              <w:jc w:val="right"/>
            </w:pPr>
            <w:r>
              <w:rPr>
                <w:rFonts w:ascii="Calibri" w:hAnsi="Calibri"/>
                <w:sz w:val="16"/>
              </w:rPr>
              <w:t>154</w:t>
            </w:r>
          </w:p>
        </w:tc>
        <w:tc>
          <w:tcPr>
            <w:tcW w:type="dxa" w:w="1204"/>
            <w:shd w:val="clear" w:fill="F1F5F9"/>
          </w:tcPr>
          <w:p>
            <w:pPr>
              <w:jc w:val="right"/>
            </w:pPr>
            <w:r>
              <w:rPr>
                <w:rFonts w:ascii="Calibri" w:hAnsi="Calibri"/>
                <w:sz w:val="16"/>
              </w:rPr>
              <w:t>150</w:t>
            </w:r>
          </w:p>
        </w:tc>
        <w:tc>
          <w:tcPr>
            <w:tcW w:type="dxa" w:w="1204"/>
            <w:shd w:val="clear" w:fill="F1F5F9"/>
          </w:tcPr>
          <w:p>
            <w:pPr>
              <w:jc w:val="right"/>
            </w:pPr>
            <w:r>
              <w:rPr>
                <w:rFonts w:ascii="Calibri" w:hAnsi="Calibri"/>
                <w:sz w:val="16"/>
              </w:rPr>
              <w:t>90</w:t>
            </w:r>
          </w:p>
        </w:tc>
        <w:tc>
          <w:tcPr>
            <w:tcW w:type="dxa" w:w="1204"/>
            <w:shd w:val="clear" w:fill="F1F5F9"/>
          </w:tcPr>
          <w:p>
            <w:pPr>
              <w:jc w:val="right"/>
            </w:pPr>
            <w:r>
              <w:rPr>
                <w:rFonts w:ascii="Calibri" w:hAnsi="Calibri"/>
                <w:sz w:val="16"/>
              </w:rPr>
              <w:t>210</w:t>
            </w:r>
          </w:p>
        </w:tc>
        <w:tc>
          <w:tcPr>
            <w:tcW w:type="dxa" w:w="1204"/>
            <w:shd w:val="clear" w:fill="F1F5F9"/>
          </w:tcPr>
          <w:p>
            <w:pPr>
              <w:jc w:val="right"/>
            </w:pPr>
            <w:r>
              <w:rPr>
                <w:rFonts w:ascii="Calibri" w:hAnsi="Calibri"/>
                <w:sz w:val="16"/>
              </w:rPr>
              <w:t>96</w:t>
            </w:r>
          </w:p>
        </w:tc>
        <w:tc>
          <w:tcPr>
            <w:tcW w:type="dxa" w:w="1204"/>
            <w:shd w:val="clear" w:fill="F1F5F9"/>
          </w:tcPr>
          <w:p>
            <w:pPr>
              <w:jc w:val="right"/>
            </w:pPr>
            <w:r>
              <w:rPr>
                <w:rFonts w:ascii="Calibri" w:hAnsi="Calibri"/>
                <w:sz w:val="16"/>
              </w:rPr>
              <w:t>62</w:t>
            </w:r>
          </w:p>
        </w:tc>
      </w:tr>
      <w:tr>
        <w:tc>
          <w:tcPr>
            <w:tcW w:type="dxa" w:w="1204"/>
          </w:tcPr>
          <w:p>
            <w:pPr>
              <w:jc w:val="left"/>
            </w:pPr>
            <w:r>
              <w:rPr>
                <w:rFonts w:ascii="Calibri" w:hAnsi="Calibri"/>
                <w:sz w:val="16"/>
              </w:rPr>
              <w:t>Qté autoconso.</w:t>
            </w:r>
          </w:p>
        </w:tc>
        <w:tc>
          <w:tcPr>
            <w:tcW w:type="dxa" w:w="1204"/>
          </w:tcPr>
          <w:p>
            <w:pPr>
              <w:jc w:val="right"/>
            </w:pPr>
            <w:r>
              <w:rPr>
                <w:rFonts w:ascii="Calibri" w:hAnsi="Calibri"/>
                <w:sz w:val="16"/>
              </w:rPr>
              <w:t>30</w:t>
            </w:r>
          </w:p>
        </w:tc>
        <w:tc>
          <w:tcPr>
            <w:tcW w:type="dxa" w:w="1204"/>
          </w:tcPr>
          <w:p>
            <w:pPr>
              <w:jc w:val="right"/>
            </w:pPr>
            <w:r>
              <w:rPr>
                <w:rFonts w:ascii="Calibri" w:hAnsi="Calibri"/>
                <w:sz w:val="16"/>
              </w:rPr>
              <w:t>3</w:t>
            </w:r>
          </w:p>
        </w:tc>
        <w:tc>
          <w:tcPr>
            <w:tcW w:type="dxa" w:w="1204"/>
          </w:tcPr>
          <w:p>
            <w:pPr>
              <w:jc w:val="right"/>
            </w:pPr>
            <w:r>
              <w:rPr>
                <w:rFonts w:ascii="Calibri" w:hAnsi="Calibri"/>
                <w:sz w:val="16"/>
              </w:rPr>
              <w:t>1</w:t>
            </w:r>
          </w:p>
        </w:tc>
        <w:tc>
          <w:tcPr>
            <w:tcW w:type="dxa" w:w="1204"/>
          </w:tcPr>
          <w:p>
            <w:pPr>
              <w:jc w:val="right"/>
            </w:pPr>
            <w:r>
              <w:rPr>
                <w:rFonts w:ascii="Calibri" w:hAnsi="Calibri"/>
                <w:sz w:val="16"/>
              </w:rPr>
              <w:t>0</w:t>
            </w:r>
          </w:p>
        </w:tc>
        <w:tc>
          <w:tcPr>
            <w:tcW w:type="dxa" w:w="1204"/>
          </w:tcPr>
          <w:p>
            <w:pPr>
              <w:jc w:val="right"/>
            </w:pPr>
            <w:r>
              <w:rPr>
                <w:rFonts w:ascii="Calibri" w:hAnsi="Calibri"/>
                <w:sz w:val="16"/>
              </w:rPr>
              <w:t>1</w:t>
            </w:r>
          </w:p>
        </w:tc>
        <w:tc>
          <w:tcPr>
            <w:tcW w:type="dxa" w:w="1204"/>
          </w:tcPr>
          <w:p>
            <w:pPr>
              <w:jc w:val="right"/>
            </w:pPr>
            <w:r>
              <w:rPr>
                <w:rFonts w:ascii="Calibri" w:hAnsi="Calibri"/>
                <w:sz w:val="16"/>
              </w:rPr>
              <w:t>6</w:t>
            </w:r>
          </w:p>
        </w:tc>
        <w:tc>
          <w:tcPr>
            <w:tcW w:type="dxa" w:w="1204"/>
          </w:tcPr>
          <w:p>
            <w:pPr>
              <w:jc w:val="right"/>
            </w:pPr>
            <w:r>
              <w:rPr>
                <w:rFonts w:ascii="Calibri" w:hAnsi="Calibri"/>
                <w:sz w:val="16"/>
              </w:rPr>
              <w:t>228</w:t>
            </w:r>
          </w:p>
        </w:tc>
      </w:tr>
      <w:tr>
        <w:tc>
          <w:tcPr>
            <w:tcW w:type="dxa" w:w="1204"/>
            <w:shd w:val="clear" w:fill="F1F5F9"/>
          </w:tcPr>
          <w:p>
            <w:pPr>
              <w:jc w:val="left"/>
            </w:pPr>
            <w:r>
              <w:rPr>
                <w:rFonts w:ascii="Calibri" w:hAnsi="Calibri"/>
                <w:sz w:val="16"/>
              </w:rPr>
              <w:t>Qté vendue</w:t>
            </w:r>
          </w:p>
        </w:tc>
        <w:tc>
          <w:tcPr>
            <w:tcW w:type="dxa" w:w="1204"/>
            <w:shd w:val="clear" w:fill="F1F5F9"/>
          </w:tcPr>
          <w:p>
            <w:pPr>
              <w:jc w:val="right"/>
            </w:pPr>
            <w:r>
              <w:rPr>
                <w:rFonts w:ascii="Calibri" w:hAnsi="Calibri"/>
                <w:sz w:val="16"/>
              </w:rPr>
              <w:t>30</w:t>
            </w:r>
          </w:p>
        </w:tc>
        <w:tc>
          <w:tcPr>
            <w:tcW w:type="dxa" w:w="1204"/>
            <w:shd w:val="clear" w:fill="F1F5F9"/>
          </w:tcPr>
          <w:p>
            <w:pPr>
              <w:jc w:val="right"/>
            </w:pPr>
            <w:r>
              <w:rPr>
                <w:rFonts w:ascii="Calibri" w:hAnsi="Calibri"/>
                <w:sz w:val="16"/>
              </w:rPr>
              <w:t>151</w:t>
            </w:r>
          </w:p>
        </w:tc>
        <w:tc>
          <w:tcPr>
            <w:tcW w:type="dxa" w:w="1204"/>
            <w:shd w:val="clear" w:fill="F1F5F9"/>
          </w:tcPr>
          <w:p>
            <w:pPr>
              <w:jc w:val="right"/>
            </w:pPr>
            <w:r>
              <w:rPr>
                <w:rFonts w:ascii="Calibri" w:hAnsi="Calibri"/>
                <w:sz w:val="16"/>
              </w:rPr>
              <w:t>148</w:t>
            </w:r>
          </w:p>
        </w:tc>
        <w:tc>
          <w:tcPr>
            <w:tcW w:type="dxa" w:w="1204"/>
            <w:shd w:val="clear" w:fill="F1F5F9"/>
          </w:tcPr>
          <w:p>
            <w:pPr>
              <w:jc w:val="right"/>
            </w:pPr>
            <w:r>
              <w:rPr>
                <w:rFonts w:ascii="Calibri" w:hAnsi="Calibri"/>
                <w:sz w:val="16"/>
              </w:rPr>
              <w:t>89</w:t>
            </w:r>
          </w:p>
        </w:tc>
        <w:tc>
          <w:tcPr>
            <w:tcW w:type="dxa" w:w="1204"/>
            <w:shd w:val="clear" w:fill="F1F5F9"/>
          </w:tcPr>
          <w:p>
            <w:pPr>
              <w:jc w:val="right"/>
            </w:pPr>
            <w:r>
              <w:rPr>
                <w:rFonts w:ascii="Calibri" w:hAnsi="Calibri"/>
                <w:sz w:val="16"/>
              </w:rPr>
              <w:t>210</w:t>
            </w:r>
          </w:p>
        </w:tc>
        <w:tc>
          <w:tcPr>
            <w:tcW w:type="dxa" w:w="1204"/>
            <w:shd w:val="clear" w:fill="F1F5F9"/>
          </w:tcPr>
          <w:p>
            <w:pPr>
              <w:jc w:val="right"/>
            </w:pPr>
            <w:r>
              <w:rPr>
                <w:rFonts w:ascii="Calibri" w:hAnsi="Calibri"/>
                <w:sz w:val="16"/>
              </w:rPr>
              <w:t>94</w:t>
            </w:r>
          </w:p>
        </w:tc>
        <w:tc>
          <w:tcPr>
            <w:tcW w:type="dxa" w:w="1204"/>
            <w:shd w:val="clear" w:fill="F1F5F9"/>
          </w:tcPr>
          <w:p>
            <w:pPr>
              <w:jc w:val="right"/>
            </w:pPr>
            <w:r>
              <w:rPr>
                <w:rFonts w:ascii="Calibri" w:hAnsi="Calibri"/>
                <w:sz w:val="16"/>
              </w:rPr>
              <w:t>62</w:t>
            </w:r>
          </w:p>
        </w:tc>
      </w:tr>
      <w:tr>
        <w:tc>
          <w:tcPr>
            <w:tcW w:type="dxa" w:w="1204"/>
          </w:tcPr>
          <w:p>
            <w:pPr>
              <w:jc w:val="left"/>
            </w:pPr>
            <w:r>
              <w:rPr>
                <w:rFonts w:ascii="Calibri" w:hAnsi="Calibri"/>
                <w:sz w:val="16"/>
              </w:rPr>
              <w:t>Prix unitaire (FCFA)</w:t>
            </w:r>
          </w:p>
        </w:tc>
        <w:tc>
          <w:tcPr>
            <w:tcW w:type="dxa" w:w="1204"/>
          </w:tcPr>
          <w:p>
            <w:pPr>
              <w:jc w:val="right"/>
            </w:pPr>
            <w:r>
              <w:rPr>
                <w:rFonts w:ascii="Calibri" w:hAnsi="Calibri"/>
                <w:sz w:val="16"/>
              </w:rPr>
              <w:t>30</w:t>
            </w:r>
          </w:p>
        </w:tc>
        <w:tc>
          <w:tcPr>
            <w:tcW w:type="dxa" w:w="1204"/>
          </w:tcPr>
          <w:p>
            <w:pPr>
              <w:jc w:val="right"/>
            </w:pPr>
            <w:r>
              <w:rPr>
                <w:rFonts w:ascii="Calibri" w:hAnsi="Calibri"/>
                <w:sz w:val="16"/>
              </w:rPr>
              <w:t>2 533</w:t>
            </w:r>
          </w:p>
        </w:tc>
        <w:tc>
          <w:tcPr>
            <w:tcW w:type="dxa" w:w="1204"/>
          </w:tcPr>
          <w:p>
            <w:pPr>
              <w:jc w:val="right"/>
            </w:pPr>
            <w:r>
              <w:rPr>
                <w:rFonts w:ascii="Calibri" w:hAnsi="Calibri"/>
                <w:sz w:val="16"/>
              </w:rPr>
              <w:t>2 000</w:t>
            </w:r>
          </w:p>
        </w:tc>
        <w:tc>
          <w:tcPr>
            <w:tcW w:type="dxa" w:w="1204"/>
          </w:tcPr>
          <w:p>
            <w:pPr>
              <w:jc w:val="right"/>
            </w:pPr>
            <w:r>
              <w:rPr>
                <w:rFonts w:ascii="Calibri" w:hAnsi="Calibri"/>
                <w:sz w:val="16"/>
              </w:rPr>
              <w:t>2 000</w:t>
            </w:r>
          </w:p>
        </w:tc>
        <w:tc>
          <w:tcPr>
            <w:tcW w:type="dxa" w:w="1204"/>
          </w:tcPr>
          <w:p>
            <w:pPr>
              <w:jc w:val="right"/>
            </w:pPr>
            <w:r>
              <w:rPr>
                <w:rFonts w:ascii="Calibri" w:hAnsi="Calibri"/>
                <w:sz w:val="16"/>
              </w:rPr>
              <w:t>2 000</w:t>
            </w:r>
          </w:p>
        </w:tc>
        <w:tc>
          <w:tcPr>
            <w:tcW w:type="dxa" w:w="1204"/>
          </w:tcPr>
          <w:p>
            <w:pPr>
              <w:jc w:val="right"/>
            </w:pPr>
            <w:r>
              <w:rPr>
                <w:rFonts w:ascii="Calibri" w:hAnsi="Calibri"/>
                <w:sz w:val="16"/>
              </w:rPr>
              <w:t>1 520</w:t>
            </w:r>
          </w:p>
        </w:tc>
        <w:tc>
          <w:tcPr>
            <w:tcW w:type="dxa" w:w="1204"/>
          </w:tcPr>
          <w:p>
            <w:pPr>
              <w:jc w:val="right"/>
            </w:pPr>
            <w:r>
              <w:rPr>
                <w:rFonts w:ascii="Calibri" w:hAnsi="Calibri"/>
                <w:sz w:val="16"/>
              </w:rPr>
              <w:t>60</w:t>
            </w:r>
          </w:p>
        </w:tc>
      </w:tr>
      <w:tr>
        <w:tc>
          <w:tcPr>
            <w:tcW w:type="dxa" w:w="1204"/>
            <w:shd w:val="clear" w:fill="F1F5F9"/>
          </w:tcPr>
          <w:p>
            <w:pPr>
              <w:jc w:val="left"/>
            </w:pPr>
            <w:r>
              <w:rPr>
                <w:rFonts w:ascii="Calibri" w:hAnsi="Calibri"/>
                <w:sz w:val="16"/>
              </w:rPr>
              <w:t>Revenu (FCFA)</w:t>
            </w:r>
          </w:p>
        </w:tc>
        <w:tc>
          <w:tcPr>
            <w:tcW w:type="dxa" w:w="1204"/>
            <w:shd w:val="clear" w:fill="F1F5F9"/>
          </w:tcPr>
          <w:p>
            <w:pPr>
              <w:jc w:val="right"/>
            </w:pPr>
            <w:r>
              <w:rPr>
                <w:rFonts w:ascii="Calibri" w:hAnsi="Calibri"/>
                <w:sz w:val="16"/>
              </w:rPr>
              <w:t>30</w:t>
            </w:r>
          </w:p>
        </w:tc>
        <w:tc>
          <w:tcPr>
            <w:tcW w:type="dxa" w:w="1204"/>
            <w:shd w:val="clear" w:fill="F1F5F9"/>
          </w:tcPr>
          <w:p>
            <w:pPr>
              <w:jc w:val="right"/>
            </w:pPr>
            <w:r>
              <w:rPr>
                <w:rFonts w:ascii="Calibri" w:hAnsi="Calibri"/>
                <w:sz w:val="16"/>
              </w:rPr>
              <w:t>336 917</w:t>
            </w:r>
          </w:p>
        </w:tc>
        <w:tc>
          <w:tcPr>
            <w:tcW w:type="dxa" w:w="1204"/>
            <w:shd w:val="clear" w:fill="F1F5F9"/>
          </w:tcPr>
          <w:p>
            <w:pPr>
              <w:jc w:val="right"/>
            </w:pPr>
            <w:r>
              <w:rPr>
                <w:rFonts w:ascii="Calibri" w:hAnsi="Calibri"/>
                <w:sz w:val="16"/>
              </w:rPr>
              <w:t>330 000</w:t>
            </w:r>
          </w:p>
        </w:tc>
        <w:tc>
          <w:tcPr>
            <w:tcW w:type="dxa" w:w="1204"/>
            <w:shd w:val="clear" w:fill="F1F5F9"/>
          </w:tcPr>
          <w:p>
            <w:pPr>
              <w:jc w:val="right"/>
            </w:pPr>
            <w:r>
              <w:rPr>
                <w:rFonts w:ascii="Calibri" w:hAnsi="Calibri"/>
                <w:sz w:val="16"/>
              </w:rPr>
              <w:t>185 750</w:t>
            </w:r>
          </w:p>
        </w:tc>
        <w:tc>
          <w:tcPr>
            <w:tcW w:type="dxa" w:w="1204"/>
            <w:shd w:val="clear" w:fill="F1F5F9"/>
          </w:tcPr>
          <w:p>
            <w:pPr>
              <w:jc w:val="right"/>
            </w:pPr>
            <w:r>
              <w:rPr>
                <w:rFonts w:ascii="Calibri" w:hAnsi="Calibri"/>
                <w:sz w:val="16"/>
              </w:rPr>
              <w:t>465 000</w:t>
            </w:r>
          </w:p>
        </w:tc>
        <w:tc>
          <w:tcPr>
            <w:tcW w:type="dxa" w:w="1204"/>
            <w:shd w:val="clear" w:fill="F1F5F9"/>
          </w:tcPr>
          <w:p>
            <w:pPr>
              <w:jc w:val="right"/>
            </w:pPr>
            <w:r>
              <w:rPr>
                <w:rFonts w:ascii="Calibri" w:hAnsi="Calibri"/>
                <w:sz w:val="16"/>
              </w:rPr>
              <w:t>188 008</w:t>
            </w:r>
          </w:p>
        </w:tc>
        <w:tc>
          <w:tcPr>
            <w:tcW w:type="dxa" w:w="1204"/>
            <w:shd w:val="clear" w:fill="F1F5F9"/>
          </w:tcPr>
          <w:p>
            <w:pPr>
              <w:jc w:val="right"/>
            </w:pPr>
            <w:r>
              <w:rPr>
                <w:rFonts w:ascii="Calibri" w:hAnsi="Calibri"/>
                <w:sz w:val="16"/>
              </w:rPr>
              <w:t>56</w:t>
            </w:r>
          </w:p>
        </w:tc>
      </w:tr>
      <w:tr>
        <w:tc>
          <w:tcPr>
            <w:tcW w:type="dxa" w:w="1204"/>
            <w:shd w:val="clear" w:fill="0A8A75"/>
          </w:tcPr>
          <w:p>
            <w:pPr>
              <w:jc w:val="left"/>
            </w:pPr>
            <w:r>
              <w:rPr>
                <w:rFonts w:ascii="Calibri" w:hAnsi="Calibri"/>
                <w:b/>
                <w:color w:val="FFFFFF"/>
                <w:sz w:val="16"/>
              </w:rPr>
              <w:t>Mbalaka — unité : Combo</w:t>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r>
      <w:tr>
        <w:tc>
          <w:tcPr>
            <w:tcW w:type="dxa" w:w="1204"/>
            <w:shd w:val="clear" w:fill="F1F5F9"/>
          </w:tcPr>
          <w:p>
            <w:pPr>
              <w:jc w:val="left"/>
            </w:pPr>
            <w:r>
              <w:rPr>
                <w:rFonts w:ascii="Calibri" w:hAnsi="Calibri"/>
                <w:sz w:val="16"/>
              </w:rPr>
              <w:t>Qté collectée</w:t>
            </w:r>
          </w:p>
        </w:tc>
        <w:tc>
          <w:tcPr>
            <w:tcW w:type="dxa" w:w="1204"/>
            <w:shd w:val="clear" w:fill="F1F5F9"/>
          </w:tcPr>
          <w:p>
            <w:pPr>
              <w:jc w:val="right"/>
            </w:pPr>
            <w:r>
              <w:rPr>
                <w:rFonts w:ascii="Calibri" w:hAnsi="Calibri"/>
                <w:sz w:val="16"/>
              </w:rPr>
              <w:t>29</w:t>
            </w:r>
          </w:p>
        </w:tc>
        <w:tc>
          <w:tcPr>
            <w:tcW w:type="dxa" w:w="1204"/>
            <w:shd w:val="clear" w:fill="F1F5F9"/>
          </w:tcPr>
          <w:p>
            <w:pPr>
              <w:jc w:val="right"/>
            </w:pPr>
            <w:r>
              <w:rPr>
                <w:rFonts w:ascii="Calibri" w:hAnsi="Calibri"/>
                <w:sz w:val="16"/>
              </w:rPr>
              <w:t>179</w:t>
            </w:r>
          </w:p>
        </w:tc>
        <w:tc>
          <w:tcPr>
            <w:tcW w:type="dxa" w:w="1204"/>
            <w:shd w:val="clear" w:fill="F1F5F9"/>
          </w:tcPr>
          <w:p>
            <w:pPr>
              <w:jc w:val="right"/>
            </w:pPr>
            <w:r>
              <w:rPr>
                <w:rFonts w:ascii="Calibri" w:hAnsi="Calibri"/>
                <w:sz w:val="16"/>
              </w:rPr>
              <w:t>120</w:t>
            </w:r>
          </w:p>
        </w:tc>
        <w:tc>
          <w:tcPr>
            <w:tcW w:type="dxa" w:w="1204"/>
            <w:shd w:val="clear" w:fill="F1F5F9"/>
          </w:tcPr>
          <w:p>
            <w:pPr>
              <w:jc w:val="right"/>
            </w:pPr>
            <w:r>
              <w:rPr>
                <w:rFonts w:ascii="Calibri" w:hAnsi="Calibri"/>
                <w:sz w:val="16"/>
              </w:rPr>
              <w:t>60</w:t>
            </w:r>
          </w:p>
        </w:tc>
        <w:tc>
          <w:tcPr>
            <w:tcW w:type="dxa" w:w="1204"/>
            <w:shd w:val="clear" w:fill="F1F5F9"/>
          </w:tcPr>
          <w:p>
            <w:pPr>
              <w:jc w:val="right"/>
            </w:pPr>
            <w:r>
              <w:rPr>
                <w:rFonts w:ascii="Calibri" w:hAnsi="Calibri"/>
                <w:sz w:val="16"/>
              </w:rPr>
              <w:t>240</w:t>
            </w:r>
          </w:p>
        </w:tc>
        <w:tc>
          <w:tcPr>
            <w:tcW w:type="dxa" w:w="1204"/>
            <w:shd w:val="clear" w:fill="F1F5F9"/>
          </w:tcPr>
          <w:p>
            <w:pPr>
              <w:jc w:val="right"/>
            </w:pPr>
            <w:r>
              <w:rPr>
                <w:rFonts w:ascii="Calibri" w:hAnsi="Calibri"/>
                <w:sz w:val="16"/>
              </w:rPr>
              <w:t>156</w:t>
            </w:r>
          </w:p>
        </w:tc>
        <w:tc>
          <w:tcPr>
            <w:tcW w:type="dxa" w:w="1204"/>
            <w:shd w:val="clear" w:fill="F1F5F9"/>
          </w:tcPr>
          <w:p>
            <w:pPr>
              <w:jc w:val="right"/>
            </w:pPr>
            <w:r>
              <w:rPr>
                <w:rFonts w:ascii="Calibri" w:hAnsi="Calibri"/>
                <w:sz w:val="16"/>
              </w:rPr>
              <w:t>87</w:t>
            </w:r>
          </w:p>
        </w:tc>
      </w:tr>
      <w:tr>
        <w:tc>
          <w:tcPr>
            <w:tcW w:type="dxa" w:w="1204"/>
          </w:tcPr>
          <w:p>
            <w:pPr>
              <w:jc w:val="left"/>
            </w:pPr>
            <w:r>
              <w:rPr>
                <w:rFonts w:ascii="Calibri" w:hAnsi="Calibri"/>
                <w:sz w:val="16"/>
              </w:rPr>
              <w:t>Qté autoconso.</w:t>
            </w:r>
          </w:p>
        </w:tc>
        <w:tc>
          <w:tcPr>
            <w:tcW w:type="dxa" w:w="1204"/>
          </w:tcPr>
          <w:p>
            <w:pPr>
              <w:jc w:val="right"/>
            </w:pPr>
            <w:r>
              <w:rPr>
                <w:rFonts w:ascii="Calibri" w:hAnsi="Calibri"/>
                <w:sz w:val="16"/>
              </w:rPr>
              <w:t>29</w:t>
            </w:r>
          </w:p>
        </w:tc>
        <w:tc>
          <w:tcPr>
            <w:tcW w:type="dxa" w:w="1204"/>
          </w:tcPr>
          <w:p>
            <w:pPr>
              <w:jc w:val="right"/>
            </w:pPr>
            <w:r>
              <w:rPr>
                <w:rFonts w:ascii="Calibri" w:hAnsi="Calibri"/>
                <w:sz w:val="16"/>
              </w:rPr>
              <w:t>0</w:t>
            </w:r>
          </w:p>
        </w:tc>
        <w:tc>
          <w:tcPr>
            <w:tcW w:type="dxa" w:w="1204"/>
          </w:tcPr>
          <w:p>
            <w:pPr>
              <w:jc w:val="right"/>
            </w:pPr>
            <w:r>
              <w:rPr>
                <w:rFonts w:ascii="Calibri" w:hAnsi="Calibri"/>
                <w:sz w:val="16"/>
              </w:rPr>
              <w:t>0</w:t>
            </w:r>
          </w:p>
        </w:tc>
        <w:tc>
          <w:tcPr>
            <w:tcW w:type="dxa" w:w="1204"/>
          </w:tcPr>
          <w:p>
            <w:pPr>
              <w:jc w:val="right"/>
            </w:pPr>
            <w:r>
              <w:rPr>
                <w:rFonts w:ascii="Calibri" w:hAnsi="Calibri"/>
                <w:sz w:val="16"/>
              </w:rPr>
              <w:t>0</w:t>
            </w:r>
          </w:p>
        </w:tc>
        <w:tc>
          <w:tcPr>
            <w:tcW w:type="dxa" w:w="1204"/>
          </w:tcPr>
          <w:p>
            <w:pPr>
              <w:jc w:val="right"/>
            </w:pPr>
            <w:r>
              <w:rPr>
                <w:rFonts w:ascii="Calibri" w:hAnsi="Calibri"/>
                <w:sz w:val="16"/>
              </w:rPr>
              <w:t>0</w:t>
            </w:r>
          </w:p>
        </w:tc>
        <w:tc>
          <w:tcPr>
            <w:tcW w:type="dxa" w:w="1204"/>
          </w:tcPr>
          <w:p>
            <w:pPr>
              <w:jc w:val="right"/>
            </w:pPr>
            <w:r>
              <w:rPr>
                <w:rFonts w:ascii="Calibri" w:hAnsi="Calibri"/>
                <w:sz w:val="16"/>
              </w:rPr>
              <w:t>0</w:t>
            </w:r>
          </w:p>
        </w:tc>
        <w:tc>
          <w:tcPr>
            <w:tcW w:type="dxa" w:w="1204"/>
          </w:tcPr>
          <w:p>
            <w:pPr>
              <w:jc w:val="right"/>
            </w:pPr>
            <w:r>
              <w:rPr>
                <w:rFonts w:ascii="Calibri" w:hAnsi="Calibri"/>
                <w:sz w:val="16"/>
              </w:rPr>
              <w:t>—</w:t>
            </w:r>
          </w:p>
        </w:tc>
      </w:tr>
      <w:tr>
        <w:tc>
          <w:tcPr>
            <w:tcW w:type="dxa" w:w="1204"/>
            <w:shd w:val="clear" w:fill="F1F5F9"/>
          </w:tcPr>
          <w:p>
            <w:pPr>
              <w:jc w:val="left"/>
            </w:pPr>
            <w:r>
              <w:rPr>
                <w:rFonts w:ascii="Calibri" w:hAnsi="Calibri"/>
                <w:sz w:val="16"/>
              </w:rPr>
              <w:t>Qté vendue</w:t>
            </w:r>
          </w:p>
        </w:tc>
        <w:tc>
          <w:tcPr>
            <w:tcW w:type="dxa" w:w="1204"/>
            <w:shd w:val="clear" w:fill="F1F5F9"/>
          </w:tcPr>
          <w:p>
            <w:pPr>
              <w:jc w:val="right"/>
            </w:pPr>
            <w:r>
              <w:rPr>
                <w:rFonts w:ascii="Calibri" w:hAnsi="Calibri"/>
                <w:sz w:val="16"/>
              </w:rPr>
              <w:t>29</w:t>
            </w:r>
          </w:p>
        </w:tc>
        <w:tc>
          <w:tcPr>
            <w:tcW w:type="dxa" w:w="1204"/>
            <w:shd w:val="clear" w:fill="F1F5F9"/>
          </w:tcPr>
          <w:p>
            <w:pPr>
              <w:jc w:val="right"/>
            </w:pPr>
            <w:r>
              <w:rPr>
                <w:rFonts w:ascii="Calibri" w:hAnsi="Calibri"/>
                <w:sz w:val="16"/>
              </w:rPr>
              <w:t>179</w:t>
            </w:r>
          </w:p>
        </w:tc>
        <w:tc>
          <w:tcPr>
            <w:tcW w:type="dxa" w:w="1204"/>
            <w:shd w:val="clear" w:fill="F1F5F9"/>
          </w:tcPr>
          <w:p>
            <w:pPr>
              <w:jc w:val="right"/>
            </w:pPr>
            <w:r>
              <w:rPr>
                <w:rFonts w:ascii="Calibri" w:hAnsi="Calibri"/>
                <w:sz w:val="16"/>
              </w:rPr>
              <w:t>120</w:t>
            </w:r>
          </w:p>
        </w:tc>
        <w:tc>
          <w:tcPr>
            <w:tcW w:type="dxa" w:w="1204"/>
            <w:shd w:val="clear" w:fill="F1F5F9"/>
          </w:tcPr>
          <w:p>
            <w:pPr>
              <w:jc w:val="right"/>
            </w:pPr>
            <w:r>
              <w:rPr>
                <w:rFonts w:ascii="Calibri" w:hAnsi="Calibri"/>
                <w:sz w:val="16"/>
              </w:rPr>
              <w:t>60</w:t>
            </w:r>
          </w:p>
        </w:tc>
        <w:tc>
          <w:tcPr>
            <w:tcW w:type="dxa" w:w="1204"/>
            <w:shd w:val="clear" w:fill="F1F5F9"/>
          </w:tcPr>
          <w:p>
            <w:pPr>
              <w:jc w:val="right"/>
            </w:pPr>
            <w:r>
              <w:rPr>
                <w:rFonts w:ascii="Calibri" w:hAnsi="Calibri"/>
                <w:sz w:val="16"/>
              </w:rPr>
              <w:t>240</w:t>
            </w:r>
          </w:p>
        </w:tc>
        <w:tc>
          <w:tcPr>
            <w:tcW w:type="dxa" w:w="1204"/>
            <w:shd w:val="clear" w:fill="F1F5F9"/>
          </w:tcPr>
          <w:p>
            <w:pPr>
              <w:jc w:val="right"/>
            </w:pPr>
            <w:r>
              <w:rPr>
                <w:rFonts w:ascii="Calibri" w:hAnsi="Calibri"/>
                <w:sz w:val="16"/>
              </w:rPr>
              <w:t>156</w:t>
            </w:r>
          </w:p>
        </w:tc>
        <w:tc>
          <w:tcPr>
            <w:tcW w:type="dxa" w:w="1204"/>
            <w:shd w:val="clear" w:fill="F1F5F9"/>
          </w:tcPr>
          <w:p>
            <w:pPr>
              <w:jc w:val="right"/>
            </w:pPr>
            <w:r>
              <w:rPr>
                <w:rFonts w:ascii="Calibri" w:hAnsi="Calibri"/>
                <w:sz w:val="16"/>
              </w:rPr>
              <w:t>87</w:t>
            </w:r>
          </w:p>
        </w:tc>
      </w:tr>
      <w:tr>
        <w:tc>
          <w:tcPr>
            <w:tcW w:type="dxa" w:w="1204"/>
          </w:tcPr>
          <w:p>
            <w:pPr>
              <w:jc w:val="left"/>
            </w:pPr>
            <w:r>
              <w:rPr>
                <w:rFonts w:ascii="Calibri" w:hAnsi="Calibri"/>
                <w:sz w:val="16"/>
              </w:rPr>
              <w:t>Prix unitaire (FCFA)</w:t>
            </w:r>
          </w:p>
        </w:tc>
        <w:tc>
          <w:tcPr>
            <w:tcW w:type="dxa" w:w="1204"/>
          </w:tcPr>
          <w:p>
            <w:pPr>
              <w:jc w:val="right"/>
            </w:pPr>
            <w:r>
              <w:rPr>
                <w:rFonts w:ascii="Calibri" w:hAnsi="Calibri"/>
                <w:sz w:val="16"/>
              </w:rPr>
              <w:t>29</w:t>
            </w:r>
          </w:p>
        </w:tc>
        <w:tc>
          <w:tcPr>
            <w:tcW w:type="dxa" w:w="1204"/>
          </w:tcPr>
          <w:p>
            <w:pPr>
              <w:jc w:val="right"/>
            </w:pPr>
            <w:r>
              <w:rPr>
                <w:rFonts w:ascii="Calibri" w:hAnsi="Calibri"/>
                <w:sz w:val="16"/>
              </w:rPr>
              <w:t>945</w:t>
            </w:r>
          </w:p>
        </w:tc>
        <w:tc>
          <w:tcPr>
            <w:tcW w:type="dxa" w:w="1204"/>
          </w:tcPr>
          <w:p>
            <w:pPr>
              <w:jc w:val="right"/>
            </w:pPr>
            <w:r>
              <w:rPr>
                <w:rFonts w:ascii="Calibri" w:hAnsi="Calibri"/>
                <w:sz w:val="16"/>
              </w:rPr>
              <w:t>1 000</w:t>
            </w:r>
          </w:p>
        </w:tc>
        <w:tc>
          <w:tcPr>
            <w:tcW w:type="dxa" w:w="1204"/>
          </w:tcPr>
          <w:p>
            <w:pPr>
              <w:jc w:val="right"/>
            </w:pPr>
            <w:r>
              <w:rPr>
                <w:rFonts w:ascii="Calibri" w:hAnsi="Calibri"/>
                <w:sz w:val="16"/>
              </w:rPr>
              <w:t>1 000</w:t>
            </w:r>
          </w:p>
        </w:tc>
        <w:tc>
          <w:tcPr>
            <w:tcW w:type="dxa" w:w="1204"/>
          </w:tcPr>
          <w:p>
            <w:pPr>
              <w:jc w:val="right"/>
            </w:pPr>
            <w:r>
              <w:rPr>
                <w:rFonts w:ascii="Calibri" w:hAnsi="Calibri"/>
                <w:sz w:val="16"/>
              </w:rPr>
              <w:t>1 000</w:t>
            </w:r>
          </w:p>
        </w:tc>
        <w:tc>
          <w:tcPr>
            <w:tcW w:type="dxa" w:w="1204"/>
          </w:tcPr>
          <w:p>
            <w:pPr>
              <w:jc w:val="right"/>
            </w:pPr>
            <w:r>
              <w:rPr>
                <w:rFonts w:ascii="Calibri" w:hAnsi="Calibri"/>
                <w:sz w:val="16"/>
              </w:rPr>
              <w:t>111</w:t>
            </w:r>
          </w:p>
        </w:tc>
        <w:tc>
          <w:tcPr>
            <w:tcW w:type="dxa" w:w="1204"/>
          </w:tcPr>
          <w:p>
            <w:pPr>
              <w:jc w:val="right"/>
            </w:pPr>
            <w:r>
              <w:rPr>
                <w:rFonts w:ascii="Calibri" w:hAnsi="Calibri"/>
                <w:sz w:val="16"/>
              </w:rPr>
              <w:t>12</w:t>
            </w:r>
          </w:p>
        </w:tc>
      </w:tr>
      <w:tr>
        <w:tc>
          <w:tcPr>
            <w:tcW w:type="dxa" w:w="1204"/>
            <w:shd w:val="clear" w:fill="F1F5F9"/>
          </w:tcPr>
          <w:p>
            <w:pPr>
              <w:jc w:val="left"/>
            </w:pPr>
            <w:r>
              <w:rPr>
                <w:rFonts w:ascii="Calibri" w:hAnsi="Calibri"/>
                <w:sz w:val="16"/>
              </w:rPr>
              <w:t>Revenu (FCFA)</w:t>
            </w:r>
          </w:p>
        </w:tc>
        <w:tc>
          <w:tcPr>
            <w:tcW w:type="dxa" w:w="1204"/>
            <w:shd w:val="clear" w:fill="F1F5F9"/>
          </w:tcPr>
          <w:p>
            <w:pPr>
              <w:jc w:val="right"/>
            </w:pPr>
            <w:r>
              <w:rPr>
                <w:rFonts w:ascii="Calibri" w:hAnsi="Calibri"/>
                <w:sz w:val="16"/>
              </w:rPr>
              <w:t>29</w:t>
            </w:r>
          </w:p>
        </w:tc>
        <w:tc>
          <w:tcPr>
            <w:tcW w:type="dxa" w:w="1204"/>
            <w:shd w:val="clear" w:fill="F1F5F9"/>
          </w:tcPr>
          <w:p>
            <w:pPr>
              <w:jc w:val="right"/>
            </w:pPr>
            <w:r>
              <w:rPr>
                <w:rFonts w:ascii="Calibri" w:hAnsi="Calibri"/>
                <w:sz w:val="16"/>
              </w:rPr>
              <w:t>165 362</w:t>
            </w:r>
          </w:p>
        </w:tc>
        <w:tc>
          <w:tcPr>
            <w:tcW w:type="dxa" w:w="1204"/>
            <w:shd w:val="clear" w:fill="F1F5F9"/>
          </w:tcPr>
          <w:p>
            <w:pPr>
              <w:jc w:val="right"/>
            </w:pPr>
            <w:r>
              <w:rPr>
                <w:rFonts w:ascii="Calibri" w:hAnsi="Calibri"/>
                <w:sz w:val="16"/>
              </w:rPr>
              <w:t>120 000</w:t>
            </w:r>
          </w:p>
        </w:tc>
        <w:tc>
          <w:tcPr>
            <w:tcW w:type="dxa" w:w="1204"/>
            <w:shd w:val="clear" w:fill="F1F5F9"/>
          </w:tcPr>
          <w:p>
            <w:pPr>
              <w:jc w:val="right"/>
            </w:pPr>
            <w:r>
              <w:rPr>
                <w:rFonts w:ascii="Calibri" w:hAnsi="Calibri"/>
                <w:sz w:val="16"/>
              </w:rPr>
              <w:t>60 000</w:t>
            </w:r>
          </w:p>
        </w:tc>
        <w:tc>
          <w:tcPr>
            <w:tcW w:type="dxa" w:w="1204"/>
            <w:shd w:val="clear" w:fill="F1F5F9"/>
          </w:tcPr>
          <w:p>
            <w:pPr>
              <w:jc w:val="right"/>
            </w:pPr>
            <w:r>
              <w:rPr>
                <w:rFonts w:ascii="Calibri" w:hAnsi="Calibri"/>
                <w:sz w:val="16"/>
              </w:rPr>
              <w:t>240 000</w:t>
            </w:r>
          </w:p>
        </w:tc>
        <w:tc>
          <w:tcPr>
            <w:tcW w:type="dxa" w:w="1204"/>
            <w:shd w:val="clear" w:fill="F1F5F9"/>
          </w:tcPr>
          <w:p>
            <w:pPr>
              <w:jc w:val="right"/>
            </w:pPr>
            <w:r>
              <w:rPr>
                <w:rFonts w:ascii="Calibri" w:hAnsi="Calibri"/>
                <w:sz w:val="16"/>
              </w:rPr>
              <w:t>145 966</w:t>
            </w:r>
          </w:p>
        </w:tc>
        <w:tc>
          <w:tcPr>
            <w:tcW w:type="dxa" w:w="1204"/>
            <w:shd w:val="clear" w:fill="F1F5F9"/>
          </w:tcPr>
          <w:p>
            <w:pPr>
              <w:jc w:val="right"/>
            </w:pPr>
            <w:r>
              <w:rPr>
                <w:rFonts w:ascii="Calibri" w:hAnsi="Calibri"/>
                <w:sz w:val="16"/>
              </w:rPr>
              <w:t>88</w:t>
            </w:r>
          </w:p>
        </w:tc>
      </w:tr>
      <w:tr>
        <w:tc>
          <w:tcPr>
            <w:tcW w:type="dxa" w:w="1204"/>
            <w:shd w:val="clear" w:fill="0A8A75"/>
          </w:tcPr>
          <w:p>
            <w:pPr>
              <w:jc w:val="left"/>
            </w:pPr>
            <w:r>
              <w:rPr>
                <w:rFonts w:ascii="Calibri" w:hAnsi="Calibri"/>
                <w:b/>
                <w:color w:val="FFFFFF"/>
                <w:sz w:val="16"/>
              </w:rPr>
              <w:t>Djansang — unité : Combo</w:t>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r>
      <w:tr>
        <w:tc>
          <w:tcPr>
            <w:tcW w:type="dxa" w:w="1204"/>
            <w:shd w:val="clear" w:fill="F1F5F9"/>
          </w:tcPr>
          <w:p>
            <w:pPr>
              <w:jc w:val="left"/>
            </w:pPr>
            <w:r>
              <w:rPr>
                <w:rFonts w:ascii="Calibri" w:hAnsi="Calibri"/>
                <w:sz w:val="16"/>
              </w:rPr>
              <w:t>Qté collectée</w:t>
            </w:r>
          </w:p>
        </w:tc>
        <w:tc>
          <w:tcPr>
            <w:tcW w:type="dxa" w:w="1204"/>
            <w:shd w:val="clear" w:fill="F1F5F9"/>
          </w:tcPr>
          <w:p>
            <w:pPr>
              <w:jc w:val="right"/>
            </w:pPr>
            <w:r>
              <w:rPr>
                <w:rFonts w:ascii="Calibri" w:hAnsi="Calibri"/>
                <w:sz w:val="16"/>
              </w:rPr>
              <w:t>19</w:t>
            </w:r>
          </w:p>
        </w:tc>
        <w:tc>
          <w:tcPr>
            <w:tcW w:type="dxa" w:w="1204"/>
            <w:shd w:val="clear" w:fill="F1F5F9"/>
          </w:tcPr>
          <w:p>
            <w:pPr>
              <w:jc w:val="right"/>
            </w:pPr>
            <w:r>
              <w:rPr>
                <w:rFonts w:ascii="Calibri" w:hAnsi="Calibri"/>
                <w:sz w:val="16"/>
              </w:rPr>
              <w:t>14</w:t>
            </w:r>
          </w:p>
        </w:tc>
        <w:tc>
          <w:tcPr>
            <w:tcW w:type="dxa" w:w="1204"/>
            <w:shd w:val="clear" w:fill="F1F5F9"/>
          </w:tcPr>
          <w:p>
            <w:pPr>
              <w:jc w:val="right"/>
            </w:pPr>
            <w:r>
              <w:rPr>
                <w:rFonts w:ascii="Calibri" w:hAnsi="Calibri"/>
                <w:sz w:val="16"/>
              </w:rPr>
              <w:t>8</w:t>
            </w:r>
          </w:p>
        </w:tc>
        <w:tc>
          <w:tcPr>
            <w:tcW w:type="dxa" w:w="1204"/>
            <w:shd w:val="clear" w:fill="F1F5F9"/>
          </w:tcPr>
          <w:p>
            <w:pPr>
              <w:jc w:val="right"/>
            </w:pPr>
            <w:r>
              <w:rPr>
                <w:rFonts w:ascii="Calibri" w:hAnsi="Calibri"/>
                <w:sz w:val="16"/>
              </w:rPr>
              <w:t>5</w:t>
            </w:r>
          </w:p>
        </w:tc>
        <w:tc>
          <w:tcPr>
            <w:tcW w:type="dxa" w:w="1204"/>
            <w:shd w:val="clear" w:fill="F1F5F9"/>
          </w:tcPr>
          <w:p>
            <w:pPr>
              <w:jc w:val="right"/>
            </w:pPr>
            <w:r>
              <w:rPr>
                <w:rFonts w:ascii="Calibri" w:hAnsi="Calibri"/>
                <w:sz w:val="16"/>
              </w:rPr>
              <w:t>15</w:t>
            </w:r>
          </w:p>
        </w:tc>
        <w:tc>
          <w:tcPr>
            <w:tcW w:type="dxa" w:w="1204"/>
            <w:shd w:val="clear" w:fill="F1F5F9"/>
          </w:tcPr>
          <w:p>
            <w:pPr>
              <w:jc w:val="right"/>
            </w:pPr>
            <w:r>
              <w:rPr>
                <w:rFonts w:ascii="Calibri" w:hAnsi="Calibri"/>
                <w:sz w:val="16"/>
              </w:rPr>
              <w:t>16</w:t>
            </w:r>
          </w:p>
        </w:tc>
        <w:tc>
          <w:tcPr>
            <w:tcW w:type="dxa" w:w="1204"/>
            <w:shd w:val="clear" w:fill="F1F5F9"/>
          </w:tcPr>
          <w:p>
            <w:pPr>
              <w:jc w:val="right"/>
            </w:pPr>
            <w:r>
              <w:rPr>
                <w:rFonts w:ascii="Calibri" w:hAnsi="Calibri"/>
                <w:sz w:val="16"/>
              </w:rPr>
              <w:t>113</w:t>
            </w:r>
          </w:p>
        </w:tc>
      </w:tr>
      <w:tr>
        <w:tc>
          <w:tcPr>
            <w:tcW w:type="dxa" w:w="1204"/>
          </w:tcPr>
          <w:p>
            <w:pPr>
              <w:jc w:val="left"/>
            </w:pPr>
            <w:r>
              <w:rPr>
                <w:rFonts w:ascii="Calibri" w:hAnsi="Calibri"/>
                <w:sz w:val="16"/>
              </w:rPr>
              <w:t>Qté autoconso.</w:t>
            </w:r>
          </w:p>
        </w:tc>
        <w:tc>
          <w:tcPr>
            <w:tcW w:type="dxa" w:w="1204"/>
          </w:tcPr>
          <w:p>
            <w:pPr>
              <w:jc w:val="right"/>
            </w:pPr>
            <w:r>
              <w:rPr>
                <w:rFonts w:ascii="Calibri" w:hAnsi="Calibri"/>
                <w:sz w:val="16"/>
              </w:rPr>
              <w:t>19</w:t>
            </w:r>
          </w:p>
        </w:tc>
        <w:tc>
          <w:tcPr>
            <w:tcW w:type="dxa" w:w="1204"/>
          </w:tcPr>
          <w:p>
            <w:pPr>
              <w:jc w:val="right"/>
            </w:pPr>
            <w:r>
              <w:rPr>
                <w:rFonts w:ascii="Calibri" w:hAnsi="Calibri"/>
                <w:sz w:val="16"/>
              </w:rPr>
              <w:t>3</w:t>
            </w:r>
          </w:p>
        </w:tc>
        <w:tc>
          <w:tcPr>
            <w:tcW w:type="dxa" w:w="1204"/>
          </w:tcPr>
          <w:p>
            <w:pPr>
              <w:jc w:val="right"/>
            </w:pPr>
            <w:r>
              <w:rPr>
                <w:rFonts w:ascii="Calibri" w:hAnsi="Calibri"/>
                <w:sz w:val="16"/>
              </w:rPr>
              <w:t>2</w:t>
            </w:r>
          </w:p>
        </w:tc>
        <w:tc>
          <w:tcPr>
            <w:tcW w:type="dxa" w:w="1204"/>
          </w:tcPr>
          <w:p>
            <w:pPr>
              <w:jc w:val="right"/>
            </w:pPr>
            <w:r>
              <w:rPr>
                <w:rFonts w:ascii="Calibri" w:hAnsi="Calibri"/>
                <w:sz w:val="16"/>
              </w:rPr>
              <w:t>1</w:t>
            </w:r>
          </w:p>
        </w:tc>
        <w:tc>
          <w:tcPr>
            <w:tcW w:type="dxa" w:w="1204"/>
          </w:tcPr>
          <w:p>
            <w:pPr>
              <w:jc w:val="right"/>
            </w:pPr>
            <w:r>
              <w:rPr>
                <w:rFonts w:ascii="Calibri" w:hAnsi="Calibri"/>
                <w:sz w:val="16"/>
              </w:rPr>
              <w:t>4</w:t>
            </w:r>
          </w:p>
        </w:tc>
        <w:tc>
          <w:tcPr>
            <w:tcW w:type="dxa" w:w="1204"/>
          </w:tcPr>
          <w:p>
            <w:pPr>
              <w:jc w:val="right"/>
            </w:pPr>
            <w:r>
              <w:rPr>
                <w:rFonts w:ascii="Calibri" w:hAnsi="Calibri"/>
                <w:sz w:val="16"/>
              </w:rPr>
              <w:t>4</w:t>
            </w:r>
          </w:p>
        </w:tc>
        <w:tc>
          <w:tcPr>
            <w:tcW w:type="dxa" w:w="1204"/>
          </w:tcPr>
          <w:p>
            <w:pPr>
              <w:jc w:val="right"/>
            </w:pPr>
            <w:r>
              <w:rPr>
                <w:rFonts w:ascii="Calibri" w:hAnsi="Calibri"/>
                <w:sz w:val="16"/>
              </w:rPr>
              <w:t>118</w:t>
            </w:r>
          </w:p>
        </w:tc>
      </w:tr>
      <w:tr>
        <w:tc>
          <w:tcPr>
            <w:tcW w:type="dxa" w:w="1204"/>
            <w:shd w:val="clear" w:fill="F1F5F9"/>
          </w:tcPr>
          <w:p>
            <w:pPr>
              <w:jc w:val="left"/>
            </w:pPr>
            <w:r>
              <w:rPr>
                <w:rFonts w:ascii="Calibri" w:hAnsi="Calibri"/>
                <w:sz w:val="16"/>
              </w:rPr>
              <w:t>Qté vendue</w:t>
            </w:r>
          </w:p>
        </w:tc>
        <w:tc>
          <w:tcPr>
            <w:tcW w:type="dxa" w:w="1204"/>
            <w:shd w:val="clear" w:fill="F1F5F9"/>
          </w:tcPr>
          <w:p>
            <w:pPr>
              <w:jc w:val="right"/>
            </w:pPr>
            <w:r>
              <w:rPr>
                <w:rFonts w:ascii="Calibri" w:hAnsi="Calibri"/>
                <w:sz w:val="16"/>
              </w:rPr>
              <w:t>19</w:t>
            </w:r>
          </w:p>
        </w:tc>
        <w:tc>
          <w:tcPr>
            <w:tcW w:type="dxa" w:w="1204"/>
            <w:shd w:val="clear" w:fill="F1F5F9"/>
          </w:tcPr>
          <w:p>
            <w:pPr>
              <w:jc w:val="right"/>
            </w:pPr>
            <w:r>
              <w:rPr>
                <w:rFonts w:ascii="Calibri" w:hAnsi="Calibri"/>
                <w:sz w:val="16"/>
              </w:rPr>
              <w:t>15</w:t>
            </w:r>
          </w:p>
        </w:tc>
        <w:tc>
          <w:tcPr>
            <w:tcW w:type="dxa" w:w="1204"/>
            <w:shd w:val="clear" w:fill="F1F5F9"/>
          </w:tcPr>
          <w:p>
            <w:pPr>
              <w:jc w:val="right"/>
            </w:pPr>
            <w:r>
              <w:rPr>
                <w:rFonts w:ascii="Calibri" w:hAnsi="Calibri"/>
                <w:sz w:val="16"/>
              </w:rPr>
              <w:t>6</w:t>
            </w:r>
          </w:p>
        </w:tc>
        <w:tc>
          <w:tcPr>
            <w:tcW w:type="dxa" w:w="1204"/>
            <w:shd w:val="clear" w:fill="F1F5F9"/>
          </w:tcPr>
          <w:p>
            <w:pPr>
              <w:jc w:val="right"/>
            </w:pPr>
            <w:r>
              <w:rPr>
                <w:rFonts w:ascii="Calibri" w:hAnsi="Calibri"/>
                <w:sz w:val="16"/>
              </w:rPr>
              <w:t>3</w:t>
            </w:r>
          </w:p>
        </w:tc>
        <w:tc>
          <w:tcPr>
            <w:tcW w:type="dxa" w:w="1204"/>
            <w:shd w:val="clear" w:fill="F1F5F9"/>
          </w:tcPr>
          <w:p>
            <w:pPr>
              <w:jc w:val="right"/>
            </w:pPr>
            <w:r>
              <w:rPr>
                <w:rFonts w:ascii="Calibri" w:hAnsi="Calibri"/>
                <w:sz w:val="16"/>
              </w:rPr>
              <w:t>16</w:t>
            </w:r>
          </w:p>
        </w:tc>
        <w:tc>
          <w:tcPr>
            <w:tcW w:type="dxa" w:w="1204"/>
            <w:shd w:val="clear" w:fill="F1F5F9"/>
          </w:tcPr>
          <w:p>
            <w:pPr>
              <w:jc w:val="right"/>
            </w:pPr>
            <w:r>
              <w:rPr>
                <w:rFonts w:ascii="Calibri" w:hAnsi="Calibri"/>
                <w:sz w:val="16"/>
              </w:rPr>
              <w:t>24</w:t>
            </w:r>
          </w:p>
        </w:tc>
        <w:tc>
          <w:tcPr>
            <w:tcW w:type="dxa" w:w="1204"/>
            <w:shd w:val="clear" w:fill="F1F5F9"/>
          </w:tcPr>
          <w:p>
            <w:pPr>
              <w:jc w:val="right"/>
            </w:pPr>
            <w:r>
              <w:rPr>
                <w:rFonts w:ascii="Calibri" w:hAnsi="Calibri"/>
                <w:sz w:val="16"/>
              </w:rPr>
              <w:t>164</w:t>
            </w:r>
          </w:p>
        </w:tc>
      </w:tr>
      <w:tr>
        <w:tc>
          <w:tcPr>
            <w:tcW w:type="dxa" w:w="1204"/>
          </w:tcPr>
          <w:p>
            <w:pPr>
              <w:jc w:val="left"/>
            </w:pPr>
            <w:r>
              <w:rPr>
                <w:rFonts w:ascii="Calibri" w:hAnsi="Calibri"/>
                <w:sz w:val="16"/>
              </w:rPr>
              <w:t>Prix unitaire (FCFA)</w:t>
            </w:r>
          </w:p>
        </w:tc>
        <w:tc>
          <w:tcPr>
            <w:tcW w:type="dxa" w:w="1204"/>
          </w:tcPr>
          <w:p>
            <w:pPr>
              <w:jc w:val="right"/>
            </w:pPr>
            <w:r>
              <w:rPr>
                <w:rFonts w:ascii="Calibri" w:hAnsi="Calibri"/>
                <w:sz w:val="16"/>
              </w:rPr>
              <w:t>17</w:t>
            </w:r>
          </w:p>
        </w:tc>
        <w:tc>
          <w:tcPr>
            <w:tcW w:type="dxa" w:w="1204"/>
          </w:tcPr>
          <w:p>
            <w:pPr>
              <w:jc w:val="right"/>
            </w:pPr>
            <w:r>
              <w:rPr>
                <w:rFonts w:ascii="Calibri" w:hAnsi="Calibri"/>
                <w:sz w:val="16"/>
              </w:rPr>
              <w:t>3 853</w:t>
            </w:r>
          </w:p>
        </w:tc>
        <w:tc>
          <w:tcPr>
            <w:tcW w:type="dxa" w:w="1204"/>
          </w:tcPr>
          <w:p>
            <w:pPr>
              <w:jc w:val="right"/>
            </w:pPr>
            <w:r>
              <w:rPr>
                <w:rFonts w:ascii="Calibri" w:hAnsi="Calibri"/>
                <w:sz w:val="16"/>
              </w:rPr>
              <w:t>5 000</w:t>
            </w:r>
          </w:p>
        </w:tc>
        <w:tc>
          <w:tcPr>
            <w:tcW w:type="dxa" w:w="1204"/>
          </w:tcPr>
          <w:p>
            <w:pPr>
              <w:jc w:val="right"/>
            </w:pPr>
            <w:r>
              <w:rPr>
                <w:rFonts w:ascii="Calibri" w:hAnsi="Calibri"/>
                <w:sz w:val="16"/>
              </w:rPr>
              <w:t>3 000</w:t>
            </w:r>
          </w:p>
        </w:tc>
        <w:tc>
          <w:tcPr>
            <w:tcW w:type="dxa" w:w="1204"/>
          </w:tcPr>
          <w:p>
            <w:pPr>
              <w:jc w:val="right"/>
            </w:pPr>
            <w:r>
              <w:rPr>
                <w:rFonts w:ascii="Calibri" w:hAnsi="Calibri"/>
                <w:sz w:val="16"/>
              </w:rPr>
              <w:t>5 000</w:t>
            </w:r>
          </w:p>
        </w:tc>
        <w:tc>
          <w:tcPr>
            <w:tcW w:type="dxa" w:w="1204"/>
          </w:tcPr>
          <w:p>
            <w:pPr>
              <w:jc w:val="right"/>
            </w:pPr>
            <w:r>
              <w:rPr>
                <w:rFonts w:ascii="Calibri" w:hAnsi="Calibri"/>
                <w:sz w:val="16"/>
              </w:rPr>
              <w:t>1 296</w:t>
            </w:r>
          </w:p>
        </w:tc>
        <w:tc>
          <w:tcPr>
            <w:tcW w:type="dxa" w:w="1204"/>
          </w:tcPr>
          <w:p>
            <w:pPr>
              <w:jc w:val="right"/>
            </w:pPr>
            <w:r>
              <w:rPr>
                <w:rFonts w:ascii="Calibri" w:hAnsi="Calibri"/>
                <w:sz w:val="16"/>
              </w:rPr>
              <w:t>34</w:t>
            </w:r>
          </w:p>
        </w:tc>
      </w:tr>
      <w:tr>
        <w:tc>
          <w:tcPr>
            <w:tcW w:type="dxa" w:w="1204"/>
            <w:shd w:val="clear" w:fill="F1F5F9"/>
          </w:tcPr>
          <w:p>
            <w:pPr>
              <w:jc w:val="left"/>
            </w:pPr>
            <w:r>
              <w:rPr>
                <w:rFonts w:ascii="Calibri" w:hAnsi="Calibri"/>
                <w:sz w:val="16"/>
              </w:rPr>
              <w:t>Revenu (FCFA)</w:t>
            </w:r>
          </w:p>
        </w:tc>
        <w:tc>
          <w:tcPr>
            <w:tcW w:type="dxa" w:w="1204"/>
            <w:shd w:val="clear" w:fill="F1F5F9"/>
          </w:tcPr>
          <w:p>
            <w:pPr>
              <w:jc w:val="right"/>
            </w:pPr>
            <w:r>
              <w:rPr>
                <w:rFonts w:ascii="Calibri" w:hAnsi="Calibri"/>
                <w:sz w:val="16"/>
              </w:rPr>
              <w:t>19</w:t>
            </w:r>
          </w:p>
        </w:tc>
        <w:tc>
          <w:tcPr>
            <w:tcW w:type="dxa" w:w="1204"/>
            <w:shd w:val="clear" w:fill="F1F5F9"/>
          </w:tcPr>
          <w:p>
            <w:pPr>
              <w:jc w:val="right"/>
            </w:pPr>
            <w:r>
              <w:rPr>
                <w:rFonts w:ascii="Calibri" w:hAnsi="Calibri"/>
                <w:sz w:val="16"/>
              </w:rPr>
              <w:t>54 842</w:t>
            </w:r>
          </w:p>
        </w:tc>
        <w:tc>
          <w:tcPr>
            <w:tcW w:type="dxa" w:w="1204"/>
            <w:shd w:val="clear" w:fill="F1F5F9"/>
          </w:tcPr>
          <w:p>
            <w:pPr>
              <w:jc w:val="right"/>
            </w:pPr>
            <w:r>
              <w:rPr>
                <w:rFonts w:ascii="Calibri" w:hAnsi="Calibri"/>
                <w:sz w:val="16"/>
              </w:rPr>
              <w:t>25 000</w:t>
            </w:r>
          </w:p>
        </w:tc>
        <w:tc>
          <w:tcPr>
            <w:tcW w:type="dxa" w:w="1204"/>
            <w:shd w:val="clear" w:fill="F1F5F9"/>
          </w:tcPr>
          <w:p>
            <w:pPr>
              <w:jc w:val="right"/>
            </w:pPr>
            <w:r>
              <w:rPr>
                <w:rFonts w:ascii="Calibri" w:hAnsi="Calibri"/>
                <w:sz w:val="16"/>
              </w:rPr>
              <w:t>8 500</w:t>
            </w:r>
          </w:p>
        </w:tc>
        <w:tc>
          <w:tcPr>
            <w:tcW w:type="dxa" w:w="1204"/>
            <w:shd w:val="clear" w:fill="F1F5F9"/>
          </w:tcPr>
          <w:p>
            <w:pPr>
              <w:jc w:val="right"/>
            </w:pPr>
            <w:r>
              <w:rPr>
                <w:rFonts w:ascii="Calibri" w:hAnsi="Calibri"/>
                <w:sz w:val="16"/>
              </w:rPr>
              <w:t>54 000</w:t>
            </w:r>
          </w:p>
        </w:tc>
        <w:tc>
          <w:tcPr>
            <w:tcW w:type="dxa" w:w="1204"/>
            <w:shd w:val="clear" w:fill="F1F5F9"/>
          </w:tcPr>
          <w:p>
            <w:pPr>
              <w:jc w:val="right"/>
            </w:pPr>
            <w:r>
              <w:rPr>
                <w:rFonts w:ascii="Calibri" w:hAnsi="Calibri"/>
                <w:sz w:val="16"/>
              </w:rPr>
              <w:t>80 956</w:t>
            </w:r>
          </w:p>
        </w:tc>
        <w:tc>
          <w:tcPr>
            <w:tcW w:type="dxa" w:w="1204"/>
            <w:shd w:val="clear" w:fill="F1F5F9"/>
          </w:tcPr>
          <w:p>
            <w:pPr>
              <w:jc w:val="right"/>
            </w:pPr>
            <w:r>
              <w:rPr>
                <w:rFonts w:ascii="Calibri" w:hAnsi="Calibri"/>
                <w:sz w:val="16"/>
              </w:rPr>
              <w:t>148</w:t>
            </w:r>
          </w:p>
        </w:tc>
      </w:tr>
      <w:tr>
        <w:tc>
          <w:tcPr>
            <w:tcW w:type="dxa" w:w="1204"/>
            <w:shd w:val="clear" w:fill="0A8A75"/>
          </w:tcPr>
          <w:p>
            <w:pPr>
              <w:jc w:val="left"/>
            </w:pPr>
            <w:r>
              <w:rPr>
                <w:rFonts w:ascii="Calibri" w:hAnsi="Calibri"/>
                <w:b/>
                <w:color w:val="FFFFFF"/>
                <w:sz w:val="16"/>
              </w:rPr>
              <w:t>Moabi — unité : litre (huile)</w:t>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c>
          <w:tcPr>
            <w:tcW w:type="dxa" w:w="1204"/>
            <w:shd w:val="clear" w:fill="0A8A75"/>
          </w:tcPr>
          <w:p>
            <w:pPr>
              <w:jc w:val="right"/>
            </w:pPr>
            <w:r>
              <w:rPr>
                <w:rFonts w:ascii="Calibri" w:hAnsi="Calibri"/>
                <w:b/>
                <w:color w:val="FFFFFF"/>
                <w:sz w:val="16"/>
              </w:rPr>
            </w:r>
          </w:p>
        </w:tc>
      </w:tr>
      <w:tr>
        <w:tc>
          <w:tcPr>
            <w:tcW w:type="dxa" w:w="1204"/>
            <w:shd w:val="clear" w:fill="F1F5F9"/>
          </w:tcPr>
          <w:p>
            <w:pPr>
              <w:jc w:val="left"/>
            </w:pPr>
            <w:r>
              <w:rPr>
                <w:rFonts w:ascii="Calibri" w:hAnsi="Calibri"/>
                <w:sz w:val="16"/>
              </w:rPr>
              <w:t>Qté collectée</w:t>
            </w:r>
          </w:p>
        </w:tc>
        <w:tc>
          <w:tcPr>
            <w:tcW w:type="dxa" w:w="1204"/>
            <w:shd w:val="clear" w:fill="F1F5F9"/>
          </w:tcPr>
          <w:p>
            <w:pPr>
              <w:jc w:val="right"/>
            </w:pPr>
            <w:r>
              <w:rPr>
                <w:rFonts w:ascii="Calibri" w:hAnsi="Calibri"/>
                <w:sz w:val="16"/>
              </w:rPr>
              <w:t>15</w:t>
            </w:r>
          </w:p>
        </w:tc>
        <w:tc>
          <w:tcPr>
            <w:tcW w:type="dxa" w:w="1204"/>
            <w:shd w:val="clear" w:fill="F1F5F9"/>
          </w:tcPr>
          <w:p>
            <w:pPr>
              <w:jc w:val="right"/>
            </w:pPr>
            <w:r>
              <w:rPr>
                <w:rFonts w:ascii="Calibri" w:hAnsi="Calibri"/>
                <w:sz w:val="16"/>
              </w:rPr>
              <w:t>42</w:t>
            </w:r>
          </w:p>
        </w:tc>
        <w:tc>
          <w:tcPr>
            <w:tcW w:type="dxa" w:w="1204"/>
            <w:shd w:val="clear" w:fill="F1F5F9"/>
          </w:tcPr>
          <w:p>
            <w:pPr>
              <w:jc w:val="right"/>
            </w:pPr>
            <w:r>
              <w:rPr>
                <w:rFonts w:ascii="Calibri" w:hAnsi="Calibri"/>
                <w:sz w:val="16"/>
              </w:rPr>
              <w:t>40</w:t>
            </w:r>
          </w:p>
        </w:tc>
        <w:tc>
          <w:tcPr>
            <w:tcW w:type="dxa" w:w="1204"/>
            <w:shd w:val="clear" w:fill="F1F5F9"/>
          </w:tcPr>
          <w:p>
            <w:pPr>
              <w:jc w:val="right"/>
            </w:pPr>
            <w:r>
              <w:rPr>
                <w:rFonts w:ascii="Calibri" w:hAnsi="Calibri"/>
                <w:sz w:val="16"/>
              </w:rPr>
              <w:t>20</w:t>
            </w:r>
          </w:p>
        </w:tc>
        <w:tc>
          <w:tcPr>
            <w:tcW w:type="dxa" w:w="1204"/>
            <w:shd w:val="clear" w:fill="F1F5F9"/>
          </w:tcPr>
          <w:p>
            <w:pPr>
              <w:jc w:val="right"/>
            </w:pPr>
            <w:r>
              <w:rPr>
                <w:rFonts w:ascii="Calibri" w:hAnsi="Calibri"/>
                <w:sz w:val="16"/>
              </w:rPr>
              <w:t>65</w:t>
            </w:r>
          </w:p>
        </w:tc>
        <w:tc>
          <w:tcPr>
            <w:tcW w:type="dxa" w:w="1204"/>
            <w:shd w:val="clear" w:fill="F1F5F9"/>
          </w:tcPr>
          <w:p>
            <w:pPr>
              <w:jc w:val="right"/>
            </w:pPr>
            <w:r>
              <w:rPr>
                <w:rFonts w:ascii="Calibri" w:hAnsi="Calibri"/>
                <w:sz w:val="16"/>
              </w:rPr>
              <w:t>30</w:t>
            </w:r>
          </w:p>
        </w:tc>
        <w:tc>
          <w:tcPr>
            <w:tcW w:type="dxa" w:w="1204"/>
            <w:shd w:val="clear" w:fill="F1F5F9"/>
          </w:tcPr>
          <w:p>
            <w:pPr>
              <w:jc w:val="right"/>
            </w:pPr>
            <w:r>
              <w:rPr>
                <w:rFonts w:ascii="Calibri" w:hAnsi="Calibri"/>
                <w:sz w:val="16"/>
              </w:rPr>
              <w:t>72</w:t>
            </w:r>
          </w:p>
        </w:tc>
      </w:tr>
      <w:tr>
        <w:tc>
          <w:tcPr>
            <w:tcW w:type="dxa" w:w="1204"/>
          </w:tcPr>
          <w:p>
            <w:pPr>
              <w:jc w:val="left"/>
            </w:pPr>
            <w:r>
              <w:rPr>
                <w:rFonts w:ascii="Calibri" w:hAnsi="Calibri"/>
                <w:sz w:val="16"/>
              </w:rPr>
              <w:t>Qté autoconso.</w:t>
            </w:r>
          </w:p>
        </w:tc>
        <w:tc>
          <w:tcPr>
            <w:tcW w:type="dxa" w:w="1204"/>
          </w:tcPr>
          <w:p>
            <w:pPr>
              <w:jc w:val="right"/>
            </w:pPr>
            <w:r>
              <w:rPr>
                <w:rFonts w:ascii="Calibri" w:hAnsi="Calibri"/>
                <w:sz w:val="16"/>
              </w:rPr>
              <w:t>15</w:t>
            </w:r>
          </w:p>
        </w:tc>
        <w:tc>
          <w:tcPr>
            <w:tcW w:type="dxa" w:w="1204"/>
          </w:tcPr>
          <w:p>
            <w:pPr>
              <w:jc w:val="right"/>
            </w:pPr>
            <w:r>
              <w:rPr>
                <w:rFonts w:ascii="Calibri" w:hAnsi="Calibri"/>
                <w:sz w:val="16"/>
              </w:rPr>
              <w:t>14</w:t>
            </w:r>
          </w:p>
        </w:tc>
        <w:tc>
          <w:tcPr>
            <w:tcW w:type="dxa" w:w="1204"/>
          </w:tcPr>
          <w:p>
            <w:pPr>
              <w:jc w:val="right"/>
            </w:pPr>
            <w:r>
              <w:rPr>
                <w:rFonts w:ascii="Calibri" w:hAnsi="Calibri"/>
                <w:sz w:val="16"/>
              </w:rPr>
              <w:t>10</w:t>
            </w:r>
          </w:p>
        </w:tc>
        <w:tc>
          <w:tcPr>
            <w:tcW w:type="dxa" w:w="1204"/>
          </w:tcPr>
          <w:p>
            <w:pPr>
              <w:jc w:val="right"/>
            </w:pPr>
            <w:r>
              <w:rPr>
                <w:rFonts w:ascii="Calibri" w:hAnsi="Calibri"/>
                <w:sz w:val="16"/>
              </w:rPr>
              <w:t>5</w:t>
            </w:r>
          </w:p>
        </w:tc>
        <w:tc>
          <w:tcPr>
            <w:tcW w:type="dxa" w:w="1204"/>
          </w:tcPr>
          <w:p>
            <w:pPr>
              <w:jc w:val="right"/>
            </w:pPr>
            <w:r>
              <w:rPr>
                <w:rFonts w:ascii="Calibri" w:hAnsi="Calibri"/>
                <w:sz w:val="16"/>
              </w:rPr>
              <w:t>20</w:t>
            </w:r>
          </w:p>
        </w:tc>
        <w:tc>
          <w:tcPr>
            <w:tcW w:type="dxa" w:w="1204"/>
          </w:tcPr>
          <w:p>
            <w:pPr>
              <w:jc w:val="right"/>
            </w:pPr>
            <w:r>
              <w:rPr>
                <w:rFonts w:ascii="Calibri" w:hAnsi="Calibri"/>
                <w:sz w:val="16"/>
              </w:rPr>
              <w:t>15</w:t>
            </w:r>
          </w:p>
        </w:tc>
        <w:tc>
          <w:tcPr>
            <w:tcW w:type="dxa" w:w="1204"/>
          </w:tcPr>
          <w:p>
            <w:pPr>
              <w:jc w:val="right"/>
            </w:pPr>
            <w:r>
              <w:rPr>
                <w:rFonts w:ascii="Calibri" w:hAnsi="Calibri"/>
                <w:sz w:val="16"/>
              </w:rPr>
              <w:t>104</w:t>
            </w:r>
          </w:p>
        </w:tc>
      </w:tr>
      <w:tr>
        <w:tc>
          <w:tcPr>
            <w:tcW w:type="dxa" w:w="1204"/>
            <w:shd w:val="clear" w:fill="F1F5F9"/>
          </w:tcPr>
          <w:p>
            <w:pPr>
              <w:jc w:val="left"/>
            </w:pPr>
            <w:r>
              <w:rPr>
                <w:rFonts w:ascii="Calibri" w:hAnsi="Calibri"/>
                <w:sz w:val="16"/>
              </w:rPr>
              <w:t>Qté vendue</w:t>
            </w:r>
          </w:p>
        </w:tc>
        <w:tc>
          <w:tcPr>
            <w:tcW w:type="dxa" w:w="1204"/>
            <w:shd w:val="clear" w:fill="F1F5F9"/>
          </w:tcPr>
          <w:p>
            <w:pPr>
              <w:jc w:val="right"/>
            </w:pPr>
            <w:r>
              <w:rPr>
                <w:rFonts w:ascii="Calibri" w:hAnsi="Calibri"/>
                <w:sz w:val="16"/>
              </w:rPr>
              <w:t>15</w:t>
            </w:r>
          </w:p>
        </w:tc>
        <w:tc>
          <w:tcPr>
            <w:tcW w:type="dxa" w:w="1204"/>
            <w:shd w:val="clear" w:fill="F1F5F9"/>
          </w:tcPr>
          <w:p>
            <w:pPr>
              <w:jc w:val="right"/>
            </w:pPr>
            <w:r>
              <w:rPr>
                <w:rFonts w:ascii="Calibri" w:hAnsi="Calibri"/>
                <w:sz w:val="16"/>
              </w:rPr>
              <w:t>27</w:t>
            </w:r>
          </w:p>
        </w:tc>
        <w:tc>
          <w:tcPr>
            <w:tcW w:type="dxa" w:w="1204"/>
            <w:shd w:val="clear" w:fill="F1F5F9"/>
          </w:tcPr>
          <w:p>
            <w:pPr>
              <w:jc w:val="right"/>
            </w:pPr>
            <w:r>
              <w:rPr>
                <w:rFonts w:ascii="Calibri" w:hAnsi="Calibri"/>
                <w:sz w:val="16"/>
              </w:rPr>
              <w:t>20</w:t>
            </w:r>
          </w:p>
        </w:tc>
        <w:tc>
          <w:tcPr>
            <w:tcW w:type="dxa" w:w="1204"/>
            <w:shd w:val="clear" w:fill="F1F5F9"/>
          </w:tcPr>
          <w:p>
            <w:pPr>
              <w:jc w:val="right"/>
            </w:pPr>
            <w:r>
              <w:rPr>
                <w:rFonts w:ascii="Calibri" w:hAnsi="Calibri"/>
                <w:sz w:val="16"/>
              </w:rPr>
              <w:t>12</w:t>
            </w:r>
          </w:p>
        </w:tc>
        <w:tc>
          <w:tcPr>
            <w:tcW w:type="dxa" w:w="1204"/>
            <w:shd w:val="clear" w:fill="F1F5F9"/>
          </w:tcPr>
          <w:p>
            <w:pPr>
              <w:jc w:val="right"/>
            </w:pPr>
            <w:r>
              <w:rPr>
                <w:rFonts w:ascii="Calibri" w:hAnsi="Calibri"/>
                <w:sz w:val="16"/>
              </w:rPr>
              <w:t>45</w:t>
            </w:r>
          </w:p>
        </w:tc>
        <w:tc>
          <w:tcPr>
            <w:tcW w:type="dxa" w:w="1204"/>
            <w:shd w:val="clear" w:fill="F1F5F9"/>
          </w:tcPr>
          <w:p>
            <w:pPr>
              <w:jc w:val="right"/>
            </w:pPr>
            <w:r>
              <w:rPr>
                <w:rFonts w:ascii="Calibri" w:hAnsi="Calibri"/>
                <w:sz w:val="16"/>
              </w:rPr>
              <w:t>21</w:t>
            </w:r>
          </w:p>
        </w:tc>
        <w:tc>
          <w:tcPr>
            <w:tcW w:type="dxa" w:w="1204"/>
            <w:shd w:val="clear" w:fill="F1F5F9"/>
          </w:tcPr>
          <w:p>
            <w:pPr>
              <w:jc w:val="right"/>
            </w:pPr>
            <w:r>
              <w:rPr>
                <w:rFonts w:ascii="Calibri" w:hAnsi="Calibri"/>
                <w:sz w:val="16"/>
              </w:rPr>
              <w:t>77</w:t>
            </w:r>
          </w:p>
        </w:tc>
      </w:tr>
      <w:tr>
        <w:tc>
          <w:tcPr>
            <w:tcW w:type="dxa" w:w="1204"/>
          </w:tcPr>
          <w:p>
            <w:pPr>
              <w:jc w:val="left"/>
            </w:pPr>
            <w:r>
              <w:rPr>
                <w:rFonts w:ascii="Calibri" w:hAnsi="Calibri"/>
                <w:sz w:val="16"/>
              </w:rPr>
              <w:t>Prix unitaire (FCFA)</w:t>
            </w:r>
          </w:p>
        </w:tc>
        <w:tc>
          <w:tcPr>
            <w:tcW w:type="dxa" w:w="1204"/>
          </w:tcPr>
          <w:p>
            <w:pPr>
              <w:jc w:val="right"/>
            </w:pPr>
            <w:r>
              <w:rPr>
                <w:rFonts w:ascii="Calibri" w:hAnsi="Calibri"/>
                <w:sz w:val="16"/>
              </w:rPr>
              <w:t>13</w:t>
            </w:r>
          </w:p>
        </w:tc>
        <w:tc>
          <w:tcPr>
            <w:tcW w:type="dxa" w:w="1204"/>
          </w:tcPr>
          <w:p>
            <w:pPr>
              <w:jc w:val="right"/>
            </w:pPr>
            <w:r>
              <w:rPr>
                <w:rFonts w:ascii="Calibri" w:hAnsi="Calibri"/>
                <w:sz w:val="16"/>
              </w:rPr>
              <w:t>2 385</w:t>
            </w:r>
          </w:p>
        </w:tc>
        <w:tc>
          <w:tcPr>
            <w:tcW w:type="dxa" w:w="1204"/>
          </w:tcPr>
          <w:p>
            <w:pPr>
              <w:jc w:val="right"/>
            </w:pPr>
            <w:r>
              <w:rPr>
                <w:rFonts w:ascii="Calibri" w:hAnsi="Calibri"/>
                <w:sz w:val="16"/>
              </w:rPr>
              <w:t>2 500</w:t>
            </w:r>
          </w:p>
        </w:tc>
        <w:tc>
          <w:tcPr>
            <w:tcW w:type="dxa" w:w="1204"/>
          </w:tcPr>
          <w:p>
            <w:pPr>
              <w:jc w:val="right"/>
            </w:pPr>
            <w:r>
              <w:rPr>
                <w:rFonts w:ascii="Calibri" w:hAnsi="Calibri"/>
                <w:sz w:val="16"/>
              </w:rPr>
              <w:t>2 000</w:t>
            </w:r>
          </w:p>
        </w:tc>
        <w:tc>
          <w:tcPr>
            <w:tcW w:type="dxa" w:w="1204"/>
          </w:tcPr>
          <w:p>
            <w:pPr>
              <w:jc w:val="right"/>
            </w:pPr>
            <w:r>
              <w:rPr>
                <w:rFonts w:ascii="Calibri" w:hAnsi="Calibri"/>
                <w:sz w:val="16"/>
              </w:rPr>
              <w:t>2 500</w:t>
            </w:r>
          </w:p>
        </w:tc>
        <w:tc>
          <w:tcPr>
            <w:tcW w:type="dxa" w:w="1204"/>
          </w:tcPr>
          <w:p>
            <w:pPr>
              <w:jc w:val="right"/>
            </w:pPr>
            <w:r>
              <w:rPr>
                <w:rFonts w:ascii="Calibri" w:hAnsi="Calibri"/>
                <w:sz w:val="16"/>
              </w:rPr>
              <w:t>363</w:t>
            </w:r>
          </w:p>
        </w:tc>
        <w:tc>
          <w:tcPr>
            <w:tcW w:type="dxa" w:w="1204"/>
          </w:tcPr>
          <w:p>
            <w:pPr>
              <w:jc w:val="right"/>
            </w:pPr>
            <w:r>
              <w:rPr>
                <w:rFonts w:ascii="Calibri" w:hAnsi="Calibri"/>
                <w:sz w:val="16"/>
              </w:rPr>
              <w:t>15</w:t>
            </w:r>
          </w:p>
        </w:tc>
      </w:tr>
      <w:tr>
        <w:tc>
          <w:tcPr>
            <w:tcW w:type="dxa" w:w="1204"/>
            <w:shd w:val="clear" w:fill="F1F5F9"/>
          </w:tcPr>
          <w:p>
            <w:pPr>
              <w:jc w:val="left"/>
            </w:pPr>
            <w:r>
              <w:rPr>
                <w:rFonts w:ascii="Calibri" w:hAnsi="Calibri"/>
                <w:sz w:val="16"/>
              </w:rPr>
              <w:t>Revenu (FCFA)</w:t>
            </w:r>
          </w:p>
        </w:tc>
        <w:tc>
          <w:tcPr>
            <w:tcW w:type="dxa" w:w="1204"/>
            <w:shd w:val="clear" w:fill="F1F5F9"/>
          </w:tcPr>
          <w:p>
            <w:pPr>
              <w:jc w:val="right"/>
            </w:pPr>
            <w:r>
              <w:rPr>
                <w:rFonts w:ascii="Calibri" w:hAnsi="Calibri"/>
                <w:sz w:val="16"/>
              </w:rPr>
              <w:t>15</w:t>
            </w:r>
          </w:p>
        </w:tc>
        <w:tc>
          <w:tcPr>
            <w:tcW w:type="dxa" w:w="1204"/>
            <w:shd w:val="clear" w:fill="F1F5F9"/>
          </w:tcPr>
          <w:p>
            <w:pPr>
              <w:jc w:val="right"/>
            </w:pPr>
            <w:r>
              <w:rPr>
                <w:rFonts w:ascii="Calibri" w:hAnsi="Calibri"/>
                <w:sz w:val="16"/>
              </w:rPr>
              <w:t>64 433</w:t>
            </w:r>
          </w:p>
        </w:tc>
        <w:tc>
          <w:tcPr>
            <w:tcW w:type="dxa" w:w="1204"/>
            <w:shd w:val="clear" w:fill="F1F5F9"/>
          </w:tcPr>
          <w:p>
            <w:pPr>
              <w:jc w:val="right"/>
            </w:pPr>
            <w:r>
              <w:rPr>
                <w:rFonts w:ascii="Calibri" w:hAnsi="Calibri"/>
                <w:sz w:val="16"/>
              </w:rPr>
              <w:t>60 000</w:t>
            </w:r>
          </w:p>
        </w:tc>
        <w:tc>
          <w:tcPr>
            <w:tcW w:type="dxa" w:w="1204"/>
            <w:shd w:val="clear" w:fill="F1F5F9"/>
          </w:tcPr>
          <w:p>
            <w:pPr>
              <w:jc w:val="right"/>
            </w:pPr>
            <w:r>
              <w:rPr>
                <w:rFonts w:ascii="Calibri" w:hAnsi="Calibri"/>
                <w:sz w:val="16"/>
              </w:rPr>
              <w:t>31 250</w:t>
            </w:r>
          </w:p>
        </w:tc>
        <w:tc>
          <w:tcPr>
            <w:tcW w:type="dxa" w:w="1204"/>
            <w:shd w:val="clear" w:fill="F1F5F9"/>
          </w:tcPr>
          <w:p>
            <w:pPr>
              <w:jc w:val="right"/>
            </w:pPr>
            <w:r>
              <w:rPr>
                <w:rFonts w:ascii="Calibri" w:hAnsi="Calibri"/>
                <w:sz w:val="16"/>
              </w:rPr>
              <w:t>90 000</w:t>
            </w:r>
          </w:p>
        </w:tc>
        <w:tc>
          <w:tcPr>
            <w:tcW w:type="dxa" w:w="1204"/>
            <w:shd w:val="clear" w:fill="F1F5F9"/>
          </w:tcPr>
          <w:p>
            <w:pPr>
              <w:jc w:val="right"/>
            </w:pPr>
            <w:r>
              <w:rPr>
                <w:rFonts w:ascii="Calibri" w:hAnsi="Calibri"/>
                <w:sz w:val="16"/>
              </w:rPr>
              <w:t>51 285</w:t>
            </w:r>
          </w:p>
        </w:tc>
        <w:tc>
          <w:tcPr>
            <w:tcW w:type="dxa" w:w="1204"/>
            <w:shd w:val="clear" w:fill="F1F5F9"/>
          </w:tcPr>
          <w:p>
            <w:pPr>
              <w:jc w:val="right"/>
            </w:pPr>
            <w:r>
              <w:rPr>
                <w:rFonts w:ascii="Calibri" w:hAnsi="Calibri"/>
                <w:sz w:val="16"/>
              </w:rPr>
              <w:t>80</w:t>
            </w:r>
          </w:p>
        </w:tc>
      </w:tr>
    </w:tbl>
    <w:p>
      <w:pPr>
        <w:jc w:val="both"/>
      </w:pPr>
      <w:r>
        <w:rPr>
          <w:sz w:val="22"/>
        </w:rPr>
        <w:t xml:space="preserve">Les coefficients de variation, tous supérieurs à 55 % et atteignant près de 150 % pour le Djansang, attestent d'une </w:t>
      </w:r>
      <w:r>
        <w:rPr>
          <w:b/>
          <w:sz w:val="22"/>
        </w:rPr>
        <w:t>très forte hétérogénéité inter-ménages</w:t>
      </w:r>
      <w:r>
        <w:rPr>
          <w:sz w:val="22"/>
        </w:rPr>
        <w:t xml:space="preserve"> des revenus, reflet de différences réelles de dotation en arbres producteurs, de main-d'œuvre et d'insertion commerciale (Figure 11). Les prix, en revanche, sont beaucoup plus stables au sein de chaque produit (CV de 11 % à 15 % pour le Mango, le Mbalaka et le Moabi), suggérant l'existence de prix de référence partagés sur les marchés locaux de Lomié.</w:t>
      </w:r>
    </w:p>
    <w:p>
      <w:pPr>
        <w:jc w:val="center"/>
      </w:pPr>
      <w:r>
        <w:drawing>
          <wp:inline xmlns:a="http://schemas.openxmlformats.org/drawingml/2006/main" xmlns:pic="http://schemas.openxmlformats.org/drawingml/2006/picture">
            <wp:extent cx="4320000" cy="3062069"/>
            <wp:docPr id="13" name="Picture 13"/>
            <wp:cNvGraphicFramePr>
              <a:graphicFrameLocks noChangeAspect="1"/>
            </wp:cNvGraphicFramePr>
            <a:graphic>
              <a:graphicData uri="http://schemas.openxmlformats.org/drawingml/2006/picture">
                <pic:pic>
                  <pic:nvPicPr>
                    <pic:cNvPr id="0" name="fig04_revenu_moyen.png"/>
                    <pic:cNvPicPr/>
                  </pic:nvPicPr>
                  <pic:blipFill>
                    <a:blip r:embed="rId21"/>
                    <a:stretch>
                      <a:fillRect/>
                    </a:stretch>
                  </pic:blipFill>
                  <pic:spPr>
                    <a:xfrm>
                      <a:off x="0" y="0"/>
                      <a:ext cx="4320000" cy="3062069"/>
                    </a:xfrm>
                    <a:prstGeom prst="rect"/>
                  </pic:spPr>
                </pic:pic>
              </a:graphicData>
            </a:graphic>
          </wp:inline>
        </w:drawing>
      </w:r>
    </w:p>
    <w:p>
      <w:pPr>
        <w:spacing w:before="40"/>
        <w:jc w:val="center"/>
      </w:pPr>
      <w:r>
        <w:rPr>
          <w:rFonts w:ascii="Calibri" w:hAnsi="Calibri"/>
          <w:i/>
          <w:color w:val="64748B"/>
          <w:sz w:val="18"/>
        </w:rPr>
        <w:t>Figure 10. Revenu moyen estimé par PFNL majeur (barres d'erreur : intervalle de confiance à 95 %).</w:t>
      </w:r>
    </w:p>
    <w:p>
      <w:pPr>
        <w:jc w:val="center"/>
      </w:pPr>
      <w:r>
        <w:drawing>
          <wp:inline xmlns:a="http://schemas.openxmlformats.org/drawingml/2006/main" xmlns:pic="http://schemas.openxmlformats.org/drawingml/2006/picture">
            <wp:extent cx="4320000" cy="3062069"/>
            <wp:docPr id="14" name="Picture 14"/>
            <wp:cNvGraphicFramePr>
              <a:graphicFrameLocks noChangeAspect="1"/>
            </wp:cNvGraphicFramePr>
            <a:graphic>
              <a:graphicData uri="http://schemas.openxmlformats.org/drawingml/2006/picture">
                <pic:pic>
                  <pic:nvPicPr>
                    <pic:cNvPr id="0" name="fig05_boxplot_revenu.png"/>
                    <pic:cNvPicPr/>
                  </pic:nvPicPr>
                  <pic:blipFill>
                    <a:blip r:embed="rId22"/>
                    <a:stretch>
                      <a:fillRect/>
                    </a:stretch>
                  </pic:blipFill>
                  <pic:spPr>
                    <a:xfrm>
                      <a:off x="0" y="0"/>
                      <a:ext cx="4320000" cy="3062069"/>
                    </a:xfrm>
                    <a:prstGeom prst="rect"/>
                  </pic:spPr>
                </pic:pic>
              </a:graphicData>
            </a:graphic>
          </wp:inline>
        </w:drawing>
      </w:r>
    </w:p>
    <w:p>
      <w:pPr>
        <w:spacing w:before="40"/>
        <w:jc w:val="center"/>
      </w:pPr>
      <w:r>
        <w:rPr>
          <w:rFonts w:ascii="Calibri" w:hAnsi="Calibri"/>
          <w:i/>
          <w:color w:val="64748B"/>
          <w:sz w:val="18"/>
        </w:rPr>
        <w:t>Figure 11. Dispersion des revenus estimés par PFNL majeur.</w:t>
      </w:r>
    </w:p>
    <w:p>
      <w:pPr>
        <w:jc w:val="center"/>
      </w:pPr>
      <w:r>
        <w:drawing>
          <wp:inline xmlns:a="http://schemas.openxmlformats.org/drawingml/2006/main" xmlns:pic="http://schemas.openxmlformats.org/drawingml/2006/picture">
            <wp:extent cx="5040000" cy="2914066"/>
            <wp:docPr id="15" name="Picture 15"/>
            <wp:cNvGraphicFramePr>
              <a:graphicFrameLocks noChangeAspect="1"/>
            </wp:cNvGraphicFramePr>
            <a:graphic>
              <a:graphicData uri="http://schemas.openxmlformats.org/drawingml/2006/picture">
                <pic:pic>
                  <pic:nvPicPr>
                    <pic:cNvPr id="0" name="fig12_quantites.png"/>
                    <pic:cNvPicPr/>
                  </pic:nvPicPr>
                  <pic:blipFill>
                    <a:blip r:embed="rId23"/>
                    <a:stretch>
                      <a:fillRect/>
                    </a:stretch>
                  </pic:blipFill>
                  <pic:spPr>
                    <a:xfrm>
                      <a:off x="0" y="0"/>
                      <a:ext cx="5040000" cy="2914066"/>
                    </a:xfrm>
                    <a:prstGeom prst="rect"/>
                  </pic:spPr>
                </pic:pic>
              </a:graphicData>
            </a:graphic>
          </wp:inline>
        </w:drawing>
      </w:r>
    </w:p>
    <w:p>
      <w:pPr>
        <w:spacing w:before="40"/>
        <w:jc w:val="center"/>
      </w:pPr>
      <w:r>
        <w:rPr>
          <w:rFonts w:ascii="Calibri" w:hAnsi="Calibri"/>
          <w:i/>
          <w:color w:val="64748B"/>
          <w:sz w:val="18"/>
        </w:rPr>
        <w:t>Figure 12. Quantités moyennes collectée, vendue et autoconsommée par PFNL majeur.</w:t>
      </w:r>
    </w:p>
    <w:p>
      <w:pPr>
        <w:jc w:val="center"/>
      </w:pPr>
      <w:r>
        <w:drawing>
          <wp:inline xmlns:a="http://schemas.openxmlformats.org/drawingml/2006/main" xmlns:pic="http://schemas.openxmlformats.org/drawingml/2006/picture">
            <wp:extent cx="4320000" cy="2978817"/>
            <wp:docPr id="16" name="Picture 16"/>
            <wp:cNvGraphicFramePr>
              <a:graphicFrameLocks noChangeAspect="1"/>
            </wp:cNvGraphicFramePr>
            <a:graphic>
              <a:graphicData uri="http://schemas.openxmlformats.org/drawingml/2006/picture">
                <pic:pic>
                  <pic:nvPicPr>
                    <pic:cNvPr id="0" name="fig11_prix.png"/>
                    <pic:cNvPicPr/>
                  </pic:nvPicPr>
                  <pic:blipFill>
                    <a:blip r:embed="rId24"/>
                    <a:stretch>
                      <a:fillRect/>
                    </a:stretch>
                  </pic:blipFill>
                  <pic:spPr>
                    <a:xfrm>
                      <a:off x="0" y="0"/>
                      <a:ext cx="4320000" cy="2978817"/>
                    </a:xfrm>
                    <a:prstGeom prst="rect"/>
                  </pic:spPr>
                </pic:pic>
              </a:graphicData>
            </a:graphic>
          </wp:inline>
        </w:drawing>
      </w:r>
    </w:p>
    <w:p>
      <w:pPr>
        <w:spacing w:before="40"/>
        <w:jc w:val="center"/>
      </w:pPr>
      <w:r>
        <w:rPr>
          <w:rFonts w:ascii="Calibri" w:hAnsi="Calibri"/>
          <w:i/>
          <w:color w:val="64748B"/>
          <w:sz w:val="18"/>
        </w:rPr>
        <w:t>Figure 13. Distribution des prix unitaires de vente par PFNL majeur.</w:t>
      </w:r>
    </w:p>
    <w:p>
      <w:pPr>
        <w:keepNext/>
        <w:spacing w:before="160" w:after="40"/>
      </w:pPr>
      <w:r>
        <w:rPr>
          <w:rFonts w:ascii="Calibri" w:hAnsi="Calibri"/>
          <w:b/>
          <w:color w:val="0A1628"/>
          <w:sz w:val="19"/>
        </w:rPr>
        <w:t>Tableau 12. Destination des quantités, revenus et contribution au revenu total</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shd w:val="clear" w:fill="0A1628"/>
          </w:tcPr>
          <w:p>
            <w:pPr>
              <w:jc w:val="center"/>
            </w:pPr>
            <w:r>
              <w:rPr>
                <w:rFonts w:ascii="Calibri" w:hAnsi="Calibri"/>
                <w:b/>
                <w:color w:val="FFFFFF"/>
                <w:sz w:val="17"/>
              </w:rPr>
              <w:t>PFNL</w:t>
            </w:r>
          </w:p>
        </w:tc>
        <w:tc>
          <w:tcPr>
            <w:tcW w:type="dxa" w:w="1376"/>
            <w:shd w:val="clear" w:fill="0A1628"/>
          </w:tcPr>
          <w:p>
            <w:pPr>
              <w:jc w:val="center"/>
            </w:pPr>
            <w:r>
              <w:rPr>
                <w:rFonts w:ascii="Calibri" w:hAnsi="Calibri"/>
                <w:b/>
                <w:color w:val="FFFFFF"/>
                <w:sz w:val="17"/>
              </w:rPr>
              <w:t>% vendu</w:t>
            </w:r>
          </w:p>
        </w:tc>
        <w:tc>
          <w:tcPr>
            <w:tcW w:type="dxa" w:w="1376"/>
            <w:shd w:val="clear" w:fill="0A1628"/>
          </w:tcPr>
          <w:p>
            <w:pPr>
              <w:jc w:val="center"/>
            </w:pPr>
            <w:r>
              <w:rPr>
                <w:rFonts w:ascii="Calibri" w:hAnsi="Calibri"/>
                <w:b/>
                <w:color w:val="FFFFFF"/>
                <w:sz w:val="17"/>
              </w:rPr>
              <w:t>% auto.</w:t>
            </w:r>
          </w:p>
        </w:tc>
        <w:tc>
          <w:tcPr>
            <w:tcW w:type="dxa" w:w="1376"/>
            <w:shd w:val="clear" w:fill="0A1628"/>
          </w:tcPr>
          <w:p>
            <w:pPr>
              <w:jc w:val="center"/>
            </w:pPr>
            <w:r>
              <w:rPr>
                <w:rFonts w:ascii="Calibri" w:hAnsi="Calibri"/>
                <w:b/>
                <w:color w:val="FFFFFF"/>
                <w:sz w:val="17"/>
              </w:rPr>
              <w:t>Revenu moyen (FCFA)</w:t>
            </w:r>
          </w:p>
        </w:tc>
        <w:tc>
          <w:tcPr>
            <w:tcW w:type="dxa" w:w="1376"/>
            <w:shd w:val="clear" w:fill="0A1628"/>
          </w:tcPr>
          <w:p>
            <w:pPr>
              <w:jc w:val="center"/>
            </w:pPr>
            <w:r>
              <w:rPr>
                <w:rFonts w:ascii="Calibri" w:hAnsi="Calibri"/>
                <w:b/>
                <w:color w:val="FFFFFF"/>
                <w:sz w:val="17"/>
              </w:rPr>
              <w:t>Revenu total échant. (FCFA)</w:t>
            </w:r>
          </w:p>
        </w:tc>
        <w:tc>
          <w:tcPr>
            <w:tcW w:type="dxa" w:w="1376"/>
            <w:shd w:val="clear" w:fill="0A1628"/>
          </w:tcPr>
          <w:p>
            <w:pPr>
              <w:jc w:val="center"/>
            </w:pPr>
            <w:r>
              <w:rPr>
                <w:rFonts w:ascii="Calibri" w:hAnsi="Calibri"/>
                <w:b/>
                <w:color w:val="FFFFFF"/>
                <w:sz w:val="17"/>
              </w:rPr>
              <w:t>Part (%)</w:t>
            </w:r>
          </w:p>
        </w:tc>
        <w:tc>
          <w:tcPr>
            <w:tcW w:type="dxa" w:w="1376"/>
            <w:shd w:val="clear" w:fill="0A1628"/>
          </w:tcPr>
          <w:p>
            <w:pPr>
              <w:jc w:val="center"/>
            </w:pPr>
            <w:r>
              <w:rPr>
                <w:rFonts w:ascii="Calibri" w:hAnsi="Calibri"/>
                <w:b/>
                <w:color w:val="FFFFFF"/>
                <w:sz w:val="17"/>
              </w:rPr>
              <w:t>Transformation</w:t>
            </w:r>
          </w:p>
        </w:tc>
      </w:tr>
      <w:tr>
        <w:tc>
          <w:tcPr>
            <w:tcW w:type="dxa" w:w="1376"/>
          </w:tcPr>
          <w:p>
            <w:pPr>
              <w:jc w:val="left"/>
            </w:pPr>
            <w:r>
              <w:rPr>
                <w:rFonts w:ascii="Calibri" w:hAnsi="Calibri"/>
                <w:sz w:val="16"/>
              </w:rPr>
              <w:t>Mango</w:t>
            </w:r>
          </w:p>
        </w:tc>
        <w:tc>
          <w:tcPr>
            <w:tcW w:type="dxa" w:w="1376"/>
          </w:tcPr>
          <w:p>
            <w:pPr>
              <w:jc w:val="right"/>
            </w:pPr>
            <w:r>
              <w:rPr>
                <w:rFonts w:ascii="Calibri" w:hAnsi="Calibri"/>
                <w:sz w:val="16"/>
              </w:rPr>
              <w:t>85,0</w:t>
            </w:r>
          </w:p>
        </w:tc>
        <w:tc>
          <w:tcPr>
            <w:tcW w:type="dxa" w:w="1376"/>
          </w:tcPr>
          <w:p>
            <w:pPr>
              <w:jc w:val="right"/>
            </w:pPr>
            <w:r>
              <w:rPr>
                <w:rFonts w:ascii="Calibri" w:hAnsi="Calibri"/>
                <w:sz w:val="16"/>
              </w:rPr>
              <w:t>15,0</w:t>
            </w:r>
          </w:p>
        </w:tc>
        <w:tc>
          <w:tcPr>
            <w:tcW w:type="dxa" w:w="1376"/>
          </w:tcPr>
          <w:p>
            <w:pPr>
              <w:jc w:val="right"/>
            </w:pPr>
            <w:r>
              <w:rPr>
                <w:rFonts w:ascii="Calibri" w:hAnsi="Calibri"/>
                <w:sz w:val="16"/>
              </w:rPr>
              <w:t>230 755</w:t>
            </w:r>
          </w:p>
        </w:tc>
        <w:tc>
          <w:tcPr>
            <w:tcW w:type="dxa" w:w="1376"/>
          </w:tcPr>
          <w:p>
            <w:pPr>
              <w:jc w:val="right"/>
            </w:pPr>
            <w:r>
              <w:rPr>
                <w:rFonts w:ascii="Calibri" w:hAnsi="Calibri"/>
                <w:sz w:val="16"/>
              </w:rPr>
              <w:t>10 845 500</w:t>
            </w:r>
          </w:p>
        </w:tc>
        <w:tc>
          <w:tcPr>
            <w:tcW w:type="dxa" w:w="1376"/>
          </w:tcPr>
          <w:p>
            <w:pPr>
              <w:jc w:val="right"/>
            </w:pPr>
            <w:r>
              <w:rPr>
                <w:rFonts w:ascii="Calibri" w:hAnsi="Calibri"/>
                <w:sz w:val="16"/>
              </w:rPr>
              <w:t>39,1</w:t>
            </w:r>
          </w:p>
        </w:tc>
        <w:tc>
          <w:tcPr>
            <w:tcW w:type="dxa" w:w="1376"/>
          </w:tcPr>
          <w:p>
            <w:pPr>
              <w:jc w:val="left"/>
            </w:pPr>
            <w:r>
              <w:rPr>
                <w:rFonts w:ascii="Calibri" w:hAnsi="Calibri"/>
                <w:sz w:val="16"/>
              </w:rPr>
              <w:t>Boules de Mango</w:t>
            </w:r>
          </w:p>
        </w:tc>
      </w:tr>
      <w:tr>
        <w:tc>
          <w:tcPr>
            <w:tcW w:type="dxa" w:w="1376"/>
            <w:shd w:val="clear" w:fill="F1F5F9"/>
          </w:tcPr>
          <w:p>
            <w:pPr>
              <w:jc w:val="left"/>
            </w:pPr>
            <w:r>
              <w:rPr>
                <w:rFonts w:ascii="Calibri" w:hAnsi="Calibri"/>
                <w:sz w:val="16"/>
              </w:rPr>
              <w:t>Rondelle</w:t>
            </w:r>
          </w:p>
        </w:tc>
        <w:tc>
          <w:tcPr>
            <w:tcW w:type="dxa" w:w="1376"/>
            <w:shd w:val="clear" w:fill="F1F5F9"/>
          </w:tcPr>
          <w:p>
            <w:pPr>
              <w:jc w:val="right"/>
            </w:pPr>
            <w:r>
              <w:rPr>
                <w:rFonts w:ascii="Calibri" w:hAnsi="Calibri"/>
                <w:sz w:val="16"/>
              </w:rPr>
              <w:t>98,2</w:t>
            </w:r>
          </w:p>
        </w:tc>
        <w:tc>
          <w:tcPr>
            <w:tcW w:type="dxa" w:w="1376"/>
            <w:shd w:val="clear" w:fill="F1F5F9"/>
          </w:tcPr>
          <w:p>
            <w:pPr>
              <w:jc w:val="right"/>
            </w:pPr>
            <w:r>
              <w:rPr>
                <w:rFonts w:ascii="Calibri" w:hAnsi="Calibri"/>
                <w:sz w:val="16"/>
              </w:rPr>
              <w:t>1,8</w:t>
            </w:r>
          </w:p>
        </w:tc>
        <w:tc>
          <w:tcPr>
            <w:tcW w:type="dxa" w:w="1376"/>
            <w:shd w:val="clear" w:fill="F1F5F9"/>
          </w:tcPr>
          <w:p>
            <w:pPr>
              <w:jc w:val="right"/>
            </w:pPr>
            <w:r>
              <w:rPr>
                <w:rFonts w:ascii="Calibri" w:hAnsi="Calibri"/>
                <w:sz w:val="16"/>
              </w:rPr>
              <w:t>336 917</w:t>
            </w:r>
          </w:p>
        </w:tc>
        <w:tc>
          <w:tcPr>
            <w:tcW w:type="dxa" w:w="1376"/>
            <w:shd w:val="clear" w:fill="F1F5F9"/>
          </w:tcPr>
          <w:p>
            <w:pPr>
              <w:jc w:val="right"/>
            </w:pPr>
            <w:r>
              <w:rPr>
                <w:rFonts w:ascii="Calibri" w:hAnsi="Calibri"/>
                <w:sz w:val="16"/>
              </w:rPr>
              <w:t>10 107 500</w:t>
            </w:r>
          </w:p>
        </w:tc>
        <w:tc>
          <w:tcPr>
            <w:tcW w:type="dxa" w:w="1376"/>
            <w:shd w:val="clear" w:fill="F1F5F9"/>
          </w:tcPr>
          <w:p>
            <w:pPr>
              <w:jc w:val="right"/>
            </w:pPr>
            <w:r>
              <w:rPr>
                <w:rFonts w:ascii="Calibri" w:hAnsi="Calibri"/>
                <w:sz w:val="16"/>
              </w:rPr>
              <w:t>36,4</w:t>
            </w:r>
          </w:p>
        </w:tc>
        <w:tc>
          <w:tcPr>
            <w:tcW w:type="dxa" w:w="1376"/>
            <w:shd w:val="clear" w:fill="F1F5F9"/>
          </w:tcPr>
          <w:p>
            <w:pPr>
              <w:jc w:val="left"/>
            </w:pPr>
            <w:r>
              <w:rPr>
                <w:rFonts w:ascii="Calibri" w:hAnsi="Calibri"/>
                <w:sz w:val="16"/>
              </w:rPr>
              <w:t>—</w:t>
            </w:r>
          </w:p>
        </w:tc>
      </w:tr>
      <w:tr>
        <w:tc>
          <w:tcPr>
            <w:tcW w:type="dxa" w:w="1376"/>
          </w:tcPr>
          <w:p>
            <w:pPr>
              <w:jc w:val="left"/>
            </w:pPr>
            <w:r>
              <w:rPr>
                <w:rFonts w:ascii="Calibri" w:hAnsi="Calibri"/>
                <w:sz w:val="16"/>
              </w:rPr>
              <w:t>Mbalaka</w:t>
            </w:r>
          </w:p>
        </w:tc>
        <w:tc>
          <w:tcPr>
            <w:tcW w:type="dxa" w:w="1376"/>
          </w:tcPr>
          <w:p>
            <w:pPr>
              <w:jc w:val="right"/>
            </w:pPr>
            <w:r>
              <w:rPr>
                <w:rFonts w:ascii="Calibri" w:hAnsi="Calibri"/>
                <w:sz w:val="16"/>
              </w:rPr>
              <w:t>100,0</w:t>
            </w:r>
          </w:p>
        </w:tc>
        <w:tc>
          <w:tcPr>
            <w:tcW w:type="dxa" w:w="1376"/>
          </w:tcPr>
          <w:p>
            <w:pPr>
              <w:jc w:val="right"/>
            </w:pPr>
            <w:r>
              <w:rPr>
                <w:rFonts w:ascii="Calibri" w:hAnsi="Calibri"/>
                <w:sz w:val="16"/>
              </w:rPr>
              <w:t>0,0</w:t>
            </w:r>
          </w:p>
        </w:tc>
        <w:tc>
          <w:tcPr>
            <w:tcW w:type="dxa" w:w="1376"/>
          </w:tcPr>
          <w:p>
            <w:pPr>
              <w:jc w:val="right"/>
            </w:pPr>
            <w:r>
              <w:rPr>
                <w:rFonts w:ascii="Calibri" w:hAnsi="Calibri"/>
                <w:sz w:val="16"/>
              </w:rPr>
              <w:t>165 362</w:t>
            </w:r>
          </w:p>
        </w:tc>
        <w:tc>
          <w:tcPr>
            <w:tcW w:type="dxa" w:w="1376"/>
          </w:tcPr>
          <w:p>
            <w:pPr>
              <w:jc w:val="right"/>
            </w:pPr>
            <w:r>
              <w:rPr>
                <w:rFonts w:ascii="Calibri" w:hAnsi="Calibri"/>
                <w:sz w:val="16"/>
              </w:rPr>
              <w:t>4 795 500</w:t>
            </w:r>
          </w:p>
        </w:tc>
        <w:tc>
          <w:tcPr>
            <w:tcW w:type="dxa" w:w="1376"/>
          </w:tcPr>
          <w:p>
            <w:pPr>
              <w:jc w:val="right"/>
            </w:pPr>
            <w:r>
              <w:rPr>
                <w:rFonts w:ascii="Calibri" w:hAnsi="Calibri"/>
                <w:sz w:val="16"/>
              </w:rPr>
              <w:t>17,3</w:t>
            </w:r>
          </w:p>
        </w:tc>
        <w:tc>
          <w:tcPr>
            <w:tcW w:type="dxa" w:w="1376"/>
          </w:tcPr>
          <w:p>
            <w:pPr>
              <w:jc w:val="left"/>
            </w:pPr>
            <w:r>
              <w:rPr>
                <w:rFonts w:ascii="Calibri" w:hAnsi="Calibri"/>
                <w:sz w:val="16"/>
              </w:rPr>
              <w:t>—</w:t>
            </w:r>
          </w:p>
        </w:tc>
      </w:tr>
      <w:tr>
        <w:tc>
          <w:tcPr>
            <w:tcW w:type="dxa" w:w="1376"/>
            <w:shd w:val="clear" w:fill="F1F5F9"/>
          </w:tcPr>
          <w:p>
            <w:pPr>
              <w:jc w:val="left"/>
            </w:pPr>
            <w:r>
              <w:rPr>
                <w:rFonts w:ascii="Calibri" w:hAnsi="Calibri"/>
                <w:sz w:val="16"/>
              </w:rPr>
              <w:t>Djansang</w:t>
            </w:r>
          </w:p>
        </w:tc>
        <w:tc>
          <w:tcPr>
            <w:tcW w:type="dxa" w:w="1376"/>
            <w:shd w:val="clear" w:fill="F1F5F9"/>
          </w:tcPr>
          <w:p>
            <w:pPr>
              <w:jc w:val="right"/>
            </w:pPr>
            <w:r>
              <w:rPr>
                <w:rFonts w:ascii="Calibri" w:hAnsi="Calibri"/>
                <w:sz w:val="16"/>
              </w:rPr>
              <w:t>83,0</w:t>
            </w:r>
          </w:p>
        </w:tc>
        <w:tc>
          <w:tcPr>
            <w:tcW w:type="dxa" w:w="1376"/>
            <w:shd w:val="clear" w:fill="F1F5F9"/>
          </w:tcPr>
          <w:p>
            <w:pPr>
              <w:jc w:val="right"/>
            </w:pPr>
            <w:r>
              <w:rPr>
                <w:rFonts w:ascii="Calibri" w:hAnsi="Calibri"/>
                <w:sz w:val="16"/>
              </w:rPr>
              <w:t>17,0</w:t>
            </w:r>
          </w:p>
        </w:tc>
        <w:tc>
          <w:tcPr>
            <w:tcW w:type="dxa" w:w="1376"/>
            <w:shd w:val="clear" w:fill="F1F5F9"/>
          </w:tcPr>
          <w:p>
            <w:pPr>
              <w:jc w:val="right"/>
            </w:pPr>
            <w:r>
              <w:rPr>
                <w:rFonts w:ascii="Calibri" w:hAnsi="Calibri"/>
                <w:sz w:val="16"/>
              </w:rPr>
              <w:t>54 842</w:t>
            </w:r>
          </w:p>
        </w:tc>
        <w:tc>
          <w:tcPr>
            <w:tcW w:type="dxa" w:w="1376"/>
            <w:shd w:val="clear" w:fill="F1F5F9"/>
          </w:tcPr>
          <w:p>
            <w:pPr>
              <w:jc w:val="right"/>
            </w:pPr>
            <w:r>
              <w:rPr>
                <w:rFonts w:ascii="Calibri" w:hAnsi="Calibri"/>
                <w:sz w:val="16"/>
              </w:rPr>
              <w:t>1 042 000</w:t>
            </w:r>
          </w:p>
        </w:tc>
        <w:tc>
          <w:tcPr>
            <w:tcW w:type="dxa" w:w="1376"/>
            <w:shd w:val="clear" w:fill="F1F5F9"/>
          </w:tcPr>
          <w:p>
            <w:pPr>
              <w:jc w:val="right"/>
            </w:pPr>
            <w:r>
              <w:rPr>
                <w:rFonts w:ascii="Calibri" w:hAnsi="Calibri"/>
                <w:sz w:val="16"/>
              </w:rPr>
              <w:t>3,8</w:t>
            </w:r>
          </w:p>
        </w:tc>
        <w:tc>
          <w:tcPr>
            <w:tcW w:type="dxa" w:w="1376"/>
            <w:shd w:val="clear" w:fill="F1F5F9"/>
          </w:tcPr>
          <w:p>
            <w:pPr>
              <w:jc w:val="left"/>
            </w:pPr>
            <w:r>
              <w:rPr>
                <w:rFonts w:ascii="Calibri" w:hAnsi="Calibri"/>
                <w:sz w:val="16"/>
              </w:rPr>
              <w:t>—</w:t>
            </w:r>
          </w:p>
        </w:tc>
      </w:tr>
      <w:tr>
        <w:tc>
          <w:tcPr>
            <w:tcW w:type="dxa" w:w="1376"/>
          </w:tcPr>
          <w:p>
            <w:pPr>
              <w:jc w:val="left"/>
            </w:pPr>
            <w:r>
              <w:rPr>
                <w:rFonts w:ascii="Calibri" w:hAnsi="Calibri"/>
                <w:sz w:val="16"/>
              </w:rPr>
              <w:t>Moabi</w:t>
            </w:r>
          </w:p>
        </w:tc>
        <w:tc>
          <w:tcPr>
            <w:tcW w:type="dxa" w:w="1376"/>
          </w:tcPr>
          <w:p>
            <w:pPr>
              <w:jc w:val="right"/>
            </w:pPr>
            <w:r>
              <w:rPr>
                <w:rFonts w:ascii="Calibri" w:hAnsi="Calibri"/>
                <w:sz w:val="16"/>
              </w:rPr>
              <w:t>65,3</w:t>
            </w:r>
          </w:p>
        </w:tc>
        <w:tc>
          <w:tcPr>
            <w:tcW w:type="dxa" w:w="1376"/>
          </w:tcPr>
          <w:p>
            <w:pPr>
              <w:jc w:val="right"/>
            </w:pPr>
            <w:r>
              <w:rPr>
                <w:rFonts w:ascii="Calibri" w:hAnsi="Calibri"/>
                <w:sz w:val="16"/>
              </w:rPr>
              <w:t>34,7</w:t>
            </w:r>
          </w:p>
        </w:tc>
        <w:tc>
          <w:tcPr>
            <w:tcW w:type="dxa" w:w="1376"/>
          </w:tcPr>
          <w:p>
            <w:pPr>
              <w:jc w:val="right"/>
            </w:pPr>
            <w:r>
              <w:rPr>
                <w:rFonts w:ascii="Calibri" w:hAnsi="Calibri"/>
                <w:sz w:val="16"/>
              </w:rPr>
              <w:t>64 433</w:t>
            </w:r>
          </w:p>
        </w:tc>
        <w:tc>
          <w:tcPr>
            <w:tcW w:type="dxa" w:w="1376"/>
          </w:tcPr>
          <w:p>
            <w:pPr>
              <w:jc w:val="right"/>
            </w:pPr>
            <w:r>
              <w:rPr>
                <w:rFonts w:ascii="Calibri" w:hAnsi="Calibri"/>
                <w:sz w:val="16"/>
              </w:rPr>
              <w:t>966 500</w:t>
            </w:r>
          </w:p>
        </w:tc>
        <w:tc>
          <w:tcPr>
            <w:tcW w:type="dxa" w:w="1376"/>
          </w:tcPr>
          <w:p>
            <w:pPr>
              <w:jc w:val="right"/>
            </w:pPr>
            <w:r>
              <w:rPr>
                <w:rFonts w:ascii="Calibri" w:hAnsi="Calibri"/>
                <w:sz w:val="16"/>
              </w:rPr>
              <w:t>3,5</w:t>
            </w:r>
          </w:p>
        </w:tc>
        <w:tc>
          <w:tcPr>
            <w:tcW w:type="dxa" w:w="1376"/>
          </w:tcPr>
          <w:p>
            <w:pPr>
              <w:jc w:val="left"/>
            </w:pPr>
            <w:r>
              <w:rPr>
                <w:rFonts w:ascii="Calibri" w:hAnsi="Calibri"/>
                <w:sz w:val="16"/>
              </w:rPr>
              <w:t>Huile de Moabi</w:t>
            </w:r>
          </w:p>
        </w:tc>
      </w:tr>
      <w:tr>
        <w:tc>
          <w:tcPr>
            <w:tcW w:type="dxa" w:w="1376"/>
            <w:shd w:val="clear" w:fill="E9F7F4"/>
          </w:tcPr>
          <w:p>
            <w:pPr>
              <w:jc w:val="left"/>
            </w:pPr>
            <w:r>
              <w:rPr>
                <w:rFonts w:ascii="Calibri" w:hAnsi="Calibri"/>
                <w:b/>
                <w:sz w:val="16"/>
              </w:rPr>
              <w:t>Ensemble (5 PFNL)</w:t>
            </w:r>
          </w:p>
        </w:tc>
        <w:tc>
          <w:tcPr>
            <w:tcW w:type="dxa" w:w="1376"/>
            <w:shd w:val="clear" w:fill="E9F7F4"/>
          </w:tcPr>
          <w:p>
            <w:pPr>
              <w:jc w:val="right"/>
            </w:pPr>
            <w:r>
              <w:rPr>
                <w:rFonts w:ascii="Calibri" w:hAnsi="Calibri"/>
                <w:b/>
                <w:sz w:val="16"/>
              </w:rPr>
              <w:t>—</w:t>
            </w:r>
          </w:p>
        </w:tc>
        <w:tc>
          <w:tcPr>
            <w:tcW w:type="dxa" w:w="1376"/>
            <w:shd w:val="clear" w:fill="E9F7F4"/>
          </w:tcPr>
          <w:p>
            <w:pPr>
              <w:jc w:val="right"/>
            </w:pPr>
            <w:r>
              <w:rPr>
                <w:rFonts w:ascii="Calibri" w:hAnsi="Calibri"/>
                <w:b/>
                <w:sz w:val="16"/>
              </w:rPr>
              <w:t>—</w:t>
            </w:r>
          </w:p>
        </w:tc>
        <w:tc>
          <w:tcPr>
            <w:tcW w:type="dxa" w:w="1376"/>
            <w:shd w:val="clear" w:fill="E9F7F4"/>
          </w:tcPr>
          <w:p>
            <w:pPr>
              <w:jc w:val="right"/>
            </w:pPr>
            <w:r>
              <w:rPr>
                <w:rFonts w:ascii="Calibri" w:hAnsi="Calibri"/>
                <w:b/>
                <w:sz w:val="16"/>
              </w:rPr>
              <w:t>555 140</w:t>
            </w:r>
          </w:p>
        </w:tc>
        <w:tc>
          <w:tcPr>
            <w:tcW w:type="dxa" w:w="1376"/>
            <w:shd w:val="clear" w:fill="E9F7F4"/>
          </w:tcPr>
          <w:p>
            <w:pPr>
              <w:jc w:val="right"/>
            </w:pPr>
            <w:r>
              <w:rPr>
                <w:rFonts w:ascii="Calibri" w:hAnsi="Calibri"/>
                <w:b/>
                <w:sz w:val="16"/>
              </w:rPr>
              <w:t>27 757 000</w:t>
            </w:r>
          </w:p>
        </w:tc>
        <w:tc>
          <w:tcPr>
            <w:tcW w:type="dxa" w:w="1376"/>
            <w:shd w:val="clear" w:fill="E9F7F4"/>
          </w:tcPr>
          <w:p>
            <w:pPr>
              <w:jc w:val="right"/>
            </w:pPr>
            <w:r>
              <w:rPr>
                <w:rFonts w:ascii="Calibri" w:hAnsi="Calibri"/>
                <w:b/>
                <w:sz w:val="16"/>
              </w:rPr>
              <w:t>100,0</w:t>
            </w:r>
          </w:p>
        </w:tc>
        <w:tc>
          <w:tcPr>
            <w:tcW w:type="dxa" w:w="1376"/>
            <w:shd w:val="clear" w:fill="E9F7F4"/>
          </w:tcPr>
          <w:p>
            <w:pPr>
              <w:jc w:val="left"/>
            </w:pPr>
            <w:r>
              <w:rPr>
                <w:rFonts w:ascii="Calibri" w:hAnsi="Calibri"/>
                <w:b/>
                <w:sz w:val="16"/>
              </w:rPr>
              <w:t>—</w:t>
            </w:r>
          </w:p>
        </w:tc>
      </w:tr>
    </w:tbl>
    <w:p>
      <w:pPr>
        <w:jc w:val="center"/>
      </w:pPr>
      <w:r>
        <w:drawing>
          <wp:inline xmlns:a="http://schemas.openxmlformats.org/drawingml/2006/main" xmlns:pic="http://schemas.openxmlformats.org/drawingml/2006/picture">
            <wp:extent cx="3600000" cy="3736067"/>
            <wp:docPr id="17" name="Picture 17"/>
            <wp:cNvGraphicFramePr>
              <a:graphicFrameLocks noChangeAspect="1"/>
            </wp:cNvGraphicFramePr>
            <a:graphic>
              <a:graphicData uri="http://schemas.openxmlformats.org/drawingml/2006/picture">
                <pic:pic>
                  <pic:nvPicPr>
                    <pic:cNvPr id="0" name="fig07_contribution_donut.png"/>
                    <pic:cNvPicPr/>
                  </pic:nvPicPr>
                  <pic:blipFill>
                    <a:blip r:embed="rId25"/>
                    <a:stretch>
                      <a:fillRect/>
                    </a:stretch>
                  </pic:blipFill>
                  <pic:spPr>
                    <a:xfrm>
                      <a:off x="0" y="0"/>
                      <a:ext cx="3600000" cy="3736067"/>
                    </a:xfrm>
                    <a:prstGeom prst="rect"/>
                  </pic:spPr>
                </pic:pic>
              </a:graphicData>
            </a:graphic>
          </wp:inline>
        </w:drawing>
      </w:r>
    </w:p>
    <w:p>
      <w:pPr>
        <w:spacing w:before="40"/>
        <w:jc w:val="center"/>
      </w:pPr>
      <w:r>
        <w:rPr>
          <w:rFonts w:ascii="Calibri" w:hAnsi="Calibri"/>
          <w:i/>
          <w:color w:val="64748B"/>
          <w:sz w:val="18"/>
        </w:rPr>
        <w:t>Répartition du revenu PFNL total de l'échantillon par produit (illustration du Tableau 12).</w:t>
      </w:r>
    </w:p>
    <w:p>
      <w:pPr>
        <w:jc w:val="center"/>
      </w:pPr>
      <w:r>
        <w:drawing>
          <wp:inline xmlns:a="http://schemas.openxmlformats.org/drawingml/2006/main" xmlns:pic="http://schemas.openxmlformats.org/drawingml/2006/picture">
            <wp:extent cx="4320000" cy="3194483"/>
            <wp:docPr id="18" name="Picture 18"/>
            <wp:cNvGraphicFramePr>
              <a:graphicFrameLocks noChangeAspect="1"/>
            </wp:cNvGraphicFramePr>
            <a:graphic>
              <a:graphicData uri="http://schemas.openxmlformats.org/drawingml/2006/picture">
                <pic:pic>
                  <pic:nvPicPr>
                    <pic:cNvPr id="0" name="fig06_destination.png"/>
                    <pic:cNvPicPr/>
                  </pic:nvPicPr>
                  <pic:blipFill>
                    <a:blip r:embed="rId26"/>
                    <a:stretch>
                      <a:fillRect/>
                    </a:stretch>
                  </pic:blipFill>
                  <pic:spPr>
                    <a:xfrm>
                      <a:off x="0" y="0"/>
                      <a:ext cx="4320000" cy="3194483"/>
                    </a:xfrm>
                    <a:prstGeom prst="rect"/>
                  </pic:spPr>
                </pic:pic>
              </a:graphicData>
            </a:graphic>
          </wp:inline>
        </w:drawing>
      </w:r>
    </w:p>
    <w:p>
      <w:pPr>
        <w:spacing w:before="40"/>
        <w:jc w:val="center"/>
      </w:pPr>
      <w:r>
        <w:rPr>
          <w:rFonts w:ascii="Calibri" w:hAnsi="Calibri"/>
          <w:i/>
          <w:color w:val="64748B"/>
          <w:sz w:val="18"/>
        </w:rPr>
        <w:t>Figure 14. Destination des quantités collectées (vente / autoconsommation) par PFNL majeur.</w:t>
      </w:r>
    </w:p>
    <w:p>
      <w:pPr>
        <w:jc w:val="both"/>
      </w:pPr>
      <w:r>
        <w:rPr>
          <w:sz w:val="22"/>
        </w:rPr>
        <w:t xml:space="preserve">À l'échelle de l'échantillon, les cinq PFNL majeurs génèrent un revenu cumulé de </w:t>
      </w:r>
      <w:r>
        <w:rPr>
          <w:b/>
          <w:sz w:val="22"/>
        </w:rPr>
        <w:t>27 757 000 FCFA</w:t>
      </w:r>
      <w:r>
        <w:rPr>
          <w:sz w:val="22"/>
        </w:rPr>
        <w:t xml:space="preserve">, soit un revenu PFNL moyen de </w:t>
      </w:r>
      <w:r>
        <w:rPr>
          <w:b/>
          <w:sz w:val="22"/>
        </w:rPr>
        <w:t>555 140 FCFA par ménage</w:t>
      </w:r>
      <w:r>
        <w:rPr>
          <w:sz w:val="22"/>
        </w:rPr>
        <w:t xml:space="preserve"> (IC 95 % : 442 387–667 893 ; médiane 498 750 FCFA). La </w:t>
      </w:r>
      <w:r>
        <w:rPr>
          <w:b/>
          <w:sz w:val="22"/>
        </w:rPr>
        <w:t>structure de la contribution est très concentrée</w:t>
      </w:r>
      <w:r>
        <w:rPr>
          <w:sz w:val="22"/>
        </w:rPr>
        <w:t xml:space="preserve"> : le Mango (39,1 %) et la Rondelle (36,4 %) fournissent à eux seuls plus des trois quarts du revenu PFNL total, le Mbalaka en apportant 17,3 %. La hiérarchie des revenus moyens ne recoupe pas celle des fréquences : la </w:t>
      </w:r>
      <w:r>
        <w:rPr>
          <w:b/>
          <w:sz w:val="22"/>
        </w:rPr>
        <w:t>Rondelle</w:t>
      </w:r>
      <w:r>
        <w:rPr>
          <w:sz w:val="22"/>
        </w:rPr>
        <w:t xml:space="preserve"> procure le revenu le plus élevé (336 917 FCFA), devant le Mango (230 755 FCFA), grâce à un prix élevé et une commercialisation quasi totale.</w:t>
      </w:r>
    </w:p>
    <w:p>
      <w:pPr>
        <w:keepNext/>
        <w:spacing w:before="180" w:after="80"/>
      </w:pPr>
      <w:r>
        <w:rPr>
          <w:rFonts w:ascii="Calibri" w:hAnsi="Calibri"/>
          <w:b/>
          <w:color w:val="0A8A75"/>
          <w:sz w:val="24"/>
        </w:rPr>
        <w:t>3.3.6 Monographies des cinq PFNL majeurs</w:t>
      </w:r>
    </w:p>
    <w:p>
      <w:pPr>
        <w:keepNext/>
        <w:spacing w:before="120"/>
      </w:pPr>
      <w:r>
        <w:rPr>
          <w:rFonts w:ascii="Calibri" w:hAnsi="Calibri"/>
          <w:b/>
          <w:i/>
          <w:color w:val="EA580C"/>
          <w:sz w:val="21"/>
        </w:rPr>
        <w:t>Mango — Irvingia gabonensis (Irvingiaceae)</w:t>
      </w:r>
    </w:p>
    <w:p>
      <w:pPr>
        <w:keepNext/>
        <w:spacing w:before="160" w:after="40"/>
      </w:pPr>
      <w:r>
        <w:rPr>
          <w:rFonts w:ascii="Calibri" w:hAnsi="Calibri"/>
          <w:b/>
          <w:color w:val="0A1628"/>
          <w:sz w:val="19"/>
        </w:rPr>
        <w:t>Indicateurs clés — Mango</w:t>
      </w:r>
    </w:p>
    <w:tbl>
      <w:tblPr>
        <w:tblStyle w:val="TableGrid"/>
        <w:tblW w:type="auto" w:w="0"/>
        <w:jc w:val="center"/>
        <w:tblLook w:firstColumn="1" w:firstRow="1" w:lastColumn="0" w:lastRow="0" w:noHBand="0" w:noVBand="1" w:val="04A0"/>
      </w:tblPr>
      <w:tblGrid>
        <w:gridCol w:w="4816"/>
        <w:gridCol w:w="4816"/>
      </w:tblGrid>
      <w:tr>
        <w:tc>
          <w:tcPr>
            <w:tcW w:type="dxa" w:w="5102"/>
            <w:shd w:val="clear" w:fill="0A1628"/>
          </w:tcPr>
          <w:p>
            <w:pPr>
              <w:jc w:val="center"/>
            </w:pPr>
            <w:r>
              <w:rPr>
                <w:rFonts w:ascii="Calibri" w:hAnsi="Calibri"/>
                <w:b/>
                <w:color w:val="FFFFFF"/>
                <w:sz w:val="17"/>
              </w:rPr>
              <w:t>Indicateur</w:t>
            </w:r>
          </w:p>
        </w:tc>
        <w:tc>
          <w:tcPr>
            <w:tcW w:type="dxa" w:w="3402"/>
            <w:shd w:val="clear" w:fill="0A1628"/>
          </w:tcPr>
          <w:p>
            <w:pPr>
              <w:jc w:val="center"/>
            </w:pPr>
            <w:r>
              <w:rPr>
                <w:rFonts w:ascii="Calibri" w:hAnsi="Calibri"/>
                <w:b/>
                <w:color w:val="FFFFFF"/>
                <w:sz w:val="17"/>
              </w:rPr>
              <w:t>Valeur</w:t>
            </w:r>
          </w:p>
        </w:tc>
      </w:tr>
      <w:tr>
        <w:tc>
          <w:tcPr>
            <w:tcW w:type="dxa" w:w="5102"/>
          </w:tcPr>
          <w:p>
            <w:pPr>
              <w:jc w:val="left"/>
            </w:pPr>
            <w:r>
              <w:rPr>
                <w:rFonts w:ascii="Calibri" w:hAnsi="Calibri"/>
                <w:sz w:val="16"/>
              </w:rPr>
              <w:t>Fréquence de citation</w:t>
            </w:r>
          </w:p>
        </w:tc>
        <w:tc>
          <w:tcPr>
            <w:tcW w:type="dxa" w:w="3402"/>
          </w:tcPr>
          <w:p>
            <w:pPr>
              <w:jc w:val="right"/>
            </w:pPr>
            <w:r>
              <w:rPr>
                <w:rFonts w:ascii="Calibri" w:hAnsi="Calibri"/>
                <w:sz w:val="16"/>
              </w:rPr>
              <w:t>96,0 %</w:t>
            </w:r>
          </w:p>
        </w:tc>
      </w:tr>
      <w:tr>
        <w:tc>
          <w:tcPr>
            <w:tcW w:type="dxa" w:w="5102"/>
            <w:shd w:val="clear" w:fill="F1F5F9"/>
          </w:tcPr>
          <w:p>
            <w:pPr>
              <w:jc w:val="left"/>
            </w:pPr>
            <w:r>
              <w:rPr>
                <w:rFonts w:ascii="Calibri" w:hAnsi="Calibri"/>
                <w:sz w:val="16"/>
              </w:rPr>
              <w:t>Revenu moyen / ménage collecteur</w:t>
            </w:r>
          </w:p>
        </w:tc>
        <w:tc>
          <w:tcPr>
            <w:tcW w:type="dxa" w:w="3402"/>
            <w:shd w:val="clear" w:fill="F1F5F9"/>
          </w:tcPr>
          <w:p>
            <w:pPr>
              <w:jc w:val="right"/>
            </w:pPr>
            <w:r>
              <w:rPr>
                <w:rFonts w:ascii="Calibri" w:hAnsi="Calibri"/>
                <w:sz w:val="16"/>
              </w:rPr>
              <w:t>230 755 FCFA</w:t>
            </w:r>
          </w:p>
        </w:tc>
      </w:tr>
      <w:tr>
        <w:tc>
          <w:tcPr>
            <w:tcW w:type="dxa" w:w="5102"/>
          </w:tcPr>
          <w:p>
            <w:pPr>
              <w:jc w:val="left"/>
            </w:pPr>
            <w:r>
              <w:rPr>
                <w:rFonts w:ascii="Calibri" w:hAnsi="Calibri"/>
                <w:sz w:val="16"/>
              </w:rPr>
              <w:t>Revenu total (échantillon)</w:t>
            </w:r>
          </w:p>
        </w:tc>
        <w:tc>
          <w:tcPr>
            <w:tcW w:type="dxa" w:w="3402"/>
          </w:tcPr>
          <w:p>
            <w:pPr>
              <w:jc w:val="right"/>
            </w:pPr>
            <w:r>
              <w:rPr>
                <w:rFonts w:ascii="Calibri" w:hAnsi="Calibri"/>
                <w:sz w:val="16"/>
              </w:rPr>
              <w:t>10 845 500 FCFA</w:t>
            </w:r>
          </w:p>
        </w:tc>
      </w:tr>
      <w:tr>
        <w:tc>
          <w:tcPr>
            <w:tcW w:type="dxa" w:w="5102"/>
            <w:shd w:val="clear" w:fill="F1F5F9"/>
          </w:tcPr>
          <w:p>
            <w:pPr>
              <w:jc w:val="left"/>
            </w:pPr>
            <w:r>
              <w:rPr>
                <w:rFonts w:ascii="Calibri" w:hAnsi="Calibri"/>
                <w:sz w:val="16"/>
              </w:rPr>
              <w:t>Part du revenu PFNL total</w:t>
            </w:r>
          </w:p>
        </w:tc>
        <w:tc>
          <w:tcPr>
            <w:tcW w:type="dxa" w:w="3402"/>
            <w:shd w:val="clear" w:fill="F1F5F9"/>
          </w:tcPr>
          <w:p>
            <w:pPr>
              <w:jc w:val="right"/>
            </w:pPr>
            <w:r>
              <w:rPr>
                <w:rFonts w:ascii="Calibri" w:hAnsi="Calibri"/>
                <w:sz w:val="16"/>
              </w:rPr>
              <w:t>39,1 %</w:t>
            </w:r>
          </w:p>
        </w:tc>
      </w:tr>
      <w:tr>
        <w:tc>
          <w:tcPr>
            <w:tcW w:type="dxa" w:w="5102"/>
          </w:tcPr>
          <w:p>
            <w:pPr>
              <w:jc w:val="left"/>
            </w:pPr>
            <w:r>
              <w:rPr>
                <w:rFonts w:ascii="Calibri" w:hAnsi="Calibri"/>
                <w:sz w:val="16"/>
              </w:rPr>
              <w:t>Part vendue / autoconsommée</w:t>
            </w:r>
          </w:p>
        </w:tc>
        <w:tc>
          <w:tcPr>
            <w:tcW w:type="dxa" w:w="3402"/>
          </w:tcPr>
          <w:p>
            <w:pPr>
              <w:jc w:val="right"/>
            </w:pPr>
            <w:r>
              <w:rPr>
                <w:rFonts w:ascii="Calibri" w:hAnsi="Calibri"/>
                <w:sz w:val="16"/>
              </w:rPr>
              <w:t>85,0 % / 15,0 %</w:t>
            </w:r>
          </w:p>
        </w:tc>
      </w:tr>
      <w:tr>
        <w:tc>
          <w:tcPr>
            <w:tcW w:type="dxa" w:w="5102"/>
            <w:shd w:val="clear" w:fill="F1F5F9"/>
          </w:tcPr>
          <w:p>
            <w:pPr>
              <w:jc w:val="left"/>
            </w:pPr>
            <w:r>
              <w:rPr>
                <w:rFonts w:ascii="Calibri" w:hAnsi="Calibri"/>
                <w:sz w:val="16"/>
              </w:rPr>
              <w:t>Prix médian</w:t>
            </w:r>
          </w:p>
        </w:tc>
        <w:tc>
          <w:tcPr>
            <w:tcW w:type="dxa" w:w="3402"/>
            <w:shd w:val="clear" w:fill="F1F5F9"/>
          </w:tcPr>
          <w:p>
            <w:pPr>
              <w:jc w:val="right"/>
            </w:pPr>
            <w:r>
              <w:rPr>
                <w:rFonts w:ascii="Calibri" w:hAnsi="Calibri"/>
                <w:sz w:val="16"/>
              </w:rPr>
              <w:t>2 500 FCFA/Combo</w:t>
            </w:r>
          </w:p>
        </w:tc>
      </w:tr>
    </w:tbl>
    <w:p>
      <w:pPr>
        <w:jc w:val="both"/>
      </w:pPr>
      <w:r>
        <w:rPr>
          <w:sz w:val="22"/>
        </w:rPr>
        <w:t xml:space="preserve">Le Mango (mangue sauvage) est le </w:t>
      </w:r>
      <w:r>
        <w:rPr>
          <w:b/>
          <w:sz w:val="22"/>
        </w:rPr>
        <w:t>PFNL pivot</w:t>
      </w:r>
      <w:r>
        <w:rPr>
          <w:sz w:val="22"/>
        </w:rPr>
        <w:t xml:space="preserve"> de Lomié : collecté par la quasi-totalité des ménages, il génère le revenu total le plus élevé de l'échantillon (39,1 % du revenu PFNL). Ses amandes sont transformées en « boules » entrant dans la préparation des sauces traditionnelles, socle de l'alimentation locale. Son </w:t>
      </w:r>
      <w:r>
        <w:rPr>
          <w:b/>
          <w:sz w:val="22"/>
        </w:rPr>
        <w:t>rôle est à la fois alimentaire</w:t>
      </w:r>
      <w:r>
        <w:rPr>
          <w:sz w:val="22"/>
        </w:rPr>
        <w:t xml:space="preserve"> (autoconsommation de 15,0 %) </w:t>
      </w:r>
      <w:r>
        <w:rPr>
          <w:b/>
          <w:sz w:val="22"/>
        </w:rPr>
        <w:t>et économique majeur</w:t>
      </w:r>
      <w:r>
        <w:rPr>
          <w:sz w:val="22"/>
        </w:rPr>
        <w:t>. Sa présence fréquente comme arbre relique conservé dans les cacaoyères et jachères en fait une espèce clé de la stratégie « conservation par l'usage » des agroforêts des ménages.</w:t>
      </w:r>
    </w:p>
    <w:p>
      <w:pPr>
        <w:keepNext/>
        <w:spacing w:before="120"/>
      </w:pPr>
      <w:r>
        <w:rPr>
          <w:rFonts w:ascii="Calibri" w:hAnsi="Calibri"/>
          <w:b/>
          <w:i/>
          <w:color w:val="EA580C"/>
          <w:sz w:val="21"/>
        </w:rPr>
        <w:t>Rondelle — Afrostyrax lepidophyllus (Huaceae)</w:t>
      </w:r>
    </w:p>
    <w:p>
      <w:pPr>
        <w:keepNext/>
        <w:spacing w:before="160" w:after="40"/>
      </w:pPr>
      <w:r>
        <w:rPr>
          <w:rFonts w:ascii="Calibri" w:hAnsi="Calibri"/>
          <w:b/>
          <w:color w:val="0A1628"/>
          <w:sz w:val="19"/>
        </w:rPr>
        <w:t>Indicateurs clés — Rondelle</w:t>
      </w:r>
    </w:p>
    <w:tbl>
      <w:tblPr>
        <w:tblStyle w:val="TableGrid"/>
        <w:tblW w:type="auto" w:w="0"/>
        <w:jc w:val="center"/>
        <w:tblLook w:firstColumn="1" w:firstRow="1" w:lastColumn="0" w:lastRow="0" w:noHBand="0" w:noVBand="1" w:val="04A0"/>
      </w:tblPr>
      <w:tblGrid>
        <w:gridCol w:w="4816"/>
        <w:gridCol w:w="4816"/>
      </w:tblGrid>
      <w:tr>
        <w:tc>
          <w:tcPr>
            <w:tcW w:type="dxa" w:w="5102"/>
            <w:shd w:val="clear" w:fill="0A1628"/>
          </w:tcPr>
          <w:p>
            <w:pPr>
              <w:jc w:val="center"/>
            </w:pPr>
            <w:r>
              <w:rPr>
                <w:rFonts w:ascii="Calibri" w:hAnsi="Calibri"/>
                <w:b/>
                <w:color w:val="FFFFFF"/>
                <w:sz w:val="17"/>
              </w:rPr>
              <w:t>Indicateur</w:t>
            </w:r>
          </w:p>
        </w:tc>
        <w:tc>
          <w:tcPr>
            <w:tcW w:type="dxa" w:w="3402"/>
            <w:shd w:val="clear" w:fill="0A1628"/>
          </w:tcPr>
          <w:p>
            <w:pPr>
              <w:jc w:val="center"/>
            </w:pPr>
            <w:r>
              <w:rPr>
                <w:rFonts w:ascii="Calibri" w:hAnsi="Calibri"/>
                <w:b/>
                <w:color w:val="FFFFFF"/>
                <w:sz w:val="17"/>
              </w:rPr>
              <w:t>Valeur</w:t>
            </w:r>
          </w:p>
        </w:tc>
      </w:tr>
      <w:tr>
        <w:tc>
          <w:tcPr>
            <w:tcW w:type="dxa" w:w="5102"/>
          </w:tcPr>
          <w:p>
            <w:pPr>
              <w:jc w:val="left"/>
            </w:pPr>
            <w:r>
              <w:rPr>
                <w:rFonts w:ascii="Calibri" w:hAnsi="Calibri"/>
                <w:sz w:val="16"/>
              </w:rPr>
              <w:t>Fréquence de citation</w:t>
            </w:r>
          </w:p>
        </w:tc>
        <w:tc>
          <w:tcPr>
            <w:tcW w:type="dxa" w:w="3402"/>
          </w:tcPr>
          <w:p>
            <w:pPr>
              <w:jc w:val="right"/>
            </w:pPr>
            <w:r>
              <w:rPr>
                <w:rFonts w:ascii="Calibri" w:hAnsi="Calibri"/>
                <w:sz w:val="16"/>
              </w:rPr>
              <w:t>62,0 %</w:t>
            </w:r>
          </w:p>
        </w:tc>
      </w:tr>
      <w:tr>
        <w:tc>
          <w:tcPr>
            <w:tcW w:type="dxa" w:w="5102"/>
            <w:shd w:val="clear" w:fill="F1F5F9"/>
          </w:tcPr>
          <w:p>
            <w:pPr>
              <w:jc w:val="left"/>
            </w:pPr>
            <w:r>
              <w:rPr>
                <w:rFonts w:ascii="Calibri" w:hAnsi="Calibri"/>
                <w:sz w:val="16"/>
              </w:rPr>
              <w:t>Revenu moyen / ménage collecteur</w:t>
            </w:r>
          </w:p>
        </w:tc>
        <w:tc>
          <w:tcPr>
            <w:tcW w:type="dxa" w:w="3402"/>
            <w:shd w:val="clear" w:fill="F1F5F9"/>
          </w:tcPr>
          <w:p>
            <w:pPr>
              <w:jc w:val="right"/>
            </w:pPr>
            <w:r>
              <w:rPr>
                <w:rFonts w:ascii="Calibri" w:hAnsi="Calibri"/>
                <w:sz w:val="16"/>
              </w:rPr>
              <w:t>336 917 FCFA</w:t>
            </w:r>
          </w:p>
        </w:tc>
      </w:tr>
      <w:tr>
        <w:tc>
          <w:tcPr>
            <w:tcW w:type="dxa" w:w="5102"/>
          </w:tcPr>
          <w:p>
            <w:pPr>
              <w:jc w:val="left"/>
            </w:pPr>
            <w:r>
              <w:rPr>
                <w:rFonts w:ascii="Calibri" w:hAnsi="Calibri"/>
                <w:sz w:val="16"/>
              </w:rPr>
              <w:t>Revenu total (échantillon)</w:t>
            </w:r>
          </w:p>
        </w:tc>
        <w:tc>
          <w:tcPr>
            <w:tcW w:type="dxa" w:w="3402"/>
          </w:tcPr>
          <w:p>
            <w:pPr>
              <w:jc w:val="right"/>
            </w:pPr>
            <w:r>
              <w:rPr>
                <w:rFonts w:ascii="Calibri" w:hAnsi="Calibri"/>
                <w:sz w:val="16"/>
              </w:rPr>
              <w:t>10 107 500 FCFA</w:t>
            </w:r>
          </w:p>
        </w:tc>
      </w:tr>
      <w:tr>
        <w:tc>
          <w:tcPr>
            <w:tcW w:type="dxa" w:w="5102"/>
            <w:shd w:val="clear" w:fill="F1F5F9"/>
          </w:tcPr>
          <w:p>
            <w:pPr>
              <w:jc w:val="left"/>
            </w:pPr>
            <w:r>
              <w:rPr>
                <w:rFonts w:ascii="Calibri" w:hAnsi="Calibri"/>
                <w:sz w:val="16"/>
              </w:rPr>
              <w:t>Part du revenu PFNL total</w:t>
            </w:r>
          </w:p>
        </w:tc>
        <w:tc>
          <w:tcPr>
            <w:tcW w:type="dxa" w:w="3402"/>
            <w:shd w:val="clear" w:fill="F1F5F9"/>
          </w:tcPr>
          <w:p>
            <w:pPr>
              <w:jc w:val="right"/>
            </w:pPr>
            <w:r>
              <w:rPr>
                <w:rFonts w:ascii="Calibri" w:hAnsi="Calibri"/>
                <w:sz w:val="16"/>
              </w:rPr>
              <w:t>36,4 %</w:t>
            </w:r>
          </w:p>
        </w:tc>
      </w:tr>
      <w:tr>
        <w:tc>
          <w:tcPr>
            <w:tcW w:type="dxa" w:w="5102"/>
          </w:tcPr>
          <w:p>
            <w:pPr>
              <w:jc w:val="left"/>
            </w:pPr>
            <w:r>
              <w:rPr>
                <w:rFonts w:ascii="Calibri" w:hAnsi="Calibri"/>
                <w:sz w:val="16"/>
              </w:rPr>
              <w:t>Part vendue / autoconsommée</w:t>
            </w:r>
          </w:p>
        </w:tc>
        <w:tc>
          <w:tcPr>
            <w:tcW w:type="dxa" w:w="3402"/>
          </w:tcPr>
          <w:p>
            <w:pPr>
              <w:jc w:val="right"/>
            </w:pPr>
            <w:r>
              <w:rPr>
                <w:rFonts w:ascii="Calibri" w:hAnsi="Calibri"/>
                <w:sz w:val="16"/>
              </w:rPr>
              <w:t>98,2 % / 1,8 %</w:t>
            </w:r>
          </w:p>
        </w:tc>
      </w:tr>
      <w:tr>
        <w:tc>
          <w:tcPr>
            <w:tcW w:type="dxa" w:w="5102"/>
            <w:shd w:val="clear" w:fill="F1F5F9"/>
          </w:tcPr>
          <w:p>
            <w:pPr>
              <w:jc w:val="left"/>
            </w:pPr>
            <w:r>
              <w:rPr>
                <w:rFonts w:ascii="Calibri" w:hAnsi="Calibri"/>
                <w:sz w:val="16"/>
              </w:rPr>
              <w:t>Prix médian</w:t>
            </w:r>
          </w:p>
        </w:tc>
        <w:tc>
          <w:tcPr>
            <w:tcW w:type="dxa" w:w="3402"/>
            <w:shd w:val="clear" w:fill="F1F5F9"/>
          </w:tcPr>
          <w:p>
            <w:pPr>
              <w:jc w:val="right"/>
            </w:pPr>
            <w:r>
              <w:rPr>
                <w:rFonts w:ascii="Calibri" w:hAnsi="Calibri"/>
                <w:sz w:val="16"/>
              </w:rPr>
              <w:t>2 000 FCFA/Combo</w:t>
            </w:r>
          </w:p>
        </w:tc>
      </w:tr>
    </w:tbl>
    <w:p>
      <w:pPr>
        <w:jc w:val="both"/>
      </w:pPr>
      <w:r>
        <w:rPr>
          <w:sz w:val="22"/>
        </w:rPr>
        <w:t xml:space="preserve">La Rondelle est le </w:t>
      </w:r>
      <w:r>
        <w:rPr>
          <w:b/>
          <w:sz w:val="22"/>
        </w:rPr>
        <w:t>premier contributeur au revenu par ménage collecteur</w:t>
      </w:r>
      <w:r>
        <w:rPr>
          <w:sz w:val="22"/>
        </w:rPr>
        <w:t xml:space="preserve"> (336 917 FCFA) et le deuxième au revenu total (36,4 %). Ses graines, à l'odeur aliacée, sont un condiment recherché, ce qui explique un prix élevé et volatil (jusqu'à 7 000 FCFA/Combo). Sa commercialisation est quasi totale (98,2 %), sans transformation : c'est une </w:t>
      </w:r>
      <w:r>
        <w:rPr>
          <w:b/>
          <w:sz w:val="22"/>
        </w:rPr>
        <w:t>pure culture de rente forestière</w:t>
      </w:r>
      <w:r>
        <w:rPr>
          <w:sz w:val="22"/>
        </w:rPr>
        <w:t>, candidate prioritaire à un appui à la structuration commerciale.</w:t>
      </w:r>
    </w:p>
    <w:p>
      <w:pPr>
        <w:keepNext/>
        <w:spacing w:before="120"/>
      </w:pPr>
      <w:r>
        <w:rPr>
          <w:rFonts w:ascii="Calibri" w:hAnsi="Calibri"/>
          <w:b/>
          <w:i/>
          <w:color w:val="EA580C"/>
          <w:sz w:val="21"/>
        </w:rPr>
        <w:t>Mbalaka — Pentaclethra macrophylla (Fabaceae)</w:t>
      </w:r>
    </w:p>
    <w:p>
      <w:pPr>
        <w:keepNext/>
        <w:spacing w:before="160" w:after="40"/>
      </w:pPr>
      <w:r>
        <w:rPr>
          <w:rFonts w:ascii="Calibri" w:hAnsi="Calibri"/>
          <w:b/>
          <w:color w:val="0A1628"/>
          <w:sz w:val="19"/>
        </w:rPr>
        <w:t>Indicateurs clés — Mbalaka</w:t>
      </w:r>
    </w:p>
    <w:tbl>
      <w:tblPr>
        <w:tblStyle w:val="TableGrid"/>
        <w:tblW w:type="auto" w:w="0"/>
        <w:jc w:val="center"/>
        <w:tblLook w:firstColumn="1" w:firstRow="1" w:lastColumn="0" w:lastRow="0" w:noHBand="0" w:noVBand="1" w:val="04A0"/>
      </w:tblPr>
      <w:tblGrid>
        <w:gridCol w:w="4816"/>
        <w:gridCol w:w="4816"/>
      </w:tblGrid>
      <w:tr>
        <w:tc>
          <w:tcPr>
            <w:tcW w:type="dxa" w:w="5102"/>
            <w:shd w:val="clear" w:fill="0A1628"/>
          </w:tcPr>
          <w:p>
            <w:pPr>
              <w:jc w:val="center"/>
            </w:pPr>
            <w:r>
              <w:rPr>
                <w:rFonts w:ascii="Calibri" w:hAnsi="Calibri"/>
                <w:b/>
                <w:color w:val="FFFFFF"/>
                <w:sz w:val="17"/>
              </w:rPr>
              <w:t>Indicateur</w:t>
            </w:r>
          </w:p>
        </w:tc>
        <w:tc>
          <w:tcPr>
            <w:tcW w:type="dxa" w:w="3402"/>
            <w:shd w:val="clear" w:fill="0A1628"/>
          </w:tcPr>
          <w:p>
            <w:pPr>
              <w:jc w:val="center"/>
            </w:pPr>
            <w:r>
              <w:rPr>
                <w:rFonts w:ascii="Calibri" w:hAnsi="Calibri"/>
                <w:b/>
                <w:color w:val="FFFFFF"/>
                <w:sz w:val="17"/>
              </w:rPr>
              <w:t>Valeur</w:t>
            </w:r>
          </w:p>
        </w:tc>
      </w:tr>
      <w:tr>
        <w:tc>
          <w:tcPr>
            <w:tcW w:type="dxa" w:w="5102"/>
          </w:tcPr>
          <w:p>
            <w:pPr>
              <w:jc w:val="left"/>
            </w:pPr>
            <w:r>
              <w:rPr>
                <w:rFonts w:ascii="Calibri" w:hAnsi="Calibri"/>
                <w:sz w:val="16"/>
              </w:rPr>
              <w:t>Fréquence de citation</w:t>
            </w:r>
          </w:p>
        </w:tc>
        <w:tc>
          <w:tcPr>
            <w:tcW w:type="dxa" w:w="3402"/>
          </w:tcPr>
          <w:p>
            <w:pPr>
              <w:jc w:val="right"/>
            </w:pPr>
            <w:r>
              <w:rPr>
                <w:rFonts w:ascii="Calibri" w:hAnsi="Calibri"/>
                <w:sz w:val="16"/>
              </w:rPr>
              <w:t>60,0 %</w:t>
            </w:r>
          </w:p>
        </w:tc>
      </w:tr>
      <w:tr>
        <w:tc>
          <w:tcPr>
            <w:tcW w:type="dxa" w:w="5102"/>
            <w:shd w:val="clear" w:fill="F1F5F9"/>
          </w:tcPr>
          <w:p>
            <w:pPr>
              <w:jc w:val="left"/>
            </w:pPr>
            <w:r>
              <w:rPr>
                <w:rFonts w:ascii="Calibri" w:hAnsi="Calibri"/>
                <w:sz w:val="16"/>
              </w:rPr>
              <w:t>Revenu moyen / ménage collecteur</w:t>
            </w:r>
          </w:p>
        </w:tc>
        <w:tc>
          <w:tcPr>
            <w:tcW w:type="dxa" w:w="3402"/>
            <w:shd w:val="clear" w:fill="F1F5F9"/>
          </w:tcPr>
          <w:p>
            <w:pPr>
              <w:jc w:val="right"/>
            </w:pPr>
            <w:r>
              <w:rPr>
                <w:rFonts w:ascii="Calibri" w:hAnsi="Calibri"/>
                <w:sz w:val="16"/>
              </w:rPr>
              <w:t>165 362 FCFA</w:t>
            </w:r>
          </w:p>
        </w:tc>
      </w:tr>
      <w:tr>
        <w:tc>
          <w:tcPr>
            <w:tcW w:type="dxa" w:w="5102"/>
          </w:tcPr>
          <w:p>
            <w:pPr>
              <w:jc w:val="left"/>
            </w:pPr>
            <w:r>
              <w:rPr>
                <w:rFonts w:ascii="Calibri" w:hAnsi="Calibri"/>
                <w:sz w:val="16"/>
              </w:rPr>
              <w:t>Revenu total (échantillon)</w:t>
            </w:r>
          </w:p>
        </w:tc>
        <w:tc>
          <w:tcPr>
            <w:tcW w:type="dxa" w:w="3402"/>
          </w:tcPr>
          <w:p>
            <w:pPr>
              <w:jc w:val="right"/>
            </w:pPr>
            <w:r>
              <w:rPr>
                <w:rFonts w:ascii="Calibri" w:hAnsi="Calibri"/>
                <w:sz w:val="16"/>
              </w:rPr>
              <w:t>4 795 500 FCFA</w:t>
            </w:r>
          </w:p>
        </w:tc>
      </w:tr>
      <w:tr>
        <w:tc>
          <w:tcPr>
            <w:tcW w:type="dxa" w:w="5102"/>
            <w:shd w:val="clear" w:fill="F1F5F9"/>
          </w:tcPr>
          <w:p>
            <w:pPr>
              <w:jc w:val="left"/>
            </w:pPr>
            <w:r>
              <w:rPr>
                <w:rFonts w:ascii="Calibri" w:hAnsi="Calibri"/>
                <w:sz w:val="16"/>
              </w:rPr>
              <w:t>Part du revenu PFNL total</w:t>
            </w:r>
          </w:p>
        </w:tc>
        <w:tc>
          <w:tcPr>
            <w:tcW w:type="dxa" w:w="3402"/>
            <w:shd w:val="clear" w:fill="F1F5F9"/>
          </w:tcPr>
          <w:p>
            <w:pPr>
              <w:jc w:val="right"/>
            </w:pPr>
            <w:r>
              <w:rPr>
                <w:rFonts w:ascii="Calibri" w:hAnsi="Calibri"/>
                <w:sz w:val="16"/>
              </w:rPr>
              <w:t>17,3 %</w:t>
            </w:r>
          </w:p>
        </w:tc>
      </w:tr>
      <w:tr>
        <w:tc>
          <w:tcPr>
            <w:tcW w:type="dxa" w:w="5102"/>
          </w:tcPr>
          <w:p>
            <w:pPr>
              <w:jc w:val="left"/>
            </w:pPr>
            <w:r>
              <w:rPr>
                <w:rFonts w:ascii="Calibri" w:hAnsi="Calibri"/>
                <w:sz w:val="16"/>
              </w:rPr>
              <w:t>Part vendue / autoconsommée</w:t>
            </w:r>
          </w:p>
        </w:tc>
        <w:tc>
          <w:tcPr>
            <w:tcW w:type="dxa" w:w="3402"/>
          </w:tcPr>
          <w:p>
            <w:pPr>
              <w:jc w:val="right"/>
            </w:pPr>
            <w:r>
              <w:rPr>
                <w:rFonts w:ascii="Calibri" w:hAnsi="Calibri"/>
                <w:sz w:val="16"/>
              </w:rPr>
              <w:t>100,0 % / 0,0 %</w:t>
            </w:r>
          </w:p>
        </w:tc>
      </w:tr>
      <w:tr>
        <w:tc>
          <w:tcPr>
            <w:tcW w:type="dxa" w:w="5102"/>
            <w:shd w:val="clear" w:fill="F1F5F9"/>
          </w:tcPr>
          <w:p>
            <w:pPr>
              <w:jc w:val="left"/>
            </w:pPr>
            <w:r>
              <w:rPr>
                <w:rFonts w:ascii="Calibri" w:hAnsi="Calibri"/>
                <w:sz w:val="16"/>
              </w:rPr>
              <w:t>Prix médian</w:t>
            </w:r>
          </w:p>
        </w:tc>
        <w:tc>
          <w:tcPr>
            <w:tcW w:type="dxa" w:w="3402"/>
            <w:shd w:val="clear" w:fill="F1F5F9"/>
          </w:tcPr>
          <w:p>
            <w:pPr>
              <w:jc w:val="right"/>
            </w:pPr>
            <w:r>
              <w:rPr>
                <w:rFonts w:ascii="Calibri" w:hAnsi="Calibri"/>
                <w:sz w:val="16"/>
              </w:rPr>
              <w:t>1 000 FCFA/Combo</w:t>
            </w:r>
          </w:p>
        </w:tc>
      </w:tr>
    </w:tbl>
    <w:p>
      <w:pPr>
        <w:jc w:val="both"/>
      </w:pPr>
      <w:r>
        <w:rPr>
          <w:sz w:val="22"/>
        </w:rPr>
        <w:t xml:space="preserve">Le Mbalaka se distingue par les </w:t>
      </w:r>
      <w:r>
        <w:rPr>
          <w:b/>
          <w:sz w:val="22"/>
        </w:rPr>
        <w:t>volumes collectés les plus élevés</w:t>
      </w:r>
      <w:r>
        <w:rPr>
          <w:sz w:val="22"/>
        </w:rPr>
        <w:t xml:space="preserve"> (jusqu'à 600 Combo pour un ménage) et une commercialisation intégrale (100,0 %, aucune autoconsommation enregistrée). Son prix unitaire est le plus bas des cinq majeurs (médiane 1 000 FCFA/Combo) : c'est un </w:t>
      </w:r>
      <w:r>
        <w:rPr>
          <w:b/>
          <w:sz w:val="22"/>
        </w:rPr>
        <w:t>produit de volume</w:t>
      </w:r>
      <w:r>
        <w:rPr>
          <w:sz w:val="22"/>
        </w:rPr>
        <w:t>, dont le revenu (165 362 FCFA en moyenne) provient de la quantité plus que de la valeur unitaire. Un appui à la conservation post-récolte et à la mise en marché groupée en améliorerait la rentabilité.</w:t>
      </w:r>
    </w:p>
    <w:p>
      <w:pPr>
        <w:keepNext/>
        <w:spacing w:before="120"/>
      </w:pPr>
      <w:r>
        <w:rPr>
          <w:rFonts w:ascii="Calibri" w:hAnsi="Calibri"/>
          <w:b/>
          <w:i/>
          <w:color w:val="EA580C"/>
          <w:sz w:val="21"/>
        </w:rPr>
        <w:t>Djansang — Ricinodendron heudelotii (Euphorbiaceae)</w:t>
      </w:r>
    </w:p>
    <w:p>
      <w:pPr>
        <w:keepNext/>
        <w:spacing w:before="160" w:after="40"/>
      </w:pPr>
      <w:r>
        <w:rPr>
          <w:rFonts w:ascii="Calibri" w:hAnsi="Calibri"/>
          <w:b/>
          <w:color w:val="0A1628"/>
          <w:sz w:val="19"/>
        </w:rPr>
        <w:t>Indicateurs clés — Djansang</w:t>
      </w:r>
    </w:p>
    <w:tbl>
      <w:tblPr>
        <w:tblStyle w:val="TableGrid"/>
        <w:tblW w:type="auto" w:w="0"/>
        <w:jc w:val="center"/>
        <w:tblLook w:firstColumn="1" w:firstRow="1" w:lastColumn="0" w:lastRow="0" w:noHBand="0" w:noVBand="1" w:val="04A0"/>
      </w:tblPr>
      <w:tblGrid>
        <w:gridCol w:w="4816"/>
        <w:gridCol w:w="4816"/>
      </w:tblGrid>
      <w:tr>
        <w:tc>
          <w:tcPr>
            <w:tcW w:type="dxa" w:w="5102"/>
            <w:shd w:val="clear" w:fill="0A1628"/>
          </w:tcPr>
          <w:p>
            <w:pPr>
              <w:jc w:val="center"/>
            </w:pPr>
            <w:r>
              <w:rPr>
                <w:rFonts w:ascii="Calibri" w:hAnsi="Calibri"/>
                <w:b/>
                <w:color w:val="FFFFFF"/>
                <w:sz w:val="17"/>
              </w:rPr>
              <w:t>Indicateur</w:t>
            </w:r>
          </w:p>
        </w:tc>
        <w:tc>
          <w:tcPr>
            <w:tcW w:type="dxa" w:w="3402"/>
            <w:shd w:val="clear" w:fill="0A1628"/>
          </w:tcPr>
          <w:p>
            <w:pPr>
              <w:jc w:val="center"/>
            </w:pPr>
            <w:r>
              <w:rPr>
                <w:rFonts w:ascii="Calibri" w:hAnsi="Calibri"/>
                <w:b/>
                <w:color w:val="FFFFFF"/>
                <w:sz w:val="17"/>
              </w:rPr>
              <w:t>Valeur</w:t>
            </w:r>
          </w:p>
        </w:tc>
      </w:tr>
      <w:tr>
        <w:tc>
          <w:tcPr>
            <w:tcW w:type="dxa" w:w="5102"/>
          </w:tcPr>
          <w:p>
            <w:pPr>
              <w:jc w:val="left"/>
            </w:pPr>
            <w:r>
              <w:rPr>
                <w:rFonts w:ascii="Calibri" w:hAnsi="Calibri"/>
                <w:sz w:val="16"/>
              </w:rPr>
              <w:t>Fréquence de citation</w:t>
            </w:r>
          </w:p>
        </w:tc>
        <w:tc>
          <w:tcPr>
            <w:tcW w:type="dxa" w:w="3402"/>
          </w:tcPr>
          <w:p>
            <w:pPr>
              <w:jc w:val="right"/>
            </w:pPr>
            <w:r>
              <w:rPr>
                <w:rFonts w:ascii="Calibri" w:hAnsi="Calibri"/>
                <w:sz w:val="16"/>
              </w:rPr>
              <w:t>40,0 %</w:t>
            </w:r>
          </w:p>
        </w:tc>
      </w:tr>
      <w:tr>
        <w:tc>
          <w:tcPr>
            <w:tcW w:type="dxa" w:w="5102"/>
            <w:shd w:val="clear" w:fill="F1F5F9"/>
          </w:tcPr>
          <w:p>
            <w:pPr>
              <w:jc w:val="left"/>
            </w:pPr>
            <w:r>
              <w:rPr>
                <w:rFonts w:ascii="Calibri" w:hAnsi="Calibri"/>
                <w:sz w:val="16"/>
              </w:rPr>
              <w:t>Revenu moyen / ménage collecteur</w:t>
            </w:r>
          </w:p>
        </w:tc>
        <w:tc>
          <w:tcPr>
            <w:tcW w:type="dxa" w:w="3402"/>
            <w:shd w:val="clear" w:fill="F1F5F9"/>
          </w:tcPr>
          <w:p>
            <w:pPr>
              <w:jc w:val="right"/>
            </w:pPr>
            <w:r>
              <w:rPr>
                <w:rFonts w:ascii="Calibri" w:hAnsi="Calibri"/>
                <w:sz w:val="16"/>
              </w:rPr>
              <w:t>54 842 FCFA</w:t>
            </w:r>
          </w:p>
        </w:tc>
      </w:tr>
      <w:tr>
        <w:tc>
          <w:tcPr>
            <w:tcW w:type="dxa" w:w="5102"/>
          </w:tcPr>
          <w:p>
            <w:pPr>
              <w:jc w:val="left"/>
            </w:pPr>
            <w:r>
              <w:rPr>
                <w:rFonts w:ascii="Calibri" w:hAnsi="Calibri"/>
                <w:sz w:val="16"/>
              </w:rPr>
              <w:t>Revenu total (échantillon)</w:t>
            </w:r>
          </w:p>
        </w:tc>
        <w:tc>
          <w:tcPr>
            <w:tcW w:type="dxa" w:w="3402"/>
          </w:tcPr>
          <w:p>
            <w:pPr>
              <w:jc w:val="right"/>
            </w:pPr>
            <w:r>
              <w:rPr>
                <w:rFonts w:ascii="Calibri" w:hAnsi="Calibri"/>
                <w:sz w:val="16"/>
              </w:rPr>
              <w:t>1 042 000 FCFA</w:t>
            </w:r>
          </w:p>
        </w:tc>
      </w:tr>
      <w:tr>
        <w:tc>
          <w:tcPr>
            <w:tcW w:type="dxa" w:w="5102"/>
            <w:shd w:val="clear" w:fill="F1F5F9"/>
          </w:tcPr>
          <w:p>
            <w:pPr>
              <w:jc w:val="left"/>
            </w:pPr>
            <w:r>
              <w:rPr>
                <w:rFonts w:ascii="Calibri" w:hAnsi="Calibri"/>
                <w:sz w:val="16"/>
              </w:rPr>
              <w:t>Part du revenu PFNL total</w:t>
            </w:r>
          </w:p>
        </w:tc>
        <w:tc>
          <w:tcPr>
            <w:tcW w:type="dxa" w:w="3402"/>
            <w:shd w:val="clear" w:fill="F1F5F9"/>
          </w:tcPr>
          <w:p>
            <w:pPr>
              <w:jc w:val="right"/>
            </w:pPr>
            <w:r>
              <w:rPr>
                <w:rFonts w:ascii="Calibri" w:hAnsi="Calibri"/>
                <w:sz w:val="16"/>
              </w:rPr>
              <w:t>3,8 %</w:t>
            </w:r>
          </w:p>
        </w:tc>
      </w:tr>
      <w:tr>
        <w:tc>
          <w:tcPr>
            <w:tcW w:type="dxa" w:w="5102"/>
          </w:tcPr>
          <w:p>
            <w:pPr>
              <w:jc w:val="left"/>
            </w:pPr>
            <w:r>
              <w:rPr>
                <w:rFonts w:ascii="Calibri" w:hAnsi="Calibri"/>
                <w:sz w:val="16"/>
              </w:rPr>
              <w:t>Part vendue / autoconsommée</w:t>
            </w:r>
          </w:p>
        </w:tc>
        <w:tc>
          <w:tcPr>
            <w:tcW w:type="dxa" w:w="3402"/>
          </w:tcPr>
          <w:p>
            <w:pPr>
              <w:jc w:val="right"/>
            </w:pPr>
            <w:r>
              <w:rPr>
                <w:rFonts w:ascii="Calibri" w:hAnsi="Calibri"/>
                <w:sz w:val="16"/>
              </w:rPr>
              <w:t>83,0 % / 17,0 %</w:t>
            </w:r>
          </w:p>
        </w:tc>
      </w:tr>
      <w:tr>
        <w:tc>
          <w:tcPr>
            <w:tcW w:type="dxa" w:w="5102"/>
            <w:shd w:val="clear" w:fill="F1F5F9"/>
          </w:tcPr>
          <w:p>
            <w:pPr>
              <w:jc w:val="left"/>
            </w:pPr>
            <w:r>
              <w:rPr>
                <w:rFonts w:ascii="Calibri" w:hAnsi="Calibri"/>
                <w:sz w:val="16"/>
              </w:rPr>
              <w:t>Prix médian</w:t>
            </w:r>
          </w:p>
        </w:tc>
        <w:tc>
          <w:tcPr>
            <w:tcW w:type="dxa" w:w="3402"/>
            <w:shd w:val="clear" w:fill="F1F5F9"/>
          </w:tcPr>
          <w:p>
            <w:pPr>
              <w:jc w:val="right"/>
            </w:pPr>
            <w:r>
              <w:rPr>
                <w:rFonts w:ascii="Calibri" w:hAnsi="Calibri"/>
                <w:sz w:val="16"/>
              </w:rPr>
              <w:t>5 000 FCFA/Combo</w:t>
            </w:r>
          </w:p>
        </w:tc>
      </w:tr>
    </w:tbl>
    <w:p>
      <w:pPr>
        <w:jc w:val="both"/>
      </w:pPr>
      <w:r>
        <w:rPr>
          <w:sz w:val="22"/>
        </w:rPr>
        <w:t xml:space="preserve">Le Djansang présente un profil paradoxal : fréquemment collecté (40,0 %) mais faiblement contributif au revenu total (3,8 %), avec le coefficient de variation le plus élevé (≈ 150 %). La médiane de revenu est basse (25 000 FCFA) mais le maximum atteint 315 000 FCFA. Son </w:t>
      </w:r>
      <w:r>
        <w:rPr>
          <w:b/>
          <w:sz w:val="22"/>
        </w:rPr>
        <w:t>prix élevé</w:t>
      </w:r>
      <w:r>
        <w:rPr>
          <w:sz w:val="22"/>
        </w:rPr>
        <w:t xml:space="preserve"> (médiane 5 000 FCFA/Combo) et l'abondance de son espèce productrice dans les inventaires signalent un </w:t>
      </w:r>
      <w:r>
        <w:rPr>
          <w:b/>
          <w:sz w:val="22"/>
        </w:rPr>
        <w:t>potentiel de valorisation sous-exploité</w:t>
      </w:r>
      <w:r>
        <w:rPr>
          <w:sz w:val="22"/>
        </w:rPr>
        <w:t>.</w:t>
      </w:r>
    </w:p>
    <w:p>
      <w:pPr>
        <w:keepNext/>
        <w:spacing w:before="120"/>
      </w:pPr>
      <w:r>
        <w:rPr>
          <w:rFonts w:ascii="Calibri" w:hAnsi="Calibri"/>
          <w:b/>
          <w:i/>
          <w:color w:val="EA580C"/>
          <w:sz w:val="21"/>
        </w:rPr>
        <w:t>Moabi — Baillonella toxisperma (Sapotaceae)</w:t>
      </w:r>
    </w:p>
    <w:p>
      <w:pPr>
        <w:keepNext/>
        <w:spacing w:before="160" w:after="40"/>
      </w:pPr>
      <w:r>
        <w:rPr>
          <w:rFonts w:ascii="Calibri" w:hAnsi="Calibri"/>
          <w:b/>
          <w:color w:val="0A1628"/>
          <w:sz w:val="19"/>
        </w:rPr>
        <w:t>Indicateurs clés — Moabi</w:t>
      </w:r>
    </w:p>
    <w:tbl>
      <w:tblPr>
        <w:tblStyle w:val="TableGrid"/>
        <w:tblW w:type="auto" w:w="0"/>
        <w:jc w:val="center"/>
        <w:tblLook w:firstColumn="1" w:firstRow="1" w:lastColumn="0" w:lastRow="0" w:noHBand="0" w:noVBand="1" w:val="04A0"/>
      </w:tblPr>
      <w:tblGrid>
        <w:gridCol w:w="4816"/>
        <w:gridCol w:w="4816"/>
      </w:tblGrid>
      <w:tr>
        <w:tc>
          <w:tcPr>
            <w:tcW w:type="dxa" w:w="5102"/>
            <w:shd w:val="clear" w:fill="0A1628"/>
          </w:tcPr>
          <w:p>
            <w:pPr>
              <w:jc w:val="center"/>
            </w:pPr>
            <w:r>
              <w:rPr>
                <w:rFonts w:ascii="Calibri" w:hAnsi="Calibri"/>
                <w:b/>
                <w:color w:val="FFFFFF"/>
                <w:sz w:val="17"/>
              </w:rPr>
              <w:t>Indicateur</w:t>
            </w:r>
          </w:p>
        </w:tc>
        <w:tc>
          <w:tcPr>
            <w:tcW w:type="dxa" w:w="3402"/>
            <w:shd w:val="clear" w:fill="0A1628"/>
          </w:tcPr>
          <w:p>
            <w:pPr>
              <w:jc w:val="center"/>
            </w:pPr>
            <w:r>
              <w:rPr>
                <w:rFonts w:ascii="Calibri" w:hAnsi="Calibri"/>
                <w:b/>
                <w:color w:val="FFFFFF"/>
                <w:sz w:val="17"/>
              </w:rPr>
              <w:t>Valeur</w:t>
            </w:r>
          </w:p>
        </w:tc>
      </w:tr>
      <w:tr>
        <w:tc>
          <w:tcPr>
            <w:tcW w:type="dxa" w:w="5102"/>
          </w:tcPr>
          <w:p>
            <w:pPr>
              <w:jc w:val="left"/>
            </w:pPr>
            <w:r>
              <w:rPr>
                <w:rFonts w:ascii="Calibri" w:hAnsi="Calibri"/>
                <w:sz w:val="16"/>
              </w:rPr>
              <w:t>Fréquence de citation</w:t>
            </w:r>
          </w:p>
        </w:tc>
        <w:tc>
          <w:tcPr>
            <w:tcW w:type="dxa" w:w="3402"/>
          </w:tcPr>
          <w:p>
            <w:pPr>
              <w:jc w:val="right"/>
            </w:pPr>
            <w:r>
              <w:rPr>
                <w:rFonts w:ascii="Calibri" w:hAnsi="Calibri"/>
                <w:sz w:val="16"/>
              </w:rPr>
              <w:t>34,0 %</w:t>
            </w:r>
          </w:p>
        </w:tc>
      </w:tr>
      <w:tr>
        <w:tc>
          <w:tcPr>
            <w:tcW w:type="dxa" w:w="5102"/>
            <w:shd w:val="clear" w:fill="F1F5F9"/>
          </w:tcPr>
          <w:p>
            <w:pPr>
              <w:jc w:val="left"/>
            </w:pPr>
            <w:r>
              <w:rPr>
                <w:rFonts w:ascii="Calibri" w:hAnsi="Calibri"/>
                <w:sz w:val="16"/>
              </w:rPr>
              <w:t>Revenu moyen / ménage collecteur</w:t>
            </w:r>
          </w:p>
        </w:tc>
        <w:tc>
          <w:tcPr>
            <w:tcW w:type="dxa" w:w="3402"/>
            <w:shd w:val="clear" w:fill="F1F5F9"/>
          </w:tcPr>
          <w:p>
            <w:pPr>
              <w:jc w:val="right"/>
            </w:pPr>
            <w:r>
              <w:rPr>
                <w:rFonts w:ascii="Calibri" w:hAnsi="Calibri"/>
                <w:sz w:val="16"/>
              </w:rPr>
              <w:t>64 433 FCFA</w:t>
            </w:r>
          </w:p>
        </w:tc>
      </w:tr>
      <w:tr>
        <w:tc>
          <w:tcPr>
            <w:tcW w:type="dxa" w:w="5102"/>
          </w:tcPr>
          <w:p>
            <w:pPr>
              <w:jc w:val="left"/>
            </w:pPr>
            <w:r>
              <w:rPr>
                <w:rFonts w:ascii="Calibri" w:hAnsi="Calibri"/>
                <w:sz w:val="16"/>
              </w:rPr>
              <w:t>Revenu total (échantillon)</w:t>
            </w:r>
          </w:p>
        </w:tc>
        <w:tc>
          <w:tcPr>
            <w:tcW w:type="dxa" w:w="3402"/>
          </w:tcPr>
          <w:p>
            <w:pPr>
              <w:jc w:val="right"/>
            </w:pPr>
            <w:r>
              <w:rPr>
                <w:rFonts w:ascii="Calibri" w:hAnsi="Calibri"/>
                <w:sz w:val="16"/>
              </w:rPr>
              <w:t>966 500 FCFA</w:t>
            </w:r>
          </w:p>
        </w:tc>
      </w:tr>
      <w:tr>
        <w:tc>
          <w:tcPr>
            <w:tcW w:type="dxa" w:w="5102"/>
            <w:shd w:val="clear" w:fill="F1F5F9"/>
          </w:tcPr>
          <w:p>
            <w:pPr>
              <w:jc w:val="left"/>
            </w:pPr>
            <w:r>
              <w:rPr>
                <w:rFonts w:ascii="Calibri" w:hAnsi="Calibri"/>
                <w:sz w:val="16"/>
              </w:rPr>
              <w:t>Part du revenu PFNL total</w:t>
            </w:r>
          </w:p>
        </w:tc>
        <w:tc>
          <w:tcPr>
            <w:tcW w:type="dxa" w:w="3402"/>
            <w:shd w:val="clear" w:fill="F1F5F9"/>
          </w:tcPr>
          <w:p>
            <w:pPr>
              <w:jc w:val="right"/>
            </w:pPr>
            <w:r>
              <w:rPr>
                <w:rFonts w:ascii="Calibri" w:hAnsi="Calibri"/>
                <w:sz w:val="16"/>
              </w:rPr>
              <w:t>3,5 %</w:t>
            </w:r>
          </w:p>
        </w:tc>
      </w:tr>
      <w:tr>
        <w:tc>
          <w:tcPr>
            <w:tcW w:type="dxa" w:w="5102"/>
          </w:tcPr>
          <w:p>
            <w:pPr>
              <w:jc w:val="left"/>
            </w:pPr>
            <w:r>
              <w:rPr>
                <w:rFonts w:ascii="Calibri" w:hAnsi="Calibri"/>
                <w:sz w:val="16"/>
              </w:rPr>
              <w:t>Part vendue / autoconsommée</w:t>
            </w:r>
          </w:p>
        </w:tc>
        <w:tc>
          <w:tcPr>
            <w:tcW w:type="dxa" w:w="3402"/>
          </w:tcPr>
          <w:p>
            <w:pPr>
              <w:jc w:val="right"/>
            </w:pPr>
            <w:r>
              <w:rPr>
                <w:rFonts w:ascii="Calibri" w:hAnsi="Calibri"/>
                <w:sz w:val="16"/>
              </w:rPr>
              <w:t>65,3 % / 34,7 %</w:t>
            </w:r>
          </w:p>
        </w:tc>
      </w:tr>
      <w:tr>
        <w:tc>
          <w:tcPr>
            <w:tcW w:type="dxa" w:w="5102"/>
            <w:shd w:val="clear" w:fill="F1F5F9"/>
          </w:tcPr>
          <w:p>
            <w:pPr>
              <w:jc w:val="left"/>
            </w:pPr>
            <w:r>
              <w:rPr>
                <w:rFonts w:ascii="Calibri" w:hAnsi="Calibri"/>
                <w:sz w:val="16"/>
              </w:rPr>
              <w:t>Prix médian</w:t>
            </w:r>
          </w:p>
        </w:tc>
        <w:tc>
          <w:tcPr>
            <w:tcW w:type="dxa" w:w="3402"/>
            <w:shd w:val="clear" w:fill="F1F5F9"/>
          </w:tcPr>
          <w:p>
            <w:pPr>
              <w:jc w:val="right"/>
            </w:pPr>
            <w:r>
              <w:rPr>
                <w:rFonts w:ascii="Calibri" w:hAnsi="Calibri"/>
                <w:sz w:val="16"/>
              </w:rPr>
              <w:t>2 500 FCFA/litre</w:t>
            </w:r>
          </w:p>
        </w:tc>
      </w:tr>
    </w:tbl>
    <w:p>
      <w:pPr>
        <w:jc w:val="both"/>
      </w:pPr>
      <w:r>
        <w:rPr>
          <w:sz w:val="22"/>
        </w:rPr>
        <w:t>Le Moabi, grand arbre emblématique de la forêt dense (également espèce de bois d'œuvre précieux), est valorisé à Lomié pour l'</w:t>
      </w:r>
      <w:r>
        <w:rPr>
          <w:b/>
          <w:sz w:val="22"/>
        </w:rPr>
        <w:t>huile alimentaire</w:t>
      </w:r>
      <w:r>
        <w:rPr>
          <w:sz w:val="22"/>
        </w:rPr>
        <w:t xml:space="preserve"> extraite de ses amandes. Sa part d'autoconsommation est la plus élevée des cinq majeurs (34,7 %) : l'huile est d'abord destinée à la cuisine du ménage, le surplus étant vendu à bon prix. Sa contribution au revenu total reste modeste (3,5 %), mais son </w:t>
      </w:r>
      <w:r>
        <w:rPr>
          <w:b/>
          <w:sz w:val="22"/>
        </w:rPr>
        <w:t>rôle nutritionnel et culturel</w:t>
      </w:r>
      <w:r>
        <w:rPr>
          <w:sz w:val="22"/>
        </w:rPr>
        <w:t xml:space="preserve"> dépasse sa seule valeur monétaire. La lenteur de croissance de l'espèce appelle une gestion prudente.</w:t>
      </w:r>
    </w:p>
    <w:p>
      <w:r>
        <w:br w:type="page"/>
      </w:r>
    </w:p>
    <w:p>
      <w:pPr>
        <w:keepNext/>
        <w:spacing w:before="180" w:after="80"/>
      </w:pPr>
      <w:r>
        <w:rPr>
          <w:rFonts w:ascii="Calibri" w:hAnsi="Calibri"/>
          <w:b/>
          <w:color w:val="0A8A75"/>
          <w:sz w:val="24"/>
        </w:rPr>
        <w:t>3.3.7 Déterminants du revenu tiré des PFNL</w:t>
      </w:r>
    </w:p>
    <w:p>
      <w:pPr>
        <w:jc w:val="both"/>
      </w:pPr>
      <w:r>
        <w:rPr>
          <w:sz w:val="22"/>
        </w:rPr>
        <w:t>Afin d'identifier les facteurs associés au revenu PFNL total du ménage, des tests non paramétriques ont été mobilisés (distributions asymétriques) : test de Mann-Whitney (2 groupes), test de Kruskal-Wallis (&gt; 2 groupes) suivi du post-hoc de Dunn, et corrélation de Spearman.</w:t>
      </w:r>
    </w:p>
    <w:p>
      <w:pPr>
        <w:keepNext/>
        <w:spacing w:before="160" w:after="40"/>
      </w:pPr>
      <w:r>
        <w:rPr>
          <w:rFonts w:ascii="Calibri" w:hAnsi="Calibri"/>
          <w:b/>
          <w:color w:val="0A1628"/>
          <w:sz w:val="19"/>
        </w:rPr>
        <w:t>Tableau 13. Déterminants du revenu PFNL : synthèse des tests statistiques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shd w:val="clear" w:fill="0A1628"/>
          </w:tcPr>
          <w:p>
            <w:pPr>
              <w:jc w:val="center"/>
            </w:pPr>
            <w:r>
              <w:rPr>
                <w:rFonts w:ascii="Calibri" w:hAnsi="Calibri"/>
                <w:b/>
                <w:color w:val="FFFFFF"/>
                <w:sz w:val="17"/>
              </w:rPr>
              <w:t>Facteur</w:t>
            </w:r>
          </w:p>
        </w:tc>
        <w:tc>
          <w:tcPr>
            <w:tcW w:type="dxa" w:w="1926"/>
            <w:shd w:val="clear" w:fill="0A1628"/>
          </w:tcPr>
          <w:p>
            <w:pPr>
              <w:jc w:val="center"/>
            </w:pPr>
            <w:r>
              <w:rPr>
                <w:rFonts w:ascii="Calibri" w:hAnsi="Calibri"/>
                <w:b/>
                <w:color w:val="FFFFFF"/>
                <w:sz w:val="17"/>
              </w:rPr>
              <w:t>Test</w:t>
            </w:r>
          </w:p>
        </w:tc>
        <w:tc>
          <w:tcPr>
            <w:tcW w:type="dxa" w:w="1926"/>
            <w:shd w:val="clear" w:fill="0A1628"/>
          </w:tcPr>
          <w:p>
            <w:pPr>
              <w:jc w:val="center"/>
            </w:pPr>
            <w:r>
              <w:rPr>
                <w:rFonts w:ascii="Calibri" w:hAnsi="Calibri"/>
                <w:b/>
                <w:color w:val="FFFFFF"/>
                <w:sz w:val="17"/>
              </w:rPr>
              <w:t>Statistique</w:t>
            </w:r>
          </w:p>
        </w:tc>
        <w:tc>
          <w:tcPr>
            <w:tcW w:type="dxa" w:w="1926"/>
            <w:shd w:val="clear" w:fill="0A1628"/>
          </w:tcPr>
          <w:p>
            <w:pPr>
              <w:jc w:val="center"/>
            </w:pPr>
            <w:r>
              <w:rPr>
                <w:rFonts w:ascii="Calibri" w:hAnsi="Calibri"/>
                <w:b/>
                <w:color w:val="FFFFFF"/>
                <w:sz w:val="17"/>
              </w:rPr>
              <w:t>p</w:t>
            </w:r>
          </w:p>
        </w:tc>
        <w:tc>
          <w:tcPr>
            <w:tcW w:type="dxa" w:w="1926"/>
            <w:shd w:val="clear" w:fill="0A1628"/>
          </w:tcPr>
          <w:p>
            <w:pPr>
              <w:jc w:val="center"/>
            </w:pPr>
            <w:r>
              <w:rPr>
                <w:rFonts w:ascii="Calibri" w:hAnsi="Calibri"/>
                <w:b/>
                <w:color w:val="FFFFFF"/>
                <w:sz w:val="17"/>
              </w:rPr>
              <w:t>Conclusion</w:t>
            </w:r>
          </w:p>
        </w:tc>
      </w:tr>
      <w:tr>
        <w:tc>
          <w:tcPr>
            <w:tcW w:type="dxa" w:w="1926"/>
          </w:tcPr>
          <w:p>
            <w:pPr>
              <w:jc w:val="left"/>
            </w:pPr>
            <w:r>
              <w:rPr>
                <w:rFonts w:ascii="Calibri" w:hAnsi="Calibri"/>
                <w:sz w:val="16"/>
              </w:rPr>
              <w:t>Sexe de l'enquêté</w:t>
            </w:r>
          </w:p>
        </w:tc>
        <w:tc>
          <w:tcPr>
            <w:tcW w:type="dxa" w:w="1926"/>
          </w:tcPr>
          <w:p>
            <w:pPr>
              <w:jc w:val="left"/>
            </w:pPr>
            <w:r>
              <w:rPr>
                <w:rFonts w:ascii="Calibri" w:hAnsi="Calibri"/>
                <w:sz w:val="16"/>
              </w:rPr>
              <w:t>Mann-Whitney</w:t>
            </w:r>
          </w:p>
        </w:tc>
        <w:tc>
          <w:tcPr>
            <w:tcW w:type="dxa" w:w="1926"/>
          </w:tcPr>
          <w:p>
            <w:pPr>
              <w:jc w:val="right"/>
            </w:pPr>
            <w:r>
              <w:rPr>
                <w:rFonts w:ascii="Calibri" w:hAnsi="Calibri"/>
                <w:sz w:val="16"/>
              </w:rPr>
              <w:t>U = 322</w:t>
            </w:r>
          </w:p>
        </w:tc>
        <w:tc>
          <w:tcPr>
            <w:tcW w:type="dxa" w:w="1926"/>
          </w:tcPr>
          <w:p>
            <w:pPr>
              <w:jc w:val="right"/>
            </w:pPr>
            <w:r>
              <w:rPr>
                <w:rFonts w:ascii="Calibri" w:hAnsi="Calibri"/>
                <w:sz w:val="16"/>
              </w:rPr>
              <w:t>0,133</w:t>
            </w:r>
          </w:p>
        </w:tc>
        <w:tc>
          <w:tcPr>
            <w:tcW w:type="dxa" w:w="1926"/>
          </w:tcPr>
          <w:p>
            <w:pPr>
              <w:jc w:val="left"/>
            </w:pPr>
            <w:r>
              <w:rPr>
                <w:rFonts w:ascii="Calibri" w:hAnsi="Calibri"/>
                <w:sz w:val="16"/>
              </w:rPr>
              <w:t>non significatif</w:t>
            </w:r>
          </w:p>
        </w:tc>
      </w:tr>
      <w:tr>
        <w:tc>
          <w:tcPr>
            <w:tcW w:type="dxa" w:w="1926"/>
            <w:shd w:val="clear" w:fill="F1F5F9"/>
          </w:tcPr>
          <w:p>
            <w:pPr>
              <w:jc w:val="left"/>
            </w:pPr>
            <w:r>
              <w:rPr>
                <w:rFonts w:ascii="Calibri" w:hAnsi="Calibri"/>
                <w:sz w:val="16"/>
              </w:rPr>
              <w:t>Taille du ménage</w:t>
            </w:r>
          </w:p>
        </w:tc>
        <w:tc>
          <w:tcPr>
            <w:tcW w:type="dxa" w:w="1926"/>
            <w:shd w:val="clear" w:fill="F1F5F9"/>
          </w:tcPr>
          <w:p>
            <w:pPr>
              <w:jc w:val="left"/>
            </w:pPr>
            <w:r>
              <w:rPr>
                <w:rFonts w:ascii="Calibri" w:hAnsi="Calibri"/>
                <w:sz w:val="16"/>
              </w:rPr>
              <w:t>Kruskal-Wallis</w:t>
            </w:r>
          </w:p>
        </w:tc>
        <w:tc>
          <w:tcPr>
            <w:tcW w:type="dxa" w:w="1926"/>
            <w:shd w:val="clear" w:fill="F1F5F9"/>
          </w:tcPr>
          <w:p>
            <w:pPr>
              <w:jc w:val="right"/>
            </w:pPr>
            <w:r>
              <w:rPr>
                <w:rFonts w:ascii="Calibri" w:hAnsi="Calibri"/>
                <w:sz w:val="16"/>
              </w:rPr>
              <w:t>H = 0,10</w:t>
            </w:r>
          </w:p>
        </w:tc>
        <w:tc>
          <w:tcPr>
            <w:tcW w:type="dxa" w:w="1926"/>
            <w:shd w:val="clear" w:fill="F1F5F9"/>
          </w:tcPr>
          <w:p>
            <w:pPr>
              <w:jc w:val="right"/>
            </w:pPr>
            <w:r>
              <w:rPr>
                <w:rFonts w:ascii="Calibri" w:hAnsi="Calibri"/>
                <w:sz w:val="16"/>
              </w:rPr>
              <w:t>0,992</w:t>
            </w:r>
          </w:p>
        </w:tc>
        <w:tc>
          <w:tcPr>
            <w:tcW w:type="dxa" w:w="1926"/>
            <w:shd w:val="clear" w:fill="F1F5F9"/>
          </w:tcPr>
          <w:p>
            <w:pPr>
              <w:jc w:val="left"/>
            </w:pPr>
            <w:r>
              <w:rPr>
                <w:rFonts w:ascii="Calibri" w:hAnsi="Calibri"/>
                <w:sz w:val="16"/>
              </w:rPr>
              <w:t>non significatif</w:t>
            </w:r>
          </w:p>
        </w:tc>
      </w:tr>
      <w:tr>
        <w:tc>
          <w:tcPr>
            <w:tcW w:type="dxa" w:w="1926"/>
          </w:tcPr>
          <w:p>
            <w:pPr>
              <w:jc w:val="left"/>
            </w:pPr>
            <w:r>
              <w:rPr>
                <w:rFonts w:ascii="Calibri" w:hAnsi="Calibri"/>
                <w:sz w:val="16"/>
              </w:rPr>
              <w:t>Niveau d'instruction</w:t>
            </w:r>
          </w:p>
        </w:tc>
        <w:tc>
          <w:tcPr>
            <w:tcW w:type="dxa" w:w="1926"/>
          </w:tcPr>
          <w:p>
            <w:pPr>
              <w:jc w:val="left"/>
            </w:pPr>
            <w:r>
              <w:rPr>
                <w:rFonts w:ascii="Calibri" w:hAnsi="Calibri"/>
                <w:sz w:val="16"/>
              </w:rPr>
              <w:t>Kruskal-Wallis</w:t>
            </w:r>
          </w:p>
        </w:tc>
        <w:tc>
          <w:tcPr>
            <w:tcW w:type="dxa" w:w="1926"/>
          </w:tcPr>
          <w:p>
            <w:pPr>
              <w:jc w:val="right"/>
            </w:pPr>
            <w:r>
              <w:rPr>
                <w:rFonts w:ascii="Calibri" w:hAnsi="Calibri"/>
                <w:sz w:val="16"/>
              </w:rPr>
              <w:t>H = 1,74</w:t>
            </w:r>
          </w:p>
        </w:tc>
        <w:tc>
          <w:tcPr>
            <w:tcW w:type="dxa" w:w="1926"/>
          </w:tcPr>
          <w:p>
            <w:pPr>
              <w:jc w:val="right"/>
            </w:pPr>
            <w:r>
              <w:rPr>
                <w:rFonts w:ascii="Calibri" w:hAnsi="Calibri"/>
                <w:sz w:val="16"/>
              </w:rPr>
              <w:t>0,629</w:t>
            </w:r>
          </w:p>
        </w:tc>
        <w:tc>
          <w:tcPr>
            <w:tcW w:type="dxa" w:w="1926"/>
          </w:tcPr>
          <w:p>
            <w:pPr>
              <w:jc w:val="left"/>
            </w:pPr>
            <w:r>
              <w:rPr>
                <w:rFonts w:ascii="Calibri" w:hAnsi="Calibri"/>
                <w:sz w:val="16"/>
              </w:rPr>
              <w:t>non significatif</w:t>
            </w:r>
          </w:p>
        </w:tc>
      </w:tr>
      <w:tr>
        <w:tc>
          <w:tcPr>
            <w:tcW w:type="dxa" w:w="1926"/>
            <w:shd w:val="clear" w:fill="FDECD9"/>
          </w:tcPr>
          <w:p>
            <w:pPr>
              <w:jc w:val="left"/>
            </w:pPr>
            <w:r>
              <w:rPr>
                <w:rFonts w:ascii="Calibri" w:hAnsi="Calibri"/>
                <w:sz w:val="16"/>
              </w:rPr>
              <w:t>Ancienneté dans la collecte</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27,2</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Localité</w:t>
            </w:r>
          </w:p>
        </w:tc>
        <w:tc>
          <w:tcPr>
            <w:tcW w:type="dxa" w:w="1926"/>
            <w:shd w:val="clear" w:fill="FDECD9"/>
          </w:tcPr>
          <w:p>
            <w:pPr>
              <w:jc w:val="left"/>
            </w:pPr>
            <w:r>
              <w:rPr>
                <w:rFonts w:ascii="Calibri" w:hAnsi="Calibri"/>
                <w:sz w:val="16"/>
              </w:rPr>
              <w:t>Kruskal-Wallis</w:t>
            </w:r>
          </w:p>
        </w:tc>
        <w:tc>
          <w:tcPr>
            <w:tcW w:type="dxa" w:w="1926"/>
            <w:shd w:val="clear" w:fill="FDECD9"/>
          </w:tcPr>
          <w:p>
            <w:pPr>
              <w:jc w:val="right"/>
            </w:pPr>
            <w:r>
              <w:rPr>
                <w:rFonts w:ascii="Calibri" w:hAnsi="Calibri"/>
                <w:sz w:val="16"/>
              </w:rPr>
              <w:t>H = 9,10</w:t>
            </w:r>
          </w:p>
        </w:tc>
        <w:tc>
          <w:tcPr>
            <w:tcW w:type="dxa" w:w="1926"/>
            <w:shd w:val="clear" w:fill="FDECD9"/>
          </w:tcPr>
          <w:p>
            <w:pPr>
              <w:jc w:val="right"/>
            </w:pPr>
            <w:r>
              <w:rPr>
                <w:rFonts w:ascii="Calibri" w:hAnsi="Calibri"/>
                <w:sz w:val="16"/>
              </w:rPr>
              <w:t>0,011</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Groupe ethnique (Baka/Zimé)</w:t>
            </w:r>
          </w:p>
        </w:tc>
        <w:tc>
          <w:tcPr>
            <w:tcW w:type="dxa" w:w="1926"/>
            <w:shd w:val="clear" w:fill="FDECD9"/>
          </w:tcPr>
          <w:p>
            <w:pPr>
              <w:jc w:val="left"/>
            </w:pPr>
            <w:r>
              <w:rPr>
                <w:rFonts w:ascii="Calibri" w:hAnsi="Calibri"/>
                <w:sz w:val="16"/>
              </w:rPr>
              <w:t>Mann-Whitney</w:t>
            </w:r>
          </w:p>
        </w:tc>
        <w:tc>
          <w:tcPr>
            <w:tcW w:type="dxa" w:w="1926"/>
            <w:shd w:val="clear" w:fill="FDECD9"/>
          </w:tcPr>
          <w:p>
            <w:pPr>
              <w:jc w:val="right"/>
            </w:pPr>
            <w:r>
              <w:rPr>
                <w:rFonts w:ascii="Calibri" w:hAnsi="Calibri"/>
                <w:sz w:val="16"/>
              </w:rPr>
              <w:t>U = 16</w:t>
            </w:r>
          </w:p>
        </w:tc>
        <w:tc>
          <w:tcPr>
            <w:tcW w:type="dxa" w:w="1926"/>
            <w:shd w:val="clear" w:fill="FDECD9"/>
          </w:tcPr>
          <w:p>
            <w:pPr>
              <w:jc w:val="right"/>
            </w:pPr>
            <w:r>
              <w:rPr>
                <w:rFonts w:ascii="Calibri" w:hAnsi="Calibri"/>
                <w:sz w:val="16"/>
              </w:rPr>
              <w:t>0,003</w:t>
            </w:r>
          </w:p>
        </w:tc>
        <w:tc>
          <w:tcPr>
            <w:tcW w:type="dxa" w:w="1926"/>
            <w:shd w:val="clear" w:fill="FDECD9"/>
          </w:tcPr>
          <w:p>
            <w:pPr>
              <w:jc w:val="left"/>
            </w:pPr>
            <w:r>
              <w:rPr>
                <w:rFonts w:ascii="Calibri" w:hAnsi="Calibri"/>
                <w:sz w:val="16"/>
              </w:rPr>
              <w:t>significatif</w:t>
            </w:r>
          </w:p>
        </w:tc>
      </w:tr>
      <w:tr>
        <w:tc>
          <w:tcPr>
            <w:tcW w:type="dxa" w:w="1926"/>
            <w:shd w:val="clear" w:fill="FDECD9"/>
          </w:tcPr>
          <w:p>
            <w:pPr>
              <w:jc w:val="left"/>
            </w:pPr>
            <w:r>
              <w:rPr>
                <w:rFonts w:ascii="Calibri" w:hAnsi="Calibri"/>
                <w:sz w:val="16"/>
              </w:rPr>
              <w:t>Nombre de PFNL collectés</w:t>
            </w:r>
          </w:p>
        </w:tc>
        <w:tc>
          <w:tcPr>
            <w:tcW w:type="dxa" w:w="1926"/>
            <w:shd w:val="clear" w:fill="FDECD9"/>
          </w:tcPr>
          <w:p>
            <w:pPr>
              <w:jc w:val="left"/>
            </w:pPr>
            <w:r>
              <w:rPr>
                <w:rFonts w:ascii="Calibri" w:hAnsi="Calibri"/>
                <w:sz w:val="16"/>
              </w:rPr>
              <w:t>Spearman</w:t>
            </w:r>
          </w:p>
        </w:tc>
        <w:tc>
          <w:tcPr>
            <w:tcW w:type="dxa" w:w="1926"/>
            <w:shd w:val="clear" w:fill="FDECD9"/>
          </w:tcPr>
          <w:p>
            <w:pPr>
              <w:jc w:val="right"/>
            </w:pPr>
            <w:r>
              <w:rPr>
                <w:rFonts w:ascii="Calibri" w:hAnsi="Calibri"/>
                <w:sz w:val="16"/>
              </w:rPr>
              <w:t>ρ = 0,524</w:t>
            </w:r>
          </w:p>
        </w:tc>
        <w:tc>
          <w:tcPr>
            <w:tcW w:type="dxa" w:w="1926"/>
            <w:shd w:val="clear" w:fill="FDECD9"/>
          </w:tcPr>
          <w:p>
            <w:pPr>
              <w:jc w:val="right"/>
            </w:pPr>
            <w:r>
              <w:rPr>
                <w:rFonts w:ascii="Calibri" w:hAnsi="Calibri"/>
                <w:sz w:val="16"/>
              </w:rPr>
              <w:t>&lt; 0,001</w:t>
            </w:r>
          </w:p>
        </w:tc>
        <w:tc>
          <w:tcPr>
            <w:tcW w:type="dxa" w:w="1926"/>
            <w:shd w:val="clear" w:fill="FDECD9"/>
          </w:tcPr>
          <w:p>
            <w:pPr>
              <w:jc w:val="left"/>
            </w:pPr>
            <w:r>
              <w:rPr>
                <w:rFonts w:ascii="Calibri" w:hAnsi="Calibri"/>
                <w:sz w:val="16"/>
              </w:rPr>
              <w:t>significatif</w:t>
            </w:r>
          </w:p>
        </w:tc>
      </w:tr>
    </w:tbl>
    <w:p>
      <w:pPr>
        <w:jc w:val="center"/>
      </w:pPr>
      <w:r>
        <w:drawing>
          <wp:inline xmlns:a="http://schemas.openxmlformats.org/drawingml/2006/main" xmlns:pic="http://schemas.openxmlformats.org/drawingml/2006/picture">
            <wp:extent cx="5040000" cy="3427200"/>
            <wp:docPr id="19" name="Picture 19"/>
            <wp:cNvGraphicFramePr>
              <a:graphicFrameLocks noChangeAspect="1"/>
            </wp:cNvGraphicFramePr>
            <a:graphic>
              <a:graphicData uri="http://schemas.openxmlformats.org/drawingml/2006/picture">
                <pic:pic>
                  <pic:nvPicPr>
                    <pic:cNvPr id="0" name="fig08_revenu_anciennete.png"/>
                    <pic:cNvPicPr/>
                  </pic:nvPicPr>
                  <pic:blipFill>
                    <a:blip r:embed="rId27"/>
                    <a:stretch>
                      <a:fillRect/>
                    </a:stretch>
                  </pic:blipFill>
                  <pic:spPr>
                    <a:xfrm>
                      <a:off x="0" y="0"/>
                      <a:ext cx="5040000" cy="3427200"/>
                    </a:xfrm>
                    <a:prstGeom prst="rect"/>
                  </pic:spPr>
                </pic:pic>
              </a:graphicData>
            </a:graphic>
          </wp:inline>
        </w:drawing>
      </w:r>
    </w:p>
    <w:p>
      <w:pPr>
        <w:spacing w:before="40"/>
        <w:jc w:val="center"/>
      </w:pPr>
      <w:r>
        <w:rPr>
          <w:rFonts w:ascii="Calibri" w:hAnsi="Calibri"/>
          <w:i/>
          <w:color w:val="64748B"/>
          <w:sz w:val="18"/>
        </w:rPr>
        <w:t>Figure 15. Revenu PFNL total selon l'ancienneté dans la collecte (Kruskal-Wallis, p &lt; 0,001).</w:t>
      </w:r>
    </w:p>
    <w:p>
      <w:pPr>
        <w:jc w:val="both"/>
      </w:pPr>
      <w:r>
        <w:rPr>
          <w:sz w:val="22"/>
        </w:rPr>
        <w:t xml:space="preserve">Trois déterminants ressortent significativement. </w:t>
      </w:r>
      <w:r>
        <w:rPr>
          <w:b/>
          <w:sz w:val="22"/>
        </w:rPr>
        <w:t>L'ancienneté dans la collecte</w:t>
      </w:r>
      <w:r>
        <w:rPr>
          <w:sz w:val="22"/>
        </w:rPr>
        <w:t xml:space="preserve"> est le plus puissant (H = 27,2 ; p &lt; 0,001), selon un </w:t>
      </w:r>
      <w:r>
        <w:rPr>
          <w:b/>
          <w:sz w:val="22"/>
        </w:rPr>
        <w:t>effet de seuil</w:t>
      </w:r>
      <w:r>
        <w:rPr>
          <w:sz w:val="22"/>
        </w:rPr>
        <w:t xml:space="preserve"> : les ménages ayant moins de cinq ans d'expérience perçoivent un revenu très inférieur (155 700 FCFA) à toutes les autres classes (753 346 FCFA au maximum), le test de Dunn confirmant que ce groupe diffère significativement de tous les autres (p ≤ 0,004) sauf les « plus de 20 ans ». Ce seuil traduit un temps d'apprentissage et d'insertion dans les réseaux de collecte et de commercialisation d'environ cinq ans.</w:t>
      </w:r>
    </w:p>
    <w:p>
      <w:pPr>
        <w:jc w:val="both"/>
      </w:pPr>
      <w:r>
        <w:rPr>
          <w:b/>
          <w:sz w:val="22"/>
        </w:rPr>
        <w:t>La localité</w:t>
      </w:r>
      <w:r>
        <w:rPr>
          <w:sz w:val="22"/>
        </w:rPr>
        <w:t xml:space="preserve"> influence aussi le revenu (p = 0,011) : les ménages de </w:t>
      </w:r>
      <w:r>
        <w:rPr>
          <w:b/>
          <w:sz w:val="22"/>
        </w:rPr>
        <w:t>Kongo</w:t>
      </w:r>
      <w:r>
        <w:rPr>
          <w:sz w:val="22"/>
        </w:rPr>
        <w:t xml:space="preserve"> (691 212 FCFA) sont significativement mieux rémunérés que ceux d'</w:t>
      </w:r>
      <w:r>
        <w:rPr>
          <w:b/>
          <w:sz w:val="22"/>
        </w:rPr>
        <w:t>Eschambior</w:t>
      </w:r>
      <w:r>
        <w:rPr>
          <w:sz w:val="22"/>
        </w:rPr>
        <w:t xml:space="preserve"> (252 750 FCFA ; Dunn p = 0,035), gradient qui renvoie à la proximité des axes de commercialisation et à l'organisation cacaoyère de Kongo. Enfin, la </w:t>
      </w:r>
      <w:r>
        <w:rPr>
          <w:b/>
          <w:sz w:val="22"/>
        </w:rPr>
        <w:t>diversité du panier de PFNL est positivement corrélée au revenu</w:t>
      </w:r>
      <w:r>
        <w:rPr>
          <w:sz w:val="22"/>
        </w:rPr>
        <w:t xml:space="preserve"> (Spearman ρ = 0,524 ; p &lt; 0,001) : diversifier la collecte est économiquement payant. En revanche, ni le </w:t>
      </w:r>
      <w:r>
        <w:rPr>
          <w:b/>
          <w:sz w:val="22"/>
        </w:rPr>
        <w:t>sexe</w:t>
      </w:r>
      <w:r>
        <w:rPr>
          <w:sz w:val="22"/>
        </w:rPr>
        <w:t xml:space="preserve"> (p = 0,133), ni la </w:t>
      </w:r>
      <w:r>
        <w:rPr>
          <w:b/>
          <w:sz w:val="22"/>
        </w:rPr>
        <w:t>taille du ménage</w:t>
      </w:r>
      <w:r>
        <w:rPr>
          <w:sz w:val="22"/>
        </w:rPr>
        <w:t xml:space="preserve"> (p = 0,992), ni le </w:t>
      </w:r>
      <w:r>
        <w:rPr>
          <w:b/>
          <w:sz w:val="22"/>
        </w:rPr>
        <w:t>niveau d'instruction</w:t>
      </w:r>
      <w:r>
        <w:rPr>
          <w:sz w:val="22"/>
        </w:rPr>
        <w:t xml:space="preserve"> (p = 0,629) ne sont associés au revenu : la collecte des PFNL est une activité à faible barrière technique, dont le rendement ne dépend pas du capital scolaire ni de la main-d'œuvre familiale disponible.</w:t>
      </w:r>
    </w:p>
    <w:p>
      <w:pPr>
        <w:jc w:val="both"/>
      </w:pPr>
      <w:r>
        <w:rPr>
          <w:sz w:val="22"/>
        </w:rPr>
        <w:t xml:space="preserve">Un écart significatif apparaît entre ménages </w:t>
      </w:r>
      <w:r>
        <w:rPr>
          <w:b/>
          <w:sz w:val="22"/>
        </w:rPr>
        <w:t>Baka</w:t>
      </w:r>
      <w:r>
        <w:rPr>
          <w:sz w:val="22"/>
        </w:rPr>
        <w:t xml:space="preserve"> (100 500 FCFA, n = 5) et </w:t>
      </w:r>
      <w:r>
        <w:rPr>
          <w:b/>
          <w:sz w:val="22"/>
        </w:rPr>
        <w:t>Zimé</w:t>
      </w:r>
      <w:r>
        <w:rPr>
          <w:sz w:val="22"/>
        </w:rPr>
        <w:t xml:space="preserve"> (562 618 FCFA, n = 38 ; p = 0,003). À interpréter avec prudence compte tenu du faible effectif Baka, ce résultat converge avec l'organisation de la collecte (§3.3.4) : les Baka interviennent surtout comme </w:t>
      </w:r>
      <w:r>
        <w:rPr>
          <w:b/>
          <w:sz w:val="22"/>
        </w:rPr>
        <w:t>prestataires de main-d'œuvre</w:t>
      </w:r>
      <w:r>
        <w:rPr>
          <w:sz w:val="22"/>
        </w:rPr>
        <w:t xml:space="preserve"> pour le compte des ménages bantous, plutôt que comme vendeurs de leur propre production, ce qui limite mécaniquement leur revenu PFNL propre — une question d'équité dans la répartition des bénéfices de la filière.</w:t>
      </w:r>
    </w:p>
    <w:p>
      <w:pPr>
        <w:keepNext/>
        <w:spacing w:before="180" w:after="80"/>
      </w:pPr>
      <w:r>
        <w:rPr>
          <w:rFonts w:ascii="Calibri" w:hAnsi="Calibri"/>
          <w:b/>
          <w:color w:val="0A8A75"/>
          <w:sz w:val="24"/>
        </w:rPr>
        <w:t>3.3.8 Utilisations des revenus tirés des PFNL</w:t>
      </w:r>
    </w:p>
    <w:p>
      <w:pPr>
        <w:jc w:val="center"/>
      </w:pPr>
      <w:r>
        <w:drawing>
          <wp:inline xmlns:a="http://schemas.openxmlformats.org/drawingml/2006/main" xmlns:pic="http://schemas.openxmlformats.org/drawingml/2006/picture">
            <wp:extent cx="4860000" cy="2687294"/>
            <wp:docPr id="20" name="Picture 20"/>
            <wp:cNvGraphicFramePr>
              <a:graphicFrameLocks noChangeAspect="1"/>
            </wp:cNvGraphicFramePr>
            <a:graphic>
              <a:graphicData uri="http://schemas.openxmlformats.org/drawingml/2006/picture">
                <pic:pic>
                  <pic:nvPicPr>
                    <pic:cNvPr id="0" name="f_obj4_revenus.png"/>
                    <pic:cNvPicPr/>
                  </pic:nvPicPr>
                  <pic:blipFill>
                    <a:blip r:embed="rId28"/>
                    <a:stretch>
                      <a:fillRect/>
                    </a:stretch>
                  </pic:blipFill>
                  <pic:spPr>
                    <a:xfrm>
                      <a:off x="0" y="0"/>
                      <a:ext cx="4860000" cy="2687294"/>
                    </a:xfrm>
                    <a:prstGeom prst="rect"/>
                  </pic:spPr>
                </pic:pic>
              </a:graphicData>
            </a:graphic>
          </wp:inline>
        </w:drawing>
      </w:r>
    </w:p>
    <w:p>
      <w:pPr>
        <w:spacing w:before="40"/>
        <w:jc w:val="center"/>
      </w:pPr>
      <w:r>
        <w:rPr>
          <w:rFonts w:ascii="Calibri" w:hAnsi="Calibri"/>
          <w:i/>
          <w:color w:val="64748B"/>
          <w:sz w:val="18"/>
        </w:rPr>
        <w:t>Figure 16. Utilisations des revenus tirés des PFNL par les ménages.</w:t>
      </w:r>
    </w:p>
    <w:p>
      <w:pPr>
        <w:jc w:val="both"/>
      </w:pPr>
      <w:r>
        <w:rPr>
          <w:sz w:val="22"/>
        </w:rPr>
        <w:t xml:space="preserve">La </w:t>
      </w:r>
      <w:r>
        <w:rPr>
          <w:b/>
          <w:sz w:val="22"/>
        </w:rPr>
        <w:t>scolarisation des enfants</w:t>
      </w:r>
      <w:r>
        <w:rPr>
          <w:sz w:val="22"/>
        </w:rPr>
        <w:t xml:space="preserve"> s'impose massivement comme première utilisation des revenus PFNL (96,0 % des ménages), suivie de la </w:t>
      </w:r>
      <w:r>
        <w:rPr>
          <w:b/>
          <w:sz w:val="22"/>
        </w:rPr>
        <w:t>ration alimentaire</w:t>
      </w:r>
      <w:r>
        <w:rPr>
          <w:sz w:val="22"/>
        </w:rPr>
        <w:t xml:space="preserve"> (48,0 %) et des </w:t>
      </w:r>
      <w:r>
        <w:rPr>
          <w:b/>
          <w:sz w:val="22"/>
        </w:rPr>
        <w:t>dépenses de santé</w:t>
      </w:r>
      <w:r>
        <w:rPr>
          <w:sz w:val="22"/>
        </w:rPr>
        <w:t xml:space="preserve"> (24,0 %). Des usages plus marginaux apparaissent : financement de projets et main-d'œuvre agricole (8 % chacun), tontines, ustensiles de cuisine, fonds de commerce et remboursement de dettes. Ce résultat est </w:t>
      </w:r>
      <w:r>
        <w:rPr>
          <w:b/>
          <w:sz w:val="22"/>
        </w:rPr>
        <w:t>capital</w:t>
      </w:r>
      <w:r>
        <w:rPr>
          <w:sz w:val="22"/>
        </w:rPr>
        <w:t xml:space="preserve"> : il démontre que les PFNL ne financent pas des dépenses accessoires mais les </w:t>
      </w:r>
      <w:r>
        <w:rPr>
          <w:b/>
          <w:sz w:val="22"/>
        </w:rPr>
        <w:t>besoins fondamentaux</w:t>
      </w:r>
      <w:r>
        <w:rPr>
          <w:sz w:val="22"/>
        </w:rPr>
        <w:t xml:space="preserve"> du ménage — éducation, alimentation, santé —, confirmant leur fonction de </w:t>
      </w:r>
      <w:r>
        <w:rPr>
          <w:b/>
          <w:sz w:val="22"/>
        </w:rPr>
        <w:t>filet de sécurité économique et social</w:t>
      </w:r>
      <w:r>
        <w:rPr>
          <w:sz w:val="22"/>
        </w:rPr>
        <w:t xml:space="preserve"> pour les populations rurales de Lomié, en particulier pour les ménages monoparentaux vulnérables identifiés au §3.3.1.</w:t>
      </w:r>
    </w:p>
    <w:p>
      <w:pPr>
        <w:keepNext/>
        <w:spacing w:before="180" w:after="80"/>
      </w:pPr>
      <w:r>
        <w:rPr>
          <w:rFonts w:ascii="Calibri" w:hAnsi="Calibri"/>
          <w:b/>
          <w:color w:val="0A8A75"/>
          <w:sz w:val="24"/>
        </w:rPr>
        <w:t>3.3.9 Discussion</w:t>
      </w:r>
    </w:p>
    <w:p>
      <w:pPr>
        <w:jc w:val="both"/>
      </w:pPr>
      <w:r>
        <w:rPr>
          <w:sz w:val="22"/>
        </w:rPr>
        <w:t>La fréquence quasi universelle du Mango (96 %) confirme le statut de pivot d'</w:t>
      </w:r>
      <w:r>
        <w:rPr>
          <w:i/>
          <w:sz w:val="22"/>
        </w:rPr>
        <w:t>Irvingia gabonensis</w:t>
      </w:r>
      <w:r>
        <w:rPr>
          <w:sz w:val="22"/>
        </w:rPr>
        <w:t xml:space="preserve"> dans les économies forestières d'Afrique centrale, déjà souligné par Ingram (2014) et Awono et al. (2016) à l'échelle nationale camerounaise. Sa présence fréquente comme arbre relique conservé au sein des cacaoyères rejoint la logique de conservation sélective des espèces utiles décrite par Tane Fomekong et al. (2023) et Saj et al. (2017) : à Lomié, cette conservation « par l'usage » fait du Mango un trait d'union concret entre conservation de la biodiversité et développement économique local.</w:t>
      </w:r>
    </w:p>
    <w:p>
      <w:pPr>
        <w:jc w:val="both"/>
      </w:pPr>
      <w:r>
        <w:rPr>
          <w:sz w:val="22"/>
        </w:rPr>
        <w:t xml:space="preserve">Le revenu PFNL moyen (≈ 555 000 FCFA/ménage) illustre localement l'importance macroéconomique des PFNL déjà quantifiée nationalement par Awono et al. (2016), qui évaluaient la valeur annuelle de seize PFNL camerounais à 32 milliards de FCFA. Dans le contexte du Haut-Nyong, où l'économie repose sur une cacaoculture exposée à la volatilité des cours (Fabrice &amp; Happi, 2024), cette contribution constitue un mécanisme de </w:t>
      </w:r>
      <w:r>
        <w:rPr>
          <w:b/>
          <w:sz w:val="22"/>
        </w:rPr>
        <w:t>diversification et d'amortissement des chocs de revenu</w:t>
      </w:r>
      <w:r>
        <w:rPr>
          <w:sz w:val="22"/>
        </w:rPr>
        <w:t>, dont la corrélation positive entre diversité du panier et revenu (ρ = 0,52) confirme la logique de portefeuille.</w:t>
      </w:r>
    </w:p>
    <w:p>
      <w:pPr>
        <w:jc w:val="both"/>
      </w:pPr>
      <w:r>
        <w:rPr>
          <w:sz w:val="22"/>
        </w:rPr>
        <w:t xml:space="preserve">Le contraste entre PFNL quasi exclusivement marchands (Mbalaka 100 %, Rondelle 98 % vendus) et un PFNL à forte autoconsommation (Moabi, 35 %) recoupe la distinction fonctionnelle établie par Mezogue &amp; Julve (2007) pour l'huile de Moabi dans le Sud-Cameroun. Cette typologie suggère de </w:t>
      </w:r>
      <w:r>
        <w:rPr>
          <w:b/>
          <w:sz w:val="22"/>
        </w:rPr>
        <w:t>différencier les stratégies d'appui</w:t>
      </w:r>
      <w:r>
        <w:rPr>
          <w:sz w:val="22"/>
        </w:rPr>
        <w:t xml:space="preserve"> selon la nature du produit : structuration commerciale pour les PFNL de rente (Rondelle, Mbalaka), appui à la transformation et à la conservation pour les PFNL mixtes (Moabi, Mango). La prédominance de la collecte familiale et féminine, et le recours à une main-d'œuvre Baka par 28 % des ménages, rejoignent les constats de Tchatat et al. (2002) sur l'organisation faiblement professionnalisée de la filière ; l'écart de revenu entre Baka et Zimé interroge l'équité de la répartition des bénéfices, en cohérence avec les préoccupations de la COMIFAC (2011). Enfin, l'affectation prioritaire des revenus à la scolarisation souligne l'enjeu social — au-delà du seul enjeu économique — de la valorisation des PFNL à Lomié.</w:t>
      </w:r>
    </w:p>
    <w:p>
      <w:r>
        <w:br w:type="page"/>
      </w:r>
    </w:p>
    <w:p>
      <w:pPr>
        <w:keepNext/>
        <w:spacing w:before="240" w:after="120"/>
      </w:pPr>
      <w:r>
        <w:rPr>
          <w:rFonts w:ascii="Calibri" w:hAnsi="Calibri"/>
          <w:b/>
          <w:color w:val="0A1628"/>
          <w:sz w:val="28"/>
        </w:rPr>
        <w:t>3.4 Résultat 4 — Contraintes et opportunités à la valorisation des PFNL</w:t>
      </w:r>
    </w:p>
    <w:p>
      <w:pPr>
        <w:jc w:val="both"/>
      </w:pPr>
      <w:r>
        <w:rPr>
          <w:sz w:val="22"/>
        </w:rPr>
        <w:t xml:space="preserve">L'analyse des difficultés déclarées par les ménages révèle que </w:t>
      </w:r>
      <w:r>
        <w:rPr>
          <w:b/>
          <w:sz w:val="22"/>
        </w:rPr>
        <w:t>46 ménages sur 50 (92,0 %)</w:t>
      </w:r>
      <w:r>
        <w:rPr>
          <w:sz w:val="22"/>
        </w:rPr>
        <w:t xml:space="preserve"> rencontrent des contraintes dans la valorisation de leurs PFNL, contre seulement 4 (8,0 %) qui n'en déclarent aucune. La valorisation des PFNL à Lomié est donc une activité largement entravée, ce qui justifie une analyse fine des maillons concernés.</w:t>
      </w:r>
    </w:p>
    <w:p>
      <w:pPr>
        <w:keepNext/>
        <w:spacing w:before="180" w:after="80"/>
      </w:pPr>
      <w:r>
        <w:rPr>
          <w:rFonts w:ascii="Calibri" w:hAnsi="Calibri"/>
          <w:b/>
          <w:color w:val="0A8A75"/>
          <w:sz w:val="24"/>
        </w:rPr>
        <w:t>Contraintes par maillon de la chaîne de valeur</w:t>
      </w:r>
    </w:p>
    <w:p>
      <w:pPr>
        <w:keepNext/>
        <w:spacing w:before="160" w:after="40"/>
      </w:pPr>
      <w:r>
        <w:rPr>
          <w:rFonts w:ascii="Calibri" w:hAnsi="Calibri"/>
          <w:b/>
          <w:color w:val="0A1628"/>
          <w:sz w:val="19"/>
        </w:rPr>
        <w:t>Tableau 14. Contraintes à la valorisation des PFNL par maillon (réponses multiples, n = 50)</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Maillon de la chaîne de valeur</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 des ménages</w:t>
            </w:r>
          </w:p>
        </w:tc>
      </w:tr>
      <w:tr>
        <w:tc>
          <w:tcPr>
            <w:tcW w:type="dxa" w:w="3211"/>
          </w:tcPr>
          <w:p>
            <w:pPr>
              <w:jc w:val="left"/>
            </w:pPr>
            <w:r>
              <w:rPr>
                <w:rFonts w:ascii="Calibri" w:hAnsi="Calibri"/>
                <w:sz w:val="16"/>
              </w:rPr>
              <w:t>Collecte</w:t>
            </w:r>
          </w:p>
        </w:tc>
        <w:tc>
          <w:tcPr>
            <w:tcW w:type="dxa" w:w="3211"/>
          </w:tcPr>
          <w:p>
            <w:pPr>
              <w:jc w:val="right"/>
            </w:pPr>
            <w:r>
              <w:rPr>
                <w:rFonts w:ascii="Calibri" w:hAnsi="Calibri"/>
                <w:sz w:val="16"/>
              </w:rPr>
              <w:t>25</w:t>
            </w:r>
          </w:p>
        </w:tc>
        <w:tc>
          <w:tcPr>
            <w:tcW w:type="dxa" w:w="3211"/>
          </w:tcPr>
          <w:p>
            <w:pPr>
              <w:jc w:val="right"/>
            </w:pPr>
            <w:r>
              <w:rPr>
                <w:rFonts w:ascii="Calibri" w:hAnsi="Calibri"/>
                <w:sz w:val="16"/>
              </w:rPr>
              <w:t>50,0</w:t>
            </w:r>
          </w:p>
        </w:tc>
      </w:tr>
      <w:tr>
        <w:tc>
          <w:tcPr>
            <w:tcW w:type="dxa" w:w="3211"/>
            <w:shd w:val="clear" w:fill="F1F5F9"/>
          </w:tcPr>
          <w:p>
            <w:pPr>
              <w:jc w:val="left"/>
            </w:pPr>
            <w:r>
              <w:rPr>
                <w:rFonts w:ascii="Calibri" w:hAnsi="Calibri"/>
                <w:sz w:val="16"/>
              </w:rPr>
              <w:t>Vente/Prix</w:t>
            </w:r>
          </w:p>
        </w:tc>
        <w:tc>
          <w:tcPr>
            <w:tcW w:type="dxa" w:w="3211"/>
            <w:shd w:val="clear" w:fill="F1F5F9"/>
          </w:tcPr>
          <w:p>
            <w:pPr>
              <w:jc w:val="right"/>
            </w:pPr>
            <w:r>
              <w:rPr>
                <w:rFonts w:ascii="Calibri" w:hAnsi="Calibri"/>
                <w:sz w:val="16"/>
              </w:rPr>
              <w:t>20</w:t>
            </w:r>
          </w:p>
        </w:tc>
        <w:tc>
          <w:tcPr>
            <w:tcW w:type="dxa" w:w="3211"/>
            <w:shd w:val="clear" w:fill="F1F5F9"/>
          </w:tcPr>
          <w:p>
            <w:pPr>
              <w:jc w:val="right"/>
            </w:pPr>
            <w:r>
              <w:rPr>
                <w:rFonts w:ascii="Calibri" w:hAnsi="Calibri"/>
                <w:sz w:val="16"/>
              </w:rPr>
              <w:t>40,0</w:t>
            </w:r>
          </w:p>
        </w:tc>
      </w:tr>
      <w:tr>
        <w:tc>
          <w:tcPr>
            <w:tcW w:type="dxa" w:w="3211"/>
          </w:tcPr>
          <w:p>
            <w:pPr>
              <w:jc w:val="left"/>
            </w:pPr>
            <w:r>
              <w:rPr>
                <w:rFonts w:ascii="Calibri" w:hAnsi="Calibri"/>
                <w:sz w:val="16"/>
              </w:rPr>
              <w:t>Transport</w:t>
            </w:r>
          </w:p>
        </w:tc>
        <w:tc>
          <w:tcPr>
            <w:tcW w:type="dxa" w:w="3211"/>
          </w:tcPr>
          <w:p>
            <w:pPr>
              <w:jc w:val="right"/>
            </w:pPr>
            <w:r>
              <w:rPr>
                <w:rFonts w:ascii="Calibri" w:hAnsi="Calibri"/>
                <w:sz w:val="16"/>
              </w:rPr>
              <w:t>14</w:t>
            </w:r>
          </w:p>
        </w:tc>
        <w:tc>
          <w:tcPr>
            <w:tcW w:type="dxa" w:w="3211"/>
          </w:tcPr>
          <w:p>
            <w:pPr>
              <w:jc w:val="right"/>
            </w:pPr>
            <w:r>
              <w:rPr>
                <w:rFonts w:ascii="Calibri" w:hAnsi="Calibri"/>
                <w:sz w:val="16"/>
              </w:rPr>
              <w:t>28,0</w:t>
            </w:r>
          </w:p>
        </w:tc>
      </w:tr>
      <w:tr>
        <w:tc>
          <w:tcPr>
            <w:tcW w:type="dxa" w:w="3211"/>
            <w:shd w:val="clear" w:fill="F1F5F9"/>
          </w:tcPr>
          <w:p>
            <w:pPr>
              <w:jc w:val="left"/>
            </w:pPr>
            <w:r>
              <w:rPr>
                <w:rFonts w:ascii="Calibri" w:hAnsi="Calibri"/>
                <w:sz w:val="16"/>
              </w:rPr>
              <w:t>Production</w:t>
            </w:r>
          </w:p>
        </w:tc>
        <w:tc>
          <w:tcPr>
            <w:tcW w:type="dxa" w:w="3211"/>
            <w:shd w:val="clear" w:fill="F1F5F9"/>
          </w:tcPr>
          <w:p>
            <w:pPr>
              <w:jc w:val="right"/>
            </w:pPr>
            <w:r>
              <w:rPr>
                <w:rFonts w:ascii="Calibri" w:hAnsi="Calibri"/>
                <w:sz w:val="16"/>
              </w:rPr>
              <w:t>10</w:t>
            </w:r>
          </w:p>
        </w:tc>
        <w:tc>
          <w:tcPr>
            <w:tcW w:type="dxa" w:w="3211"/>
            <w:shd w:val="clear" w:fill="F1F5F9"/>
          </w:tcPr>
          <w:p>
            <w:pPr>
              <w:jc w:val="right"/>
            </w:pPr>
            <w:r>
              <w:rPr>
                <w:rFonts w:ascii="Calibri" w:hAnsi="Calibri"/>
                <w:sz w:val="16"/>
              </w:rPr>
              <w:t>20,0</w:t>
            </w:r>
          </w:p>
        </w:tc>
      </w:tr>
    </w:tbl>
    <w:p>
      <w:pPr>
        <w:jc w:val="center"/>
      </w:pPr>
      <w:r>
        <w:drawing>
          <wp:inline xmlns:a="http://schemas.openxmlformats.org/drawingml/2006/main" xmlns:pic="http://schemas.openxmlformats.org/drawingml/2006/picture">
            <wp:extent cx="4500000" cy="2942227"/>
            <wp:docPr id="21" name="Picture 21"/>
            <wp:cNvGraphicFramePr>
              <a:graphicFrameLocks noChangeAspect="1"/>
            </wp:cNvGraphicFramePr>
            <a:graphic>
              <a:graphicData uri="http://schemas.openxmlformats.org/drawingml/2006/picture">
                <pic:pic>
                  <pic:nvPicPr>
                    <pic:cNvPr id="0" name="f_obj4_maillon.png"/>
                    <pic:cNvPicPr/>
                  </pic:nvPicPr>
                  <pic:blipFill>
                    <a:blip r:embed="rId29"/>
                    <a:stretch>
                      <a:fillRect/>
                    </a:stretch>
                  </pic:blipFill>
                  <pic:spPr>
                    <a:xfrm>
                      <a:off x="0" y="0"/>
                      <a:ext cx="4500000" cy="2942227"/>
                    </a:xfrm>
                    <a:prstGeom prst="rect"/>
                  </pic:spPr>
                </pic:pic>
              </a:graphicData>
            </a:graphic>
          </wp:inline>
        </w:drawing>
      </w:r>
    </w:p>
    <w:p>
      <w:pPr>
        <w:spacing w:before="40"/>
        <w:jc w:val="center"/>
      </w:pPr>
      <w:r>
        <w:rPr>
          <w:rFonts w:ascii="Calibri" w:hAnsi="Calibri"/>
          <w:i/>
          <w:color w:val="64748B"/>
          <w:sz w:val="18"/>
        </w:rPr>
        <w:t>Figure 17. Contraintes à la valorisation des PFNL par maillon de la chaîne de valeur.</w:t>
      </w:r>
    </w:p>
    <w:p>
      <w:pPr>
        <w:jc w:val="both"/>
      </w:pPr>
      <w:r>
        <w:rPr>
          <w:sz w:val="22"/>
        </w:rPr>
        <w:t xml:space="preserve">La </w:t>
      </w:r>
      <w:r>
        <w:rPr>
          <w:b/>
          <w:sz w:val="22"/>
        </w:rPr>
        <w:t>collecte</w:t>
      </w:r>
      <w:r>
        <w:rPr>
          <w:sz w:val="22"/>
        </w:rPr>
        <w:t xml:space="preserve"> est le maillon le plus problématique (50,0 % des ménages), suivie de la </w:t>
      </w:r>
      <w:r>
        <w:rPr>
          <w:b/>
          <w:sz w:val="22"/>
        </w:rPr>
        <w:t>vente/prix</w:t>
      </w:r>
      <w:r>
        <w:rPr>
          <w:sz w:val="22"/>
        </w:rPr>
        <w:t xml:space="preserve"> (40,0 %), du </w:t>
      </w:r>
      <w:r>
        <w:rPr>
          <w:b/>
          <w:sz w:val="22"/>
        </w:rPr>
        <w:t>transport</w:t>
      </w:r>
      <w:r>
        <w:rPr>
          <w:sz w:val="22"/>
        </w:rPr>
        <w:t xml:space="preserve"> (28,0 %) et de la </w:t>
      </w:r>
      <w:r>
        <w:rPr>
          <w:b/>
          <w:sz w:val="22"/>
        </w:rPr>
        <w:t>production</w:t>
      </w:r>
      <w:r>
        <w:rPr>
          <w:sz w:val="22"/>
        </w:rPr>
        <w:t xml:space="preserve"> (20,0 %). Cette hiérarchie dessine le profil d'une filière contrainte à ses deux extrémités : en amont par les difficultés physiques d'accès à la ressource, en aval par la faiblesse structurelle du marché.</w:t>
      </w:r>
    </w:p>
    <w:p>
      <w:pPr>
        <w:keepNext/>
        <w:spacing w:before="180" w:after="80"/>
      </w:pPr>
      <w:r>
        <w:rPr>
          <w:rFonts w:ascii="Calibri" w:hAnsi="Calibri"/>
          <w:b/>
          <w:color w:val="0A8A75"/>
          <w:sz w:val="24"/>
        </w:rPr>
        <w:t>Difficultés spécifiques rencontrées</w:t>
      </w:r>
    </w:p>
    <w:p>
      <w:pPr>
        <w:keepNext/>
        <w:spacing w:before="160" w:after="40"/>
      </w:pPr>
      <w:r>
        <w:rPr>
          <w:rFonts w:ascii="Calibri" w:hAnsi="Calibri"/>
          <w:b/>
          <w:color w:val="0A1628"/>
          <w:sz w:val="19"/>
        </w:rPr>
        <w:t>Tableau 15. Difficultés spécifiques déclarées par les ménages</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0A1628"/>
          </w:tcPr>
          <w:p>
            <w:pPr>
              <w:jc w:val="center"/>
            </w:pPr>
            <w:r>
              <w:rPr>
                <w:rFonts w:ascii="Calibri" w:hAnsi="Calibri"/>
                <w:b/>
                <w:color w:val="FFFFFF"/>
                <w:sz w:val="17"/>
              </w:rPr>
              <w:t>Difficulté spécifique</w:t>
            </w:r>
          </w:p>
        </w:tc>
        <w:tc>
          <w:tcPr>
            <w:tcW w:type="dxa" w:w="3211"/>
            <w:shd w:val="clear" w:fill="0A1628"/>
          </w:tcPr>
          <w:p>
            <w:pPr>
              <w:jc w:val="center"/>
            </w:pPr>
            <w:r>
              <w:rPr>
                <w:rFonts w:ascii="Calibri" w:hAnsi="Calibri"/>
                <w:b/>
                <w:color w:val="FFFFFF"/>
                <w:sz w:val="17"/>
              </w:rPr>
              <w:t>Effectif</w:t>
            </w:r>
          </w:p>
        </w:tc>
        <w:tc>
          <w:tcPr>
            <w:tcW w:type="dxa" w:w="3211"/>
            <w:shd w:val="clear" w:fill="0A1628"/>
          </w:tcPr>
          <w:p>
            <w:pPr>
              <w:jc w:val="center"/>
            </w:pPr>
            <w:r>
              <w:rPr>
                <w:rFonts w:ascii="Calibri" w:hAnsi="Calibri"/>
                <w:b/>
                <w:color w:val="FFFFFF"/>
                <w:sz w:val="17"/>
              </w:rPr>
              <w:t>% des ménages</w:t>
            </w:r>
          </w:p>
        </w:tc>
      </w:tr>
      <w:tr>
        <w:tc>
          <w:tcPr>
            <w:tcW w:type="dxa" w:w="3211"/>
          </w:tcPr>
          <w:p>
            <w:pPr>
              <w:jc w:val="left"/>
            </w:pPr>
            <w:r>
              <w:rPr>
                <w:rFonts w:ascii="Calibri" w:hAnsi="Calibri"/>
                <w:sz w:val="16"/>
              </w:rPr>
              <w:t>Variabilité des prix</w:t>
            </w:r>
          </w:p>
        </w:tc>
        <w:tc>
          <w:tcPr>
            <w:tcW w:type="dxa" w:w="3211"/>
          </w:tcPr>
          <w:p>
            <w:pPr>
              <w:jc w:val="right"/>
            </w:pPr>
            <w:r>
              <w:rPr>
                <w:rFonts w:ascii="Calibri" w:hAnsi="Calibri"/>
                <w:sz w:val="16"/>
              </w:rPr>
              <w:t>13</w:t>
            </w:r>
          </w:p>
        </w:tc>
        <w:tc>
          <w:tcPr>
            <w:tcW w:type="dxa" w:w="3211"/>
          </w:tcPr>
          <w:p>
            <w:pPr>
              <w:jc w:val="right"/>
            </w:pPr>
            <w:r>
              <w:rPr>
                <w:rFonts w:ascii="Calibri" w:hAnsi="Calibri"/>
                <w:sz w:val="16"/>
              </w:rPr>
              <w:t>26,0</w:t>
            </w:r>
          </w:p>
        </w:tc>
      </w:tr>
      <w:tr>
        <w:tc>
          <w:tcPr>
            <w:tcW w:type="dxa" w:w="3211"/>
            <w:shd w:val="clear" w:fill="F1F5F9"/>
          </w:tcPr>
          <w:p>
            <w:pPr>
              <w:jc w:val="left"/>
            </w:pPr>
            <w:r>
              <w:rPr>
                <w:rFonts w:ascii="Calibri" w:hAnsi="Calibri"/>
                <w:sz w:val="16"/>
              </w:rPr>
              <w:t>Manque/coût de moyen de transport</w:t>
            </w:r>
          </w:p>
        </w:tc>
        <w:tc>
          <w:tcPr>
            <w:tcW w:type="dxa" w:w="3211"/>
            <w:shd w:val="clear" w:fill="F1F5F9"/>
          </w:tcPr>
          <w:p>
            <w:pPr>
              <w:jc w:val="right"/>
            </w:pPr>
            <w:r>
              <w:rPr>
                <w:rFonts w:ascii="Calibri" w:hAnsi="Calibri"/>
                <w:sz w:val="16"/>
              </w:rPr>
              <w:t>12</w:t>
            </w:r>
          </w:p>
        </w:tc>
        <w:tc>
          <w:tcPr>
            <w:tcW w:type="dxa" w:w="3211"/>
            <w:shd w:val="clear" w:fill="F1F5F9"/>
          </w:tcPr>
          <w:p>
            <w:pPr>
              <w:jc w:val="right"/>
            </w:pPr>
            <w:r>
              <w:rPr>
                <w:rFonts w:ascii="Calibri" w:hAnsi="Calibri"/>
                <w:sz w:val="16"/>
              </w:rPr>
              <w:t>24,0</w:t>
            </w:r>
          </w:p>
        </w:tc>
      </w:tr>
      <w:tr>
        <w:tc>
          <w:tcPr>
            <w:tcW w:type="dxa" w:w="3211"/>
          </w:tcPr>
          <w:p>
            <w:pPr>
              <w:jc w:val="left"/>
            </w:pPr>
            <w:r>
              <w:rPr>
                <w:rFonts w:ascii="Calibri" w:hAnsi="Calibri"/>
                <w:sz w:val="16"/>
              </w:rPr>
              <w:t>Saison sans PFNL (saisonnalité)</w:t>
            </w:r>
          </w:p>
        </w:tc>
        <w:tc>
          <w:tcPr>
            <w:tcW w:type="dxa" w:w="3211"/>
          </w:tcPr>
          <w:p>
            <w:pPr>
              <w:jc w:val="right"/>
            </w:pPr>
            <w:r>
              <w:rPr>
                <w:rFonts w:ascii="Calibri" w:hAnsi="Calibri"/>
                <w:sz w:val="16"/>
              </w:rPr>
              <w:t>10</w:t>
            </w:r>
          </w:p>
        </w:tc>
        <w:tc>
          <w:tcPr>
            <w:tcW w:type="dxa" w:w="3211"/>
          </w:tcPr>
          <w:p>
            <w:pPr>
              <w:jc w:val="right"/>
            </w:pPr>
            <w:r>
              <w:rPr>
                <w:rFonts w:ascii="Calibri" w:hAnsi="Calibri"/>
                <w:sz w:val="16"/>
              </w:rPr>
              <w:t>20,0</w:t>
            </w:r>
          </w:p>
        </w:tc>
      </w:tr>
      <w:tr>
        <w:tc>
          <w:tcPr>
            <w:tcW w:type="dxa" w:w="3211"/>
            <w:shd w:val="clear" w:fill="F1F5F9"/>
          </w:tcPr>
          <w:p>
            <w:pPr>
              <w:jc w:val="left"/>
            </w:pPr>
            <w:r>
              <w:rPr>
                <w:rFonts w:ascii="Calibri" w:hAnsi="Calibri"/>
                <w:sz w:val="16"/>
              </w:rPr>
              <w:t>Manque d'acheteurs / retard ventes groupées</w:t>
            </w:r>
          </w:p>
        </w:tc>
        <w:tc>
          <w:tcPr>
            <w:tcW w:type="dxa" w:w="3211"/>
            <w:shd w:val="clear" w:fill="F1F5F9"/>
          </w:tcPr>
          <w:p>
            <w:pPr>
              <w:jc w:val="right"/>
            </w:pPr>
            <w:r>
              <w:rPr>
                <w:rFonts w:ascii="Calibri" w:hAnsi="Calibri"/>
                <w:sz w:val="16"/>
              </w:rPr>
              <w:t>10</w:t>
            </w:r>
          </w:p>
        </w:tc>
        <w:tc>
          <w:tcPr>
            <w:tcW w:type="dxa" w:w="3211"/>
            <w:shd w:val="clear" w:fill="F1F5F9"/>
          </w:tcPr>
          <w:p>
            <w:pPr>
              <w:jc w:val="right"/>
            </w:pPr>
            <w:r>
              <w:rPr>
                <w:rFonts w:ascii="Calibri" w:hAnsi="Calibri"/>
                <w:sz w:val="16"/>
              </w:rPr>
              <w:t>20,0</w:t>
            </w:r>
          </w:p>
        </w:tc>
      </w:tr>
      <w:tr>
        <w:tc>
          <w:tcPr>
            <w:tcW w:type="dxa" w:w="3211"/>
          </w:tcPr>
          <w:p>
            <w:pPr>
              <w:jc w:val="left"/>
            </w:pPr>
            <w:r>
              <w:rPr>
                <w:rFonts w:ascii="Calibri" w:hAnsi="Calibri"/>
                <w:sz w:val="16"/>
              </w:rPr>
              <w:t>Problème de ration alimentaire</w:t>
            </w:r>
          </w:p>
        </w:tc>
        <w:tc>
          <w:tcPr>
            <w:tcW w:type="dxa" w:w="3211"/>
          </w:tcPr>
          <w:p>
            <w:pPr>
              <w:jc w:val="right"/>
            </w:pPr>
            <w:r>
              <w:rPr>
                <w:rFonts w:ascii="Calibri" w:hAnsi="Calibri"/>
                <w:sz w:val="16"/>
              </w:rPr>
              <w:t>9</w:t>
            </w:r>
          </w:p>
        </w:tc>
        <w:tc>
          <w:tcPr>
            <w:tcW w:type="dxa" w:w="3211"/>
          </w:tcPr>
          <w:p>
            <w:pPr>
              <w:jc w:val="right"/>
            </w:pPr>
            <w:r>
              <w:rPr>
                <w:rFonts w:ascii="Calibri" w:hAnsi="Calibri"/>
                <w:sz w:val="16"/>
              </w:rPr>
              <w:t>18,0</w:t>
            </w:r>
          </w:p>
        </w:tc>
      </w:tr>
      <w:tr>
        <w:tc>
          <w:tcPr>
            <w:tcW w:type="dxa" w:w="3211"/>
            <w:shd w:val="clear" w:fill="F1F5F9"/>
          </w:tcPr>
          <w:p>
            <w:pPr>
              <w:jc w:val="left"/>
            </w:pPr>
            <w:r>
              <w:rPr>
                <w:rFonts w:ascii="Calibri" w:hAnsi="Calibri"/>
                <w:sz w:val="16"/>
              </w:rPr>
              <w:t>Zones de collecte éloignées / marche à pied</w:t>
            </w:r>
          </w:p>
        </w:tc>
        <w:tc>
          <w:tcPr>
            <w:tcW w:type="dxa" w:w="3211"/>
            <w:shd w:val="clear" w:fill="F1F5F9"/>
          </w:tcPr>
          <w:p>
            <w:pPr>
              <w:jc w:val="right"/>
            </w:pPr>
            <w:r>
              <w:rPr>
                <w:rFonts w:ascii="Calibri" w:hAnsi="Calibri"/>
                <w:sz w:val="16"/>
              </w:rPr>
              <w:t>7</w:t>
            </w:r>
          </w:p>
        </w:tc>
        <w:tc>
          <w:tcPr>
            <w:tcW w:type="dxa" w:w="3211"/>
            <w:shd w:val="clear" w:fill="F1F5F9"/>
          </w:tcPr>
          <w:p>
            <w:pPr>
              <w:jc w:val="right"/>
            </w:pPr>
            <w:r>
              <w:rPr>
                <w:rFonts w:ascii="Calibri" w:hAnsi="Calibri"/>
                <w:sz w:val="16"/>
              </w:rPr>
              <w:t>14,0</w:t>
            </w:r>
          </w:p>
        </w:tc>
      </w:tr>
      <w:tr>
        <w:tc>
          <w:tcPr>
            <w:tcW w:type="dxa" w:w="3211"/>
          </w:tcPr>
          <w:p>
            <w:pPr>
              <w:jc w:val="left"/>
            </w:pPr>
            <w:r>
              <w:rPr>
                <w:rFonts w:ascii="Calibri" w:hAnsi="Calibri"/>
                <w:sz w:val="16"/>
              </w:rPr>
              <w:t>Insécurité en forêt</w:t>
            </w:r>
          </w:p>
        </w:tc>
        <w:tc>
          <w:tcPr>
            <w:tcW w:type="dxa" w:w="3211"/>
          </w:tcPr>
          <w:p>
            <w:pPr>
              <w:jc w:val="right"/>
            </w:pPr>
            <w:r>
              <w:rPr>
                <w:rFonts w:ascii="Calibri" w:hAnsi="Calibri"/>
                <w:sz w:val="16"/>
              </w:rPr>
              <w:t>6</w:t>
            </w:r>
          </w:p>
        </w:tc>
        <w:tc>
          <w:tcPr>
            <w:tcW w:type="dxa" w:w="3211"/>
          </w:tcPr>
          <w:p>
            <w:pPr>
              <w:jc w:val="right"/>
            </w:pPr>
            <w:r>
              <w:rPr>
                <w:rFonts w:ascii="Calibri" w:hAnsi="Calibri"/>
                <w:sz w:val="16"/>
              </w:rPr>
              <w:t>12,0</w:t>
            </w:r>
          </w:p>
        </w:tc>
      </w:tr>
      <w:tr>
        <w:tc>
          <w:tcPr>
            <w:tcW w:type="dxa" w:w="3211"/>
            <w:shd w:val="clear" w:fill="F1F5F9"/>
          </w:tcPr>
          <w:p>
            <w:pPr>
              <w:jc w:val="left"/>
            </w:pPr>
            <w:r>
              <w:rPr>
                <w:rFonts w:ascii="Calibri" w:hAnsi="Calibri"/>
                <w:sz w:val="16"/>
              </w:rPr>
              <w:t>Pas de matériel de collecte</w:t>
            </w:r>
          </w:p>
        </w:tc>
        <w:tc>
          <w:tcPr>
            <w:tcW w:type="dxa" w:w="3211"/>
            <w:shd w:val="clear" w:fill="F1F5F9"/>
          </w:tcPr>
          <w:p>
            <w:pPr>
              <w:jc w:val="right"/>
            </w:pPr>
            <w:r>
              <w:rPr>
                <w:rFonts w:ascii="Calibri" w:hAnsi="Calibri"/>
                <w:sz w:val="16"/>
              </w:rPr>
              <w:t>6</w:t>
            </w:r>
          </w:p>
        </w:tc>
        <w:tc>
          <w:tcPr>
            <w:tcW w:type="dxa" w:w="3211"/>
            <w:shd w:val="clear" w:fill="F1F5F9"/>
          </w:tcPr>
          <w:p>
            <w:pPr>
              <w:jc w:val="right"/>
            </w:pPr>
            <w:r>
              <w:rPr>
                <w:rFonts w:ascii="Calibri" w:hAnsi="Calibri"/>
                <w:sz w:val="16"/>
              </w:rPr>
              <w:t>12,0</w:t>
            </w:r>
          </w:p>
        </w:tc>
      </w:tr>
      <w:tr>
        <w:tc>
          <w:tcPr>
            <w:tcW w:type="dxa" w:w="3211"/>
          </w:tcPr>
          <w:p>
            <w:pPr>
              <w:jc w:val="left"/>
            </w:pPr>
            <w:r>
              <w:rPr>
                <w:rFonts w:ascii="Calibri" w:hAnsi="Calibri"/>
                <w:sz w:val="16"/>
              </w:rPr>
              <w:t>Pluies en forêt</w:t>
            </w:r>
          </w:p>
        </w:tc>
        <w:tc>
          <w:tcPr>
            <w:tcW w:type="dxa" w:w="3211"/>
          </w:tcPr>
          <w:p>
            <w:pPr>
              <w:jc w:val="right"/>
            </w:pPr>
            <w:r>
              <w:rPr>
                <w:rFonts w:ascii="Calibri" w:hAnsi="Calibri"/>
                <w:sz w:val="16"/>
              </w:rPr>
              <w:t>4</w:t>
            </w:r>
          </w:p>
        </w:tc>
        <w:tc>
          <w:tcPr>
            <w:tcW w:type="dxa" w:w="3211"/>
          </w:tcPr>
          <w:p>
            <w:pPr>
              <w:jc w:val="right"/>
            </w:pPr>
            <w:r>
              <w:rPr>
                <w:rFonts w:ascii="Calibri" w:hAnsi="Calibri"/>
                <w:sz w:val="16"/>
              </w:rPr>
              <w:t>8,0</w:t>
            </w:r>
          </w:p>
        </w:tc>
      </w:tr>
      <w:tr>
        <w:tc>
          <w:tcPr>
            <w:tcW w:type="dxa" w:w="3211"/>
            <w:shd w:val="clear" w:fill="F1F5F9"/>
          </w:tcPr>
          <w:p>
            <w:pPr>
              <w:jc w:val="left"/>
            </w:pPr>
            <w:r>
              <w:rPr>
                <w:rFonts w:ascii="Calibri" w:hAnsi="Calibri"/>
                <w:sz w:val="16"/>
              </w:rPr>
              <w:t>Vol des produits</w:t>
            </w:r>
          </w:p>
        </w:tc>
        <w:tc>
          <w:tcPr>
            <w:tcW w:type="dxa" w:w="3211"/>
            <w:shd w:val="clear" w:fill="F1F5F9"/>
          </w:tcPr>
          <w:p>
            <w:pPr>
              <w:jc w:val="right"/>
            </w:pPr>
            <w:r>
              <w:rPr>
                <w:rFonts w:ascii="Calibri" w:hAnsi="Calibri"/>
                <w:sz w:val="16"/>
              </w:rPr>
              <w:t>3</w:t>
            </w:r>
          </w:p>
        </w:tc>
        <w:tc>
          <w:tcPr>
            <w:tcW w:type="dxa" w:w="3211"/>
            <w:shd w:val="clear" w:fill="F1F5F9"/>
          </w:tcPr>
          <w:p>
            <w:pPr>
              <w:jc w:val="right"/>
            </w:pPr>
            <w:r>
              <w:rPr>
                <w:rFonts w:ascii="Calibri" w:hAnsi="Calibri"/>
                <w:sz w:val="16"/>
              </w:rPr>
              <w:t>6,0</w:t>
            </w:r>
          </w:p>
        </w:tc>
      </w:tr>
      <w:tr>
        <w:tc>
          <w:tcPr>
            <w:tcW w:type="dxa" w:w="3211"/>
          </w:tcPr>
          <w:p>
            <w:pPr>
              <w:jc w:val="left"/>
            </w:pPr>
            <w:r>
              <w:rPr>
                <w:rFonts w:ascii="Calibri" w:hAnsi="Calibri"/>
                <w:sz w:val="16"/>
              </w:rPr>
              <w:t>Maladies</w:t>
            </w:r>
          </w:p>
        </w:tc>
        <w:tc>
          <w:tcPr>
            <w:tcW w:type="dxa" w:w="3211"/>
          </w:tcPr>
          <w:p>
            <w:pPr>
              <w:jc w:val="right"/>
            </w:pPr>
            <w:r>
              <w:rPr>
                <w:rFonts w:ascii="Calibri" w:hAnsi="Calibri"/>
                <w:sz w:val="16"/>
              </w:rPr>
              <w:t>3</w:t>
            </w:r>
          </w:p>
        </w:tc>
        <w:tc>
          <w:tcPr>
            <w:tcW w:type="dxa" w:w="3211"/>
          </w:tcPr>
          <w:p>
            <w:pPr>
              <w:jc w:val="right"/>
            </w:pPr>
            <w:r>
              <w:rPr>
                <w:rFonts w:ascii="Calibri" w:hAnsi="Calibri"/>
                <w:sz w:val="16"/>
              </w:rPr>
              <w:t>6,0</w:t>
            </w:r>
          </w:p>
        </w:tc>
      </w:tr>
      <w:tr>
        <w:tc>
          <w:tcPr>
            <w:tcW w:type="dxa" w:w="3211"/>
            <w:shd w:val="clear" w:fill="F1F5F9"/>
          </w:tcPr>
          <w:p>
            <w:pPr>
              <w:jc w:val="left"/>
            </w:pPr>
            <w:r>
              <w:rPr>
                <w:rFonts w:ascii="Calibri" w:hAnsi="Calibri"/>
                <w:sz w:val="16"/>
              </w:rPr>
              <w:t>Escroquerie</w:t>
            </w:r>
          </w:p>
        </w:tc>
        <w:tc>
          <w:tcPr>
            <w:tcW w:type="dxa" w:w="3211"/>
            <w:shd w:val="clear" w:fill="F1F5F9"/>
          </w:tcPr>
          <w:p>
            <w:pPr>
              <w:jc w:val="right"/>
            </w:pPr>
            <w:r>
              <w:rPr>
                <w:rFonts w:ascii="Calibri" w:hAnsi="Calibri"/>
                <w:sz w:val="16"/>
              </w:rPr>
              <w:t>1</w:t>
            </w:r>
          </w:p>
        </w:tc>
        <w:tc>
          <w:tcPr>
            <w:tcW w:type="dxa" w:w="3211"/>
            <w:shd w:val="clear" w:fill="F1F5F9"/>
          </w:tcPr>
          <w:p>
            <w:pPr>
              <w:jc w:val="right"/>
            </w:pPr>
            <w:r>
              <w:rPr>
                <w:rFonts w:ascii="Calibri" w:hAnsi="Calibri"/>
                <w:sz w:val="16"/>
              </w:rPr>
              <w:t>2,0</w:t>
            </w:r>
          </w:p>
        </w:tc>
      </w:tr>
    </w:tbl>
    <w:p>
      <w:pPr>
        <w:jc w:val="center"/>
      </w:pPr>
      <w:r>
        <w:drawing>
          <wp:inline xmlns:a="http://schemas.openxmlformats.org/drawingml/2006/main" xmlns:pic="http://schemas.openxmlformats.org/drawingml/2006/picture">
            <wp:extent cx="5400000" cy="3025401"/>
            <wp:docPr id="22" name="Picture 22"/>
            <wp:cNvGraphicFramePr>
              <a:graphicFrameLocks noChangeAspect="1"/>
            </wp:cNvGraphicFramePr>
            <a:graphic>
              <a:graphicData uri="http://schemas.openxmlformats.org/drawingml/2006/picture">
                <pic:pic>
                  <pic:nvPicPr>
                    <pic:cNvPr id="0" name="f_obj4_themes.png"/>
                    <pic:cNvPicPr/>
                  </pic:nvPicPr>
                  <pic:blipFill>
                    <a:blip r:embed="rId30"/>
                    <a:stretch>
                      <a:fillRect/>
                    </a:stretch>
                  </pic:blipFill>
                  <pic:spPr>
                    <a:xfrm>
                      <a:off x="0" y="0"/>
                      <a:ext cx="5400000" cy="3025401"/>
                    </a:xfrm>
                    <a:prstGeom prst="rect"/>
                  </pic:spPr>
                </pic:pic>
              </a:graphicData>
            </a:graphic>
          </wp:inline>
        </w:drawing>
      </w:r>
    </w:p>
    <w:p>
      <w:pPr>
        <w:spacing w:before="40"/>
        <w:jc w:val="center"/>
      </w:pPr>
      <w:r>
        <w:rPr>
          <w:rFonts w:ascii="Calibri" w:hAnsi="Calibri"/>
          <w:i/>
          <w:color w:val="64748B"/>
          <w:sz w:val="18"/>
        </w:rPr>
        <w:t>Figure 18. Difficultés spécifiques rencontrées dans la valorisation des PFNL.</w:t>
      </w:r>
    </w:p>
    <w:p>
      <w:pPr>
        <w:jc w:val="both"/>
      </w:pPr>
      <w:r>
        <w:rPr>
          <w:sz w:val="22"/>
        </w:rPr>
        <w:t xml:space="preserve">Au niveau du </w:t>
      </w:r>
      <w:r>
        <w:rPr>
          <w:b/>
          <w:sz w:val="22"/>
        </w:rPr>
        <w:t>marché</w:t>
      </w:r>
      <w:r>
        <w:rPr>
          <w:sz w:val="22"/>
        </w:rPr>
        <w:t xml:space="preserve">, la </w:t>
      </w:r>
      <w:r>
        <w:rPr>
          <w:b/>
          <w:sz w:val="22"/>
        </w:rPr>
        <w:t>variabilité des prix</w:t>
      </w:r>
      <w:r>
        <w:rPr>
          <w:sz w:val="22"/>
        </w:rPr>
        <w:t xml:space="preserve"> (26,0 %) et le </w:t>
      </w:r>
      <w:r>
        <w:rPr>
          <w:b/>
          <w:sz w:val="22"/>
        </w:rPr>
        <w:t>manque d'acheteurs / retard des ventes groupées</w:t>
      </w:r>
      <w:r>
        <w:rPr>
          <w:sz w:val="22"/>
        </w:rPr>
        <w:t xml:space="preserve"> (20,0 %) sont les contraintes les plus citées : les ménages, faute de pouvoir de négociation et d'acheteurs réguliers, subissent les prix et l'incertitude des débouchés. Au niveau du </w:t>
      </w:r>
      <w:r>
        <w:rPr>
          <w:b/>
          <w:sz w:val="22"/>
        </w:rPr>
        <w:t>transport</w:t>
      </w:r>
      <w:r>
        <w:rPr>
          <w:sz w:val="22"/>
        </w:rPr>
        <w:t xml:space="preserve">, le manque de moyens et le coût élevé (24,0 %) reflètent l'enclavement des zones de collecte. Au niveau de la </w:t>
      </w:r>
      <w:r>
        <w:rPr>
          <w:b/>
          <w:sz w:val="22"/>
        </w:rPr>
        <w:t>collecte</w:t>
      </w:r>
      <w:r>
        <w:rPr>
          <w:sz w:val="22"/>
        </w:rPr>
        <w:t xml:space="preserve">, le </w:t>
      </w:r>
      <w:r>
        <w:rPr>
          <w:b/>
          <w:sz w:val="22"/>
        </w:rPr>
        <w:t>problème de ration alimentaire</w:t>
      </w:r>
      <w:r>
        <w:rPr>
          <w:sz w:val="22"/>
        </w:rPr>
        <w:t xml:space="preserve"> (18,0 %), l'</w:t>
      </w:r>
      <w:r>
        <w:rPr>
          <w:b/>
          <w:sz w:val="22"/>
        </w:rPr>
        <w:t>éloignement des zones</w:t>
      </w:r>
      <w:r>
        <w:rPr>
          <w:sz w:val="22"/>
        </w:rPr>
        <w:t xml:space="preserve"> (14,0 %), l'</w:t>
      </w:r>
      <w:r>
        <w:rPr>
          <w:b/>
          <w:sz w:val="22"/>
        </w:rPr>
        <w:t>insécurité en forêt</w:t>
      </w:r>
      <w:r>
        <w:rPr>
          <w:sz w:val="22"/>
        </w:rPr>
        <w:t xml:space="preserve"> (12,0 %) et le </w:t>
      </w:r>
      <w:r>
        <w:rPr>
          <w:b/>
          <w:sz w:val="22"/>
        </w:rPr>
        <w:t>manque de matériel</w:t>
      </w:r>
      <w:r>
        <w:rPr>
          <w:sz w:val="22"/>
        </w:rPr>
        <w:t xml:space="preserve"> (12,0 %) traduisent la pénibilité et le risque de l'activité. Enfin, au niveau de la </w:t>
      </w:r>
      <w:r>
        <w:rPr>
          <w:b/>
          <w:sz w:val="22"/>
        </w:rPr>
        <w:t>production</w:t>
      </w:r>
      <w:r>
        <w:rPr>
          <w:sz w:val="22"/>
        </w:rPr>
        <w:t xml:space="preserve">, la </w:t>
      </w:r>
      <w:r>
        <w:rPr>
          <w:b/>
          <w:sz w:val="22"/>
        </w:rPr>
        <w:t>saisonnalité</w:t>
      </w:r>
      <w:r>
        <w:rPr>
          <w:sz w:val="22"/>
        </w:rPr>
        <w:t xml:space="preserve"> (« saison sans PFNL », 20,0 %) rappelle la dépendance à la phénologie des espèces.</w:t>
      </w:r>
    </w:p>
    <w:p>
      <w:pPr>
        <w:keepNext/>
        <w:spacing w:before="180" w:after="80"/>
      </w:pPr>
      <w:r>
        <w:rPr>
          <w:rFonts w:ascii="Calibri" w:hAnsi="Calibri"/>
          <w:b/>
          <w:color w:val="0A8A75"/>
          <w:sz w:val="24"/>
        </w:rPr>
        <w:t>Opportunités à la valorisation des PFNL</w:t>
      </w:r>
    </w:p>
    <w:p>
      <w:pPr>
        <w:jc w:val="both"/>
      </w:pPr>
      <w:r>
        <w:rPr>
          <w:sz w:val="22"/>
        </w:rPr>
        <w:t>Le croisement des données d'enquête et des caractéristiques du territoire permet d'identifier plusieurs opportunités réelles, sur lesquelles une stratégie de valorisation peut s'appuyer :</w:t>
      </w:r>
    </w:p>
    <w:p>
      <w:pPr>
        <w:pStyle w:val="ListBullet"/>
        <w:jc w:val="both"/>
      </w:pPr>
      <w:r>
        <w:rPr>
          <w:b/>
          <w:sz w:val="21"/>
        </w:rPr>
        <w:t>Une ressource abondante et diversifiée</w:t>
      </w:r>
      <w:r>
        <w:rPr>
          <w:sz w:val="21"/>
        </w:rPr>
        <w:t xml:space="preserve"> : 11 PFNL collectés, dont cinq à forte valeur commerciale, portés par des espèces bien représentées dans les agroforêts (Djansang, Mbalaka, Mango) et dans le massif forestier adjacent (Bassin du Congo).</w:t>
      </w:r>
    </w:p>
    <w:p>
      <w:pPr>
        <w:pStyle w:val="ListBullet"/>
        <w:jc w:val="both"/>
      </w:pPr>
      <w:r>
        <w:rPr>
          <w:b/>
          <w:sz w:val="21"/>
        </w:rPr>
        <w:t>Une demande commerciale avérée</w:t>
      </w:r>
      <w:r>
        <w:rPr>
          <w:sz w:val="21"/>
        </w:rPr>
        <w:t xml:space="preserve"> : la quasi-totalité de la production de Mbalaka et de Rondelle est vendue, et les prix unitaires élevés de la Rondelle et du Djansang signalent des marchés porteurs (Lomié, Abong-Mbang, Bertoua, Yaoundé).</w:t>
      </w:r>
    </w:p>
    <w:p>
      <w:pPr>
        <w:pStyle w:val="ListBullet"/>
        <w:jc w:val="both"/>
      </w:pPr>
      <w:r>
        <w:rPr>
          <w:b/>
          <w:sz w:val="21"/>
        </w:rPr>
        <w:t>Un tissu associatif structurant</w:t>
      </w:r>
      <w:r>
        <w:rPr>
          <w:sz w:val="21"/>
        </w:rPr>
        <w:t xml:space="preserve"> : l'existence de quatre GIC (dont PLACKO, structure cacaoyère organisée) offre un cadre pour la collecte groupée, la mutualisation du transport et la négociation collective des prix.</w:t>
      </w:r>
    </w:p>
    <w:p>
      <w:pPr>
        <w:pStyle w:val="ListBullet"/>
        <w:jc w:val="both"/>
      </w:pPr>
      <w:r>
        <w:rPr>
          <w:b/>
          <w:sz w:val="21"/>
        </w:rPr>
        <w:t>Un savoir-faire de transformation</w:t>
      </w:r>
      <w:r>
        <w:rPr>
          <w:sz w:val="21"/>
        </w:rPr>
        <w:t xml:space="preserve"> : la transformation systématique du Mango en boules et du Moabi en huile démontre une maîtrise locale des procédés, extensible à d'autres PFNL pour accroître la valeur ajoutée.</w:t>
      </w:r>
    </w:p>
    <w:p>
      <w:pPr>
        <w:pStyle w:val="ListBullet"/>
        <w:jc w:val="both"/>
      </w:pPr>
      <w:r>
        <w:rPr>
          <w:b/>
          <w:sz w:val="21"/>
        </w:rPr>
        <w:t>Un cadre institutionnel favorable</w:t>
      </w:r>
      <w:r>
        <w:rPr>
          <w:sz w:val="21"/>
        </w:rPr>
        <w:t xml:space="preserve"> : la présence du projet UE-TRIDOM (Nature+), l'appui du MINFOF et le Plan National de Développement des PFNL (2024) créent un environnement propice à la structuration de la filière.</w:t>
      </w:r>
    </w:p>
    <w:p>
      <w:pPr>
        <w:pStyle w:val="ListBullet"/>
        <w:jc w:val="both"/>
      </w:pPr>
      <w:r>
        <w:rPr>
          <w:b/>
          <w:sz w:val="21"/>
        </w:rPr>
        <w:t>Une main-d'œuvre disponible</w:t>
      </w:r>
      <w:r>
        <w:rPr>
          <w:sz w:val="21"/>
        </w:rPr>
        <w:t xml:space="preserve"> : la connaissance fine de la forêt par les populations Baka constitue un atout, à condition d'en organiser une rémunération équitable.</w:t>
      </w:r>
    </w:p>
    <w:p>
      <w:pPr>
        <w:keepNext/>
        <w:spacing w:before="180" w:after="80"/>
      </w:pPr>
      <w:r>
        <w:rPr>
          <w:rFonts w:ascii="Calibri" w:hAnsi="Calibri"/>
          <w:b/>
          <w:color w:val="0A8A75"/>
          <w:sz w:val="24"/>
        </w:rPr>
        <w:t>Synthèse SWOT</w:t>
      </w:r>
    </w:p>
    <w:p>
      <w:pPr>
        <w:keepNext/>
        <w:spacing w:before="160" w:after="40"/>
      </w:pPr>
      <w:r>
        <w:rPr>
          <w:rFonts w:ascii="Calibri" w:hAnsi="Calibri"/>
          <w:b/>
          <w:color w:val="0A1628"/>
          <w:sz w:val="19"/>
        </w:rPr>
        <w:t>Tableau 16. Analyse SWOT de la valorisation des PFNL dans l'arrondissement de Lomié</w:t>
      </w:r>
    </w:p>
    <w:tbl>
      <w:tblPr>
        <w:tblStyle w:val="TableGrid"/>
        <w:tblW w:type="auto" w:w="0"/>
        <w:jc w:val="center"/>
        <w:tblLook w:firstColumn="1" w:firstRow="1" w:lastColumn="0" w:lastRow="0" w:noHBand="0" w:noVBand="1" w:val="04A0"/>
      </w:tblPr>
      <w:tblGrid>
        <w:gridCol w:w="4816"/>
        <w:gridCol w:w="4816"/>
      </w:tblGrid>
      <w:tr>
        <w:tc>
          <w:tcPr>
            <w:tcW w:type="dxa" w:w="4816"/>
            <w:shd w:val="clear" w:fill="0A8A75"/>
          </w:tcPr>
          <w:p>
            <w:r>
              <w:rPr>
                <w:rFonts w:ascii="Calibri" w:hAnsi="Calibri"/>
                <w:b/>
                <w:color w:val="FFFFFF"/>
                <w:sz w:val="19"/>
              </w:rPr>
              <w:t>FORCES (internes)</w:t>
            </w:r>
          </w:p>
        </w:tc>
        <w:tc>
          <w:tcPr>
            <w:tcW w:type="dxa" w:w="4816"/>
            <w:shd w:val="clear" w:fill="0A8A75"/>
          </w:tcPr>
          <w:p>
            <w:r>
              <w:rPr>
                <w:rFonts w:ascii="Calibri" w:hAnsi="Calibri"/>
                <w:b/>
                <w:color w:val="FFFFFF"/>
                <w:sz w:val="19"/>
              </w:rPr>
              <w:t>FAIBLESSES (internes)</w:t>
            </w:r>
          </w:p>
        </w:tc>
      </w:tr>
      <w:tr>
        <w:tc>
          <w:tcPr>
            <w:tcW w:type="dxa" w:w="4816"/>
          </w:tcPr>
          <w:p>
            <w:r>
              <w:rPr>
                <w:sz w:val="18"/>
              </w:rPr>
              <w:t>• Ressource abondante et diversifiée (11 PFNL)</w:t>
            </w:r>
          </w:p>
          <w:p>
            <w:r>
              <w:rPr>
                <w:sz w:val="18"/>
              </w:rPr>
              <w:t>• Savoir-faire de collecte et de transformation</w:t>
            </w:r>
          </w:p>
          <w:p>
            <w:r>
              <w:rPr>
                <w:sz w:val="18"/>
              </w:rPr>
              <w:t>• Forte implication des femmes</w:t>
            </w:r>
          </w:p>
          <w:p>
            <w:r>
              <w:rPr>
                <w:sz w:val="18"/>
              </w:rPr>
              <w:t>• Tissu associatif (4 GIC)</w:t>
            </w:r>
          </w:p>
        </w:tc>
        <w:tc>
          <w:tcPr>
            <w:tcW w:type="dxa" w:w="4816"/>
          </w:tcPr>
          <w:p>
            <w:r>
              <w:rPr>
                <w:sz w:val="18"/>
              </w:rPr>
              <w:t>• Pénibilité et insécurité de la collecte</w:t>
            </w:r>
          </w:p>
          <w:p>
            <w:r>
              <w:rPr>
                <w:sz w:val="18"/>
              </w:rPr>
              <w:t>• Manque de matériel et de moyens de transport</w:t>
            </w:r>
          </w:p>
          <w:p>
            <w:r>
              <w:rPr>
                <w:sz w:val="18"/>
              </w:rPr>
              <w:t>• Faible pouvoir de négociation des prix</w:t>
            </w:r>
          </w:p>
          <w:p>
            <w:r>
              <w:rPr>
                <w:sz w:val="18"/>
              </w:rPr>
              <w:t>• Dépendance à la saisonnalité</w:t>
            </w:r>
          </w:p>
        </w:tc>
      </w:tr>
      <w:tr>
        <w:tc>
          <w:tcPr>
            <w:tcW w:type="dxa" w:w="4816"/>
            <w:shd w:val="clear" w:fill="EA580C"/>
          </w:tcPr>
          <w:p>
            <w:r>
              <w:rPr>
                <w:rFonts w:ascii="Calibri" w:hAnsi="Calibri"/>
                <w:b/>
                <w:color w:val="FFFFFF"/>
                <w:sz w:val="19"/>
              </w:rPr>
              <w:t>OPPORTUNITÉS (externes)</w:t>
            </w:r>
          </w:p>
        </w:tc>
        <w:tc>
          <w:tcPr>
            <w:tcW w:type="dxa" w:w="4816"/>
            <w:shd w:val="clear" w:fill="EA580C"/>
          </w:tcPr>
          <w:p>
            <w:r>
              <w:rPr>
                <w:rFonts w:ascii="Calibri" w:hAnsi="Calibri"/>
                <w:b/>
                <w:color w:val="FFFFFF"/>
                <w:sz w:val="19"/>
              </w:rPr>
              <w:t>MENACES (externes)</w:t>
            </w:r>
          </w:p>
        </w:tc>
      </w:tr>
      <w:tr>
        <w:tc>
          <w:tcPr>
            <w:tcW w:type="dxa" w:w="4816"/>
          </w:tcPr>
          <w:p>
            <w:r>
              <w:rPr>
                <w:sz w:val="18"/>
              </w:rPr>
              <w:t>• Demande des marchés régionaux (Bertoua, Yaoundé)</w:t>
            </w:r>
          </w:p>
          <w:p>
            <w:r>
              <w:rPr>
                <w:sz w:val="18"/>
              </w:rPr>
              <w:t>• Appui UE-TRIDOM / Nature+ / MINFOF</w:t>
            </w:r>
          </w:p>
          <w:p>
            <w:r>
              <w:rPr>
                <w:sz w:val="18"/>
              </w:rPr>
              <w:t>• PND-PFNL 2024 et cadre légal rénové</w:t>
            </w:r>
          </w:p>
          <w:p>
            <w:r>
              <w:rPr>
                <w:sz w:val="18"/>
              </w:rPr>
              <w:t>• Proximité du Bassin du Congo</w:t>
            </w:r>
          </w:p>
        </w:tc>
        <w:tc>
          <w:tcPr>
            <w:tcW w:type="dxa" w:w="4816"/>
          </w:tcPr>
          <w:p>
            <w:r>
              <w:rPr>
                <w:sz w:val="18"/>
              </w:rPr>
              <w:t>• Variabilité des prix et manque d'acheteurs</w:t>
            </w:r>
          </w:p>
          <w:p>
            <w:r>
              <w:rPr>
                <w:sz w:val="18"/>
              </w:rPr>
              <w:t>• Enclavement et coût du transport</w:t>
            </w:r>
          </w:p>
          <w:p>
            <w:r>
              <w:rPr>
                <w:sz w:val="18"/>
              </w:rPr>
              <w:t>• Vol des produits, escroquerie</w:t>
            </w:r>
          </w:p>
          <w:p>
            <w:r>
              <w:rPr>
                <w:sz w:val="18"/>
              </w:rPr>
              <w:t>• Pression sur la ressource (surexploitation)</w:t>
            </w:r>
          </w:p>
        </w:tc>
      </w:tr>
    </w:tbl>
    <w:p>
      <w:pPr>
        <w:keepNext/>
        <w:spacing w:before="180" w:after="80"/>
      </w:pPr>
      <w:r>
        <w:rPr>
          <w:rFonts w:ascii="Calibri" w:hAnsi="Calibri"/>
          <w:b/>
          <w:color w:val="0A8A75"/>
          <w:sz w:val="24"/>
        </w:rPr>
        <w:t>Discussion</w:t>
      </w:r>
    </w:p>
    <w:p>
      <w:pPr>
        <w:jc w:val="both"/>
      </w:pPr>
      <w:r>
        <w:rPr>
          <w:sz w:val="22"/>
        </w:rPr>
        <w:t>Le profil des contraintes observé à Lomié — dominé par les difficultés de collecte, de commercialisation et de transport — recoupe précisément les contraintes identifiées à l'échelle nationale par le Plan National de Développement des PFNL (2024), qui pointe la faible structuration des collecteurs, les difficultés d'accès aux moyens de transport, l'absence d'unités de stockage et l'absence d'harmonisation des unités de mesure. La variabilité des prix et le manque d'acheteurs, contraintes les plus citées, renvoient au caractère informel et faiblement organisé du marché des PFNL en Afrique centrale (Tchatat et al., 2002 ; Ingram, 2014). Les recommandations d'Awono et al. (2013) pour une exploitation durable — structuration des collecteurs, organisation de la mise en marché, maîtrise des techniques de collecte — trouvent ici une pertinence directe.</w:t>
      </w:r>
    </w:p>
    <w:p>
      <w:pPr>
        <w:jc w:val="both"/>
      </w:pPr>
      <w:r>
        <w:rPr>
          <w:sz w:val="22"/>
        </w:rPr>
        <w:t xml:space="preserve">Face à ces contraintes, les opportunités identifiées convergent vers une stratégie de </w:t>
      </w:r>
      <w:r>
        <w:rPr>
          <w:b/>
          <w:sz w:val="22"/>
        </w:rPr>
        <w:t>structuration collective</w:t>
      </w:r>
      <w:r>
        <w:rPr>
          <w:sz w:val="22"/>
        </w:rPr>
        <w:t xml:space="preserve"> de la filière : la collecte groupée et la vente en commun, appuyées par les GIC existants, permettraient de mutualiser le transport, de sécuriser les débouchés et de renforcer le pouvoir de négociation des prix, répondant simultanément aux trois contraintes majeures. Cette orientation s'inscrit dans les principes de gestion durable de la COMIFAC (2011) et dans les objectifs du projet UE-TRIDOM d'insertion économique des communautés locales. Elle est déclinée dans les recommandations du présent travail.</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