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LISTE DES CORRECTIONS ET POINTS DE VIGILANCE</w:t>
      </w:r>
    </w:p>
    <w:p>
      <w:pPr>
        <w:jc w:val="both"/>
      </w:pPr>
      <w:r>
        <w:rPr>
          <w:sz w:val="22"/>
        </w:rPr>
        <w:t xml:space="preserve">Ce document recense (Partie A) les corrections scientifiques, statistiques, méthodologiques et rédactionnelles apportées ou recommandées après audit de la version actuelle du mémoire et de la base de données finale, puis (Partie B) les points de vigilance restant à vérifier avant le dépôt. L'audit a confirmé que la </w:t>
      </w:r>
      <w:r>
        <w:rPr>
          <w:b/>
          <w:sz w:val="22"/>
        </w:rPr>
        <w:t>majorité des résultats du mémoire sont exacts</w:t>
      </w:r>
      <w:r>
        <w:rPr>
          <w:sz w:val="22"/>
        </w:rPr>
        <w:t xml:space="preserve"> : les indices de diversité, densités, surfaces terrières et fréquences de citation ont été recalculés à partir de la base et concordent avec le mémoire, à quelques exceptions près listées ci-dessous.</w:t>
      </w:r>
    </w:p>
    <w:p>
      <w:pPr>
        <w:keepNext/>
        <w:spacing w:before="240" w:after="120"/>
      </w:pPr>
      <w:r>
        <w:rPr>
          <w:rFonts w:ascii="Calibri" w:hAnsi="Calibri"/>
          <w:b/>
          <w:color w:val="0A1628"/>
          <w:sz w:val="28"/>
        </w:rPr>
        <w:t>PARTIE A — CORRECTIONS APPORTÉES / RECOMMANDÉES</w:t>
      </w:r>
    </w:p>
    <w:p>
      <w:pPr>
        <w:keepNext/>
        <w:spacing w:before="180" w:after="80"/>
      </w:pPr>
      <w:r>
        <w:rPr>
          <w:rFonts w:ascii="Calibri" w:hAnsi="Calibri"/>
          <w:b/>
          <w:color w:val="0A8A75"/>
          <w:sz w:val="24"/>
        </w:rPr>
        <w:t>A.1 Corrections confirmées (erreurs à rectifier)</w:t>
      </w:r>
    </w:p>
    <w:p>
      <w:pPr>
        <w:keepNext/>
        <w:spacing w:before="160" w:after="40"/>
      </w:pPr>
      <w:r>
        <w:rPr>
          <w:rFonts w:ascii="Calibri" w:hAnsi="Calibri"/>
          <w:b/>
          <w:color w:val="0A1628"/>
          <w:sz w:val="19"/>
        </w:rPr>
        <w:t>Tableau A1. Corrections confirmées par recalcul sur la base de données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247"/>
            <w:shd w:val="clear" w:fill="0A1628"/>
          </w:tcPr>
          <w:p>
            <w:pPr>
              <w:jc w:val="center"/>
            </w:pPr>
            <w:r>
              <w:rPr>
                <w:rFonts w:ascii="Calibri" w:hAnsi="Calibri"/>
                <w:b/>
                <w:color w:val="FFFFFF"/>
                <w:sz w:val="17"/>
              </w:rPr>
              <w:t>Type</w:t>
            </w:r>
          </w:p>
        </w:tc>
        <w:tc>
          <w:tcPr>
            <w:tcW w:type="dxa" w:w="2041"/>
            <w:shd w:val="clear" w:fill="0A1628"/>
          </w:tcPr>
          <w:p>
            <w:pPr>
              <w:jc w:val="center"/>
            </w:pPr>
            <w:r>
              <w:rPr>
                <w:rFonts w:ascii="Calibri" w:hAnsi="Calibri"/>
                <w:b/>
                <w:color w:val="FFFFFF"/>
                <w:sz w:val="17"/>
              </w:rPr>
              <w:t>Élément</w:t>
            </w:r>
          </w:p>
        </w:tc>
        <w:tc>
          <w:tcPr>
            <w:tcW w:type="dxa" w:w="1928"/>
            <w:shd w:val="clear" w:fill="0A1628"/>
          </w:tcPr>
          <w:p>
            <w:pPr>
              <w:jc w:val="center"/>
            </w:pPr>
            <w:r>
              <w:rPr>
                <w:rFonts w:ascii="Calibri" w:hAnsi="Calibri"/>
                <w:b/>
                <w:color w:val="FFFFFF"/>
                <w:sz w:val="17"/>
              </w:rPr>
              <w:t>Version actuelle</w:t>
            </w:r>
          </w:p>
        </w:tc>
        <w:tc>
          <w:tcPr>
            <w:tcW w:type="dxa" w:w="3572"/>
            <w:shd w:val="clear" w:fill="0A1628"/>
          </w:tcPr>
          <w:p>
            <w:pPr>
              <w:jc w:val="center"/>
            </w:pPr>
            <w:r>
              <w:rPr>
                <w:rFonts w:ascii="Calibri" w:hAnsi="Calibri"/>
                <w:b/>
                <w:color w:val="FFFFFF"/>
                <w:sz w:val="17"/>
              </w:rPr>
              <w:t>Correction</w:t>
            </w:r>
          </w:p>
        </w:tc>
      </w:tr>
      <w:tr>
        <w:tc>
          <w:tcPr>
            <w:tcW w:type="dxa" w:w="1247"/>
          </w:tcPr>
          <w:p>
            <w:pPr>
              <w:jc w:val="left"/>
            </w:pPr>
            <w:r>
              <w:rPr>
                <w:rFonts w:ascii="Calibri" w:hAnsi="Calibri"/>
                <w:sz w:val="16"/>
              </w:rPr>
              <w:t>Statistique / consistance</w:t>
            </w:r>
          </w:p>
        </w:tc>
        <w:tc>
          <w:tcPr>
            <w:tcW w:type="dxa" w:w="2041"/>
          </w:tcPr>
          <w:p>
            <w:pPr>
              <w:jc w:val="left"/>
            </w:pPr>
            <w:r>
              <w:rPr>
                <w:rFonts w:ascii="Calibri" w:hAnsi="Calibri"/>
                <w:sz w:val="16"/>
              </w:rPr>
              <w:t>Pourcentages GIC (texte du §caractérisation)</w:t>
            </w:r>
          </w:p>
        </w:tc>
        <w:tc>
          <w:tcPr>
            <w:tcW w:type="dxa" w:w="1928"/>
          </w:tcPr>
          <w:p>
            <w:pPr>
              <w:jc w:val="left"/>
            </w:pPr>
            <w:r>
              <w:rPr>
                <w:rFonts w:ascii="Calibri" w:hAnsi="Calibri"/>
                <w:sz w:val="16"/>
              </w:rPr>
              <w:t>« 32 % Mpoulah Mepeh, 30 % Lumière Plus, 24 % PLACKO, 12 % Femmes Dynamiques »</w:t>
            </w:r>
          </w:p>
        </w:tc>
        <w:tc>
          <w:tcPr>
            <w:tcW w:type="dxa" w:w="3572"/>
          </w:tcPr>
          <w:p>
            <w:pPr>
              <w:jc w:val="left"/>
            </w:pPr>
            <w:r>
              <w:rPr>
                <w:rFonts w:ascii="Calibri" w:hAnsi="Calibri"/>
                <w:sz w:val="16"/>
              </w:rPr>
              <w:t>« 34 % Mpoulah Mepeh (n=17), 40 % Lumière Plus (n=20), 14 % PLACKO (n=7), 12 % Femmes Dynamiques (n=6) ». Le Tableau I du mémoire (17/20/7/6) est correct ; c'est le texte qui doit être aligné sur le tableau.</w:t>
            </w:r>
          </w:p>
        </w:tc>
      </w:tr>
      <w:tr>
        <w:tc>
          <w:tcPr>
            <w:tcW w:type="dxa" w:w="1247"/>
            <w:shd w:val="clear" w:fill="F1F5F9"/>
          </w:tcPr>
          <w:p>
            <w:pPr>
              <w:jc w:val="left"/>
            </w:pPr>
            <w:r>
              <w:rPr>
                <w:rFonts w:ascii="Calibri" w:hAnsi="Calibri"/>
                <w:sz w:val="16"/>
              </w:rPr>
              <w:t>Statistique</w:t>
            </w:r>
          </w:p>
        </w:tc>
        <w:tc>
          <w:tcPr>
            <w:tcW w:type="dxa" w:w="2041"/>
            <w:shd w:val="clear" w:fill="F1F5F9"/>
          </w:tcPr>
          <w:p>
            <w:pPr>
              <w:jc w:val="left"/>
            </w:pPr>
            <w:r>
              <w:rPr>
                <w:rFonts w:ascii="Calibri" w:hAnsi="Calibri"/>
                <w:sz w:val="16"/>
              </w:rPr>
              <w:t>Fréquence de citation du Bitter cola (Tableau V)</w:t>
            </w:r>
          </w:p>
        </w:tc>
        <w:tc>
          <w:tcPr>
            <w:tcW w:type="dxa" w:w="1928"/>
            <w:shd w:val="clear" w:fill="F1F5F9"/>
          </w:tcPr>
          <w:p>
            <w:pPr>
              <w:jc w:val="left"/>
            </w:pPr>
            <w:r>
              <w:rPr>
                <w:rFonts w:ascii="Calibri" w:hAnsi="Calibri"/>
                <w:sz w:val="16"/>
              </w:rPr>
              <w:t>4,0 %</w:t>
            </w:r>
          </w:p>
        </w:tc>
        <w:tc>
          <w:tcPr>
            <w:tcW w:type="dxa" w:w="3572"/>
            <w:shd w:val="clear" w:fill="F1F5F9"/>
          </w:tcPr>
          <w:p>
            <w:pPr>
              <w:jc w:val="left"/>
            </w:pPr>
            <w:r>
              <w:rPr>
                <w:rFonts w:ascii="Calibri" w:hAnsi="Calibri"/>
                <w:sz w:val="16"/>
              </w:rPr>
              <w:t>2,0 % (n = 1 ménage). Le Bitter cola est cité une seule fois ; sa fc est donc 2,0 %, comme le Piment des oiseaux.</w:t>
            </w:r>
          </w:p>
        </w:tc>
      </w:tr>
      <w:tr>
        <w:tc>
          <w:tcPr>
            <w:tcW w:type="dxa" w:w="1247"/>
          </w:tcPr>
          <w:p>
            <w:pPr>
              <w:jc w:val="left"/>
            </w:pPr>
            <w:r>
              <w:rPr>
                <w:rFonts w:ascii="Calibri" w:hAnsi="Calibri"/>
                <w:sz w:val="16"/>
              </w:rPr>
              <w:t>Statistique</w:t>
            </w:r>
          </w:p>
        </w:tc>
        <w:tc>
          <w:tcPr>
            <w:tcW w:type="dxa" w:w="2041"/>
          </w:tcPr>
          <w:p>
            <w:pPr>
              <w:jc w:val="left"/>
            </w:pPr>
            <w:r>
              <w:rPr>
                <w:rFonts w:ascii="Calibri" w:hAnsi="Calibri"/>
                <w:sz w:val="16"/>
              </w:rPr>
              <w:t>Part des revenus affectée à la ration alimentaire</w:t>
            </w:r>
          </w:p>
        </w:tc>
        <w:tc>
          <w:tcPr>
            <w:tcW w:type="dxa" w:w="1928"/>
          </w:tcPr>
          <w:p>
            <w:pPr>
              <w:jc w:val="left"/>
            </w:pPr>
            <w:r>
              <w:rPr>
                <w:rFonts w:ascii="Calibri" w:hAnsi="Calibri"/>
                <w:sz w:val="16"/>
              </w:rPr>
              <w:t>50,0 %</w:t>
            </w:r>
          </w:p>
        </w:tc>
        <w:tc>
          <w:tcPr>
            <w:tcW w:type="dxa" w:w="3572"/>
          </w:tcPr>
          <w:p>
            <w:pPr>
              <w:jc w:val="left"/>
            </w:pPr>
            <w:r>
              <w:rPr>
                <w:rFonts w:ascii="Calibri" w:hAnsi="Calibri"/>
                <w:sz w:val="16"/>
              </w:rPr>
              <w:t>48,0 % (n = 24 ménages sur 50).</w:t>
            </w:r>
          </w:p>
        </w:tc>
      </w:tr>
      <w:tr>
        <w:tc>
          <w:tcPr>
            <w:tcW w:type="dxa" w:w="1247"/>
            <w:shd w:val="clear" w:fill="F1F5F9"/>
          </w:tcPr>
          <w:p>
            <w:pPr>
              <w:jc w:val="left"/>
            </w:pPr>
            <w:r>
              <w:rPr>
                <w:rFonts w:ascii="Calibri" w:hAnsi="Calibri"/>
                <w:sz w:val="16"/>
              </w:rPr>
              <w:t>Bibliographique</w:t>
            </w:r>
          </w:p>
        </w:tc>
        <w:tc>
          <w:tcPr>
            <w:tcW w:type="dxa" w:w="2041"/>
            <w:shd w:val="clear" w:fill="F1F5F9"/>
          </w:tcPr>
          <w:p>
            <w:pPr>
              <w:jc w:val="left"/>
            </w:pPr>
            <w:r>
              <w:rPr>
                <w:rFonts w:ascii="Calibri" w:hAnsi="Calibri"/>
                <w:sz w:val="16"/>
              </w:rPr>
              <w:t>Année de la référence Pielou</w:t>
            </w:r>
          </w:p>
        </w:tc>
        <w:tc>
          <w:tcPr>
            <w:tcW w:type="dxa" w:w="1928"/>
            <w:shd w:val="clear" w:fill="F1F5F9"/>
          </w:tcPr>
          <w:p>
            <w:pPr>
              <w:jc w:val="left"/>
            </w:pPr>
            <w:r>
              <w:rPr>
                <w:rFonts w:ascii="Calibri" w:hAnsi="Calibri"/>
                <w:sz w:val="16"/>
              </w:rPr>
              <w:t>Pielou EC. (1996)</w:t>
            </w:r>
          </w:p>
        </w:tc>
        <w:tc>
          <w:tcPr>
            <w:tcW w:type="dxa" w:w="3572"/>
            <w:shd w:val="clear" w:fill="F1F5F9"/>
          </w:tcPr>
          <w:p>
            <w:pPr>
              <w:jc w:val="left"/>
            </w:pPr>
            <w:r>
              <w:rPr>
                <w:rFonts w:ascii="Calibri" w:hAnsi="Calibri"/>
                <w:sz w:val="16"/>
              </w:rPr>
              <w:t>Pielou EC. (1966), Journal of Theoretical Biology, 13(1):131-144. Le texte cite d'ailleurs « 1966 ». Corriger aussi le DOI, malformé.</w:t>
            </w:r>
          </w:p>
        </w:tc>
      </w:tr>
      <w:tr>
        <w:tc>
          <w:tcPr>
            <w:tcW w:type="dxa" w:w="1247"/>
          </w:tcPr>
          <w:p>
            <w:pPr>
              <w:jc w:val="left"/>
            </w:pPr>
            <w:r>
              <w:rPr>
                <w:rFonts w:ascii="Calibri" w:hAnsi="Calibri"/>
                <w:sz w:val="16"/>
              </w:rPr>
              <w:t>Nomenclature</w:t>
            </w:r>
          </w:p>
        </w:tc>
        <w:tc>
          <w:tcPr>
            <w:tcW w:type="dxa" w:w="2041"/>
          </w:tcPr>
          <w:p>
            <w:pPr>
              <w:jc w:val="left"/>
            </w:pPr>
            <w:r>
              <w:rPr>
                <w:rFonts w:ascii="Calibri" w:hAnsi="Calibri"/>
                <w:sz w:val="16"/>
              </w:rPr>
              <w:t>Genre du Tondo (Tableau V) et coquilles botaniques</w:t>
            </w:r>
          </w:p>
        </w:tc>
        <w:tc>
          <w:tcPr>
            <w:tcW w:type="dxa" w:w="1928"/>
          </w:tcPr>
          <w:p>
            <w:pPr>
              <w:jc w:val="left"/>
            </w:pPr>
            <w:r>
              <w:rPr>
                <w:rFonts w:ascii="Calibri" w:hAnsi="Calibri"/>
                <w:sz w:val="16"/>
              </w:rPr>
              <w:t>« Afromomum sp. » ; « Diospyros crassifora » ; « Albizia adantifolia »</w:t>
            </w:r>
          </w:p>
        </w:tc>
        <w:tc>
          <w:tcPr>
            <w:tcW w:type="dxa" w:w="3572"/>
          </w:tcPr>
          <w:p>
            <w:pPr>
              <w:jc w:val="left"/>
            </w:pPr>
            <w:r>
              <w:rPr>
                <w:rFonts w:ascii="Calibri" w:hAnsi="Calibri"/>
                <w:sz w:val="16"/>
              </w:rPr>
              <w:t>« Aframomum sp. » ; « Diospyros crassiflora » ; « Albizia adiantifolia » (harmoniser base et texte).</w:t>
            </w:r>
          </w:p>
        </w:tc>
      </w:tr>
    </w:tbl>
    <w:p>
      <w:pPr>
        <w:keepNext/>
        <w:spacing w:before="180" w:after="80"/>
      </w:pPr>
      <w:r>
        <w:rPr>
          <w:rFonts w:ascii="Calibri" w:hAnsi="Calibri"/>
          <w:b/>
          <w:color w:val="0A8A75"/>
          <w:sz w:val="24"/>
        </w:rPr>
        <w:t>A.2 Écarts mineurs de recalcul (à vérifier / arbitrer)</w:t>
      </w:r>
    </w:p>
    <w:p>
      <w:pPr>
        <w:jc w:val="both"/>
      </w:pPr>
      <w:r>
        <w:rPr>
          <w:sz w:val="22"/>
        </w:rPr>
        <w:t>Ces écarts, tous inférieurs à quelques unités, proviennent vraisemblablement du traitement des morpho-espèces non identifiées (« esp1 », « inconnu »…) ou de l'aire de référence retenue. Ils n'affectent aucune conclusion mais méritent une harmonisation.</w:t>
      </w:r>
    </w:p>
    <w:p>
      <w:pPr>
        <w:keepNext/>
        <w:spacing w:before="160" w:after="40"/>
      </w:pPr>
      <w:r>
        <w:rPr>
          <w:rFonts w:ascii="Calibri" w:hAnsi="Calibri"/>
          <w:b/>
          <w:color w:val="0A1628"/>
          <w:sz w:val="19"/>
        </w:rPr>
        <w:t>Tableau A2. Écarts mineurs entre le mémoire et le recalcul sur la base</w:t>
      </w:r>
    </w:p>
    <w:tbl>
      <w:tblPr>
        <w:tblStyle w:val="TableGrid"/>
        <w:tblW w:type="auto" w:w="0"/>
        <w:jc w:val="center"/>
        <w:tblLook w:firstColumn="1" w:firstRow="1" w:lastColumn="0" w:lastRow="0" w:noHBand="0" w:noVBand="1" w:val="04A0"/>
      </w:tblPr>
      <w:tblGrid>
        <w:gridCol w:w="3211"/>
        <w:gridCol w:w="3211"/>
        <w:gridCol w:w="3211"/>
      </w:tblGrid>
      <w:tr>
        <w:tc>
          <w:tcPr>
            <w:tcW w:type="dxa" w:w="4819"/>
            <w:shd w:val="clear" w:fill="0A1628"/>
          </w:tcPr>
          <w:p>
            <w:pPr>
              <w:jc w:val="center"/>
            </w:pPr>
            <w:r>
              <w:rPr>
                <w:rFonts w:ascii="Calibri" w:hAnsi="Calibri"/>
                <w:b/>
                <w:color w:val="FFFFFF"/>
                <w:sz w:val="17"/>
              </w:rPr>
              <w:t>Paramètre</w:t>
            </w:r>
          </w:p>
        </w:tc>
        <w:tc>
          <w:tcPr>
            <w:tcW w:type="dxa" w:w="1984"/>
            <w:shd w:val="clear" w:fill="0A1628"/>
          </w:tcPr>
          <w:p>
            <w:pPr>
              <w:jc w:val="center"/>
            </w:pPr>
            <w:r>
              <w:rPr>
                <w:rFonts w:ascii="Calibri" w:hAnsi="Calibri"/>
                <w:b/>
                <w:color w:val="FFFFFF"/>
                <w:sz w:val="17"/>
              </w:rPr>
              <w:t>Mémoire</w:t>
            </w:r>
          </w:p>
        </w:tc>
        <w:tc>
          <w:tcPr>
            <w:tcW w:type="dxa" w:w="1984"/>
            <w:shd w:val="clear" w:fill="0A1628"/>
          </w:tcPr>
          <w:p>
            <w:pPr>
              <w:jc w:val="center"/>
            </w:pPr>
            <w:r>
              <w:rPr>
                <w:rFonts w:ascii="Calibri" w:hAnsi="Calibri"/>
                <w:b/>
                <w:color w:val="FFFFFF"/>
                <w:sz w:val="17"/>
              </w:rPr>
              <w:t>Recalcul</w:t>
            </w:r>
          </w:p>
        </w:tc>
      </w:tr>
      <w:tr>
        <w:tc>
          <w:tcPr>
            <w:tcW w:type="dxa" w:w="4819"/>
          </w:tcPr>
          <w:p>
            <w:pPr>
              <w:jc w:val="left"/>
            </w:pPr>
            <w:r>
              <w:rPr>
                <w:rFonts w:ascii="Calibri" w:hAnsi="Calibri"/>
                <w:sz w:val="16"/>
              </w:rPr>
              <w:t>Richesse spécifique — agroforêt Oshea</w:t>
            </w:r>
          </w:p>
        </w:tc>
        <w:tc>
          <w:tcPr>
            <w:tcW w:type="dxa" w:w="1984"/>
          </w:tcPr>
          <w:p>
            <w:pPr>
              <w:jc w:val="right"/>
            </w:pPr>
            <w:r>
              <w:rPr>
                <w:rFonts w:ascii="Calibri" w:hAnsi="Calibri"/>
                <w:sz w:val="16"/>
              </w:rPr>
              <w:t>76 espèces</w:t>
            </w:r>
          </w:p>
        </w:tc>
        <w:tc>
          <w:tcPr>
            <w:tcW w:type="dxa" w:w="1984"/>
          </w:tcPr>
          <w:p>
            <w:pPr>
              <w:jc w:val="right"/>
            </w:pPr>
            <w:r>
              <w:rPr>
                <w:rFonts w:ascii="Calibri" w:hAnsi="Calibri"/>
                <w:sz w:val="16"/>
              </w:rPr>
              <w:t>77 morpho-espèces</w:t>
            </w:r>
          </w:p>
        </w:tc>
      </w:tr>
      <w:tr>
        <w:tc>
          <w:tcPr>
            <w:tcW w:type="dxa" w:w="4819"/>
            <w:shd w:val="clear" w:fill="F1F5F9"/>
          </w:tcPr>
          <w:p>
            <w:pPr>
              <w:jc w:val="left"/>
            </w:pPr>
            <w:r>
              <w:rPr>
                <w:rFonts w:ascii="Calibri" w:hAnsi="Calibri"/>
                <w:sz w:val="16"/>
              </w:rPr>
              <w:t>Nombre total de morpho-espèces</w:t>
            </w:r>
          </w:p>
        </w:tc>
        <w:tc>
          <w:tcPr>
            <w:tcW w:type="dxa" w:w="1984"/>
            <w:shd w:val="clear" w:fill="F1F5F9"/>
          </w:tcPr>
          <w:p>
            <w:pPr>
              <w:jc w:val="right"/>
            </w:pPr>
            <w:r>
              <w:rPr>
                <w:rFonts w:ascii="Calibri" w:hAnsi="Calibri"/>
                <w:sz w:val="16"/>
              </w:rPr>
              <w:t>236</w:t>
            </w:r>
          </w:p>
        </w:tc>
        <w:tc>
          <w:tcPr>
            <w:tcW w:type="dxa" w:w="1984"/>
            <w:shd w:val="clear" w:fill="F1F5F9"/>
          </w:tcPr>
          <w:p>
            <w:pPr>
              <w:jc w:val="right"/>
            </w:pPr>
            <w:r>
              <w:rPr>
                <w:rFonts w:ascii="Calibri" w:hAnsi="Calibri"/>
                <w:sz w:val="16"/>
              </w:rPr>
              <w:t>240 (selon le regroupement des codes indéterminés)</w:t>
            </w:r>
          </w:p>
        </w:tc>
      </w:tr>
      <w:tr>
        <w:tc>
          <w:tcPr>
            <w:tcW w:type="dxa" w:w="4819"/>
          </w:tcPr>
          <w:p>
            <w:pPr>
              <w:jc w:val="left"/>
            </w:pPr>
            <w:r>
              <w:rPr>
                <w:rFonts w:ascii="Calibri" w:hAnsi="Calibri"/>
                <w:sz w:val="16"/>
              </w:rPr>
              <w:t>Surface terrière — agroforêt Mekoul</w:t>
            </w:r>
          </w:p>
        </w:tc>
        <w:tc>
          <w:tcPr>
            <w:tcW w:type="dxa" w:w="1984"/>
          </w:tcPr>
          <w:p>
            <w:pPr>
              <w:jc w:val="right"/>
            </w:pPr>
            <w:r>
              <w:rPr>
                <w:rFonts w:ascii="Calibri" w:hAnsi="Calibri"/>
                <w:sz w:val="16"/>
              </w:rPr>
              <w:t>7,06 m²/ha</w:t>
            </w:r>
          </w:p>
        </w:tc>
        <w:tc>
          <w:tcPr>
            <w:tcW w:type="dxa" w:w="1984"/>
          </w:tcPr>
          <w:p>
            <w:pPr>
              <w:jc w:val="right"/>
            </w:pPr>
            <w:r>
              <w:rPr>
                <w:rFonts w:ascii="Calibri" w:hAnsi="Calibri"/>
                <w:sz w:val="16"/>
              </w:rPr>
              <w:t>7,46 m²/ha</w:t>
            </w:r>
          </w:p>
        </w:tc>
      </w:tr>
      <w:tr>
        <w:tc>
          <w:tcPr>
            <w:tcW w:type="dxa" w:w="4819"/>
            <w:shd w:val="clear" w:fill="F1F5F9"/>
          </w:tcPr>
          <w:p>
            <w:pPr>
              <w:jc w:val="left"/>
            </w:pPr>
            <w:r>
              <w:rPr>
                <w:rFonts w:ascii="Calibri" w:hAnsi="Calibri"/>
                <w:sz w:val="16"/>
              </w:rPr>
              <w:t>Similarité de Sørensen Ntié–Oshea</w:t>
            </w:r>
          </w:p>
        </w:tc>
        <w:tc>
          <w:tcPr>
            <w:tcW w:type="dxa" w:w="1984"/>
            <w:shd w:val="clear" w:fill="F1F5F9"/>
          </w:tcPr>
          <w:p>
            <w:pPr>
              <w:jc w:val="right"/>
            </w:pPr>
            <w:r>
              <w:rPr>
                <w:rFonts w:ascii="Calibri" w:hAnsi="Calibri"/>
                <w:sz w:val="16"/>
              </w:rPr>
              <w:t>43,1 %</w:t>
            </w:r>
          </w:p>
        </w:tc>
        <w:tc>
          <w:tcPr>
            <w:tcW w:type="dxa" w:w="1984"/>
            <w:shd w:val="clear" w:fill="F1F5F9"/>
          </w:tcPr>
          <w:p>
            <w:pPr>
              <w:jc w:val="right"/>
            </w:pPr>
            <w:r>
              <w:rPr>
                <w:rFonts w:ascii="Calibri" w:hAnsi="Calibri"/>
                <w:sz w:val="16"/>
              </w:rPr>
              <w:t>40,5 %</w:t>
            </w:r>
          </w:p>
        </w:tc>
      </w:tr>
      <w:tr>
        <w:tc>
          <w:tcPr>
            <w:tcW w:type="dxa" w:w="4819"/>
          </w:tcPr>
          <w:p>
            <w:pPr>
              <w:jc w:val="left"/>
            </w:pPr>
            <w:r>
              <w:rPr>
                <w:rFonts w:ascii="Calibri" w:hAnsi="Calibri"/>
                <w:sz w:val="16"/>
              </w:rPr>
              <w:t>Classe [10 ; 20[ cm — Mekoul</w:t>
            </w:r>
          </w:p>
        </w:tc>
        <w:tc>
          <w:tcPr>
            <w:tcW w:type="dxa" w:w="1984"/>
          </w:tcPr>
          <w:p>
            <w:pPr>
              <w:jc w:val="right"/>
            </w:pPr>
            <w:r>
              <w:rPr>
                <w:rFonts w:ascii="Calibri" w:hAnsi="Calibri"/>
                <w:sz w:val="16"/>
              </w:rPr>
              <w:t>27,6 %</w:t>
            </w:r>
          </w:p>
        </w:tc>
        <w:tc>
          <w:tcPr>
            <w:tcW w:type="dxa" w:w="1984"/>
          </w:tcPr>
          <w:p>
            <w:pPr>
              <w:jc w:val="right"/>
            </w:pPr>
            <w:r>
              <w:rPr>
                <w:rFonts w:ascii="Calibri" w:hAnsi="Calibri"/>
                <w:sz w:val="16"/>
              </w:rPr>
              <w:t>25,0 %</w:t>
            </w:r>
          </w:p>
        </w:tc>
      </w:tr>
    </w:tbl>
    <w:tbl>
      <w:tblPr>
        <w:tblStyle w:val="TableGrid"/>
        <w:tblW w:type="auto" w:w="0"/>
        <w:tblLook w:firstColumn="1" w:firstRow="1" w:lastColumn="0" w:lastRow="0" w:noHBand="0" w:noVBand="1" w:val="04A0"/>
      </w:tblPr>
      <w:tblGrid>
        <w:gridCol w:w="9632"/>
      </w:tblGrid>
      <w:tr>
        <w:tc>
          <w:tcPr>
            <w:tcW w:type="dxa" w:w="9632"/>
            <w:shd w:val="clear" w:fill="E9F7F4"/>
          </w:tcPr>
          <w:p>
            <w:r>
              <w:rPr>
                <w:rFonts w:ascii="Calibri" w:hAnsi="Calibri"/>
                <w:b/>
                <w:color w:val="0A8A75"/>
                <w:sz w:val="18"/>
              </w:rPr>
              <w:t>Point rassurant</w:t>
            </w:r>
          </w:p>
          <w:p>
            <w:pPr>
              <w:jc w:val="both"/>
            </w:pPr>
            <w:r>
              <w:rPr>
                <w:sz w:val="19"/>
              </w:rPr>
              <w:t xml:space="preserve">Les indices de Shannon (2,84 à 3,58), de Simpson (0,83 à 0,95), de Piélou (0,61 à 0,86), les densités par agroforêt (30,3 à 68,3 ind./ha) et par TUT, ainsi que les fréquences de citation des cinq PFNL majeurs ont tous été </w:t>
            </w:r>
            <w:r>
              <w:rPr>
                <w:b/>
                <w:sz w:val="19"/>
              </w:rPr>
              <w:t>vérifiés et confirmés exacts</w:t>
            </w:r>
            <w:r>
              <w:rPr>
                <w:sz w:val="19"/>
              </w:rPr>
              <w:t xml:space="preserve"> par recalcul direct sur la base. La solidité statistique du mémoire est donc établie.</w:t>
            </w:r>
          </w:p>
        </w:tc>
      </w:tr>
    </w:tbl>
    <w:p>
      <w:pPr>
        <w:spacing w:after="40"/>
      </w:pPr>
    </w:p>
    <w:p>
      <w:pPr>
        <w:keepNext/>
        <w:spacing w:before="180" w:after="80"/>
      </w:pPr>
      <w:r>
        <w:rPr>
          <w:rFonts w:ascii="Calibri" w:hAnsi="Calibri"/>
          <w:b/>
          <w:color w:val="0A8A75"/>
          <w:sz w:val="24"/>
        </w:rPr>
        <w:t>A.3 Sections rédigées et fournies (auparavant vides)</w:t>
      </w:r>
    </w:p>
    <w:p>
      <w:pPr>
        <w:pStyle w:val="ListBullet"/>
        <w:jc w:val="both"/>
      </w:pPr>
      <w:r>
        <w:rPr>
          <w:b/>
          <w:sz w:val="21"/>
        </w:rPr>
        <w:t>Résultat 4 — Contraintes et opportunités</w:t>
      </w:r>
      <w:r>
        <w:rPr>
          <w:sz w:val="21"/>
        </w:rPr>
        <w:t xml:space="preserve"> (résultats + analyse SWOT) : entièrement rédigé à partir des feuilles « contraintes PFNL » et « Utilisations des revenus PFNL » (document Résultats finalisés).</w:t>
      </w:r>
    </w:p>
    <w:p>
      <w:pPr>
        <w:pStyle w:val="ListBullet"/>
        <w:jc w:val="both"/>
      </w:pPr>
      <w:r>
        <w:rPr>
          <w:b/>
          <w:sz w:val="21"/>
        </w:rPr>
        <w:t>Utilisations des revenus PFNL</w:t>
      </w:r>
      <w:r>
        <w:rPr>
          <w:sz w:val="21"/>
        </w:rPr>
        <w:t xml:space="preserve"> : sous-section complétée (scolarité 96 %, alimentation 48 %, santé 24 %…).</w:t>
      </w:r>
    </w:p>
    <w:p>
      <w:pPr>
        <w:pStyle w:val="ListBullet"/>
        <w:jc w:val="both"/>
      </w:pPr>
      <w:r>
        <w:rPr>
          <w:b/>
          <w:sz w:val="21"/>
        </w:rPr>
        <w:t>Conclusion générale, Recommandations, Perspectives</w:t>
      </w:r>
      <w:r>
        <w:rPr>
          <w:sz w:val="21"/>
        </w:rPr>
        <w:t xml:space="preserve"> : rédigées (document dédié).</w:t>
      </w:r>
    </w:p>
    <w:p>
      <w:pPr>
        <w:pStyle w:val="ListBullet"/>
        <w:jc w:val="both"/>
      </w:pPr>
      <w:r>
        <w:rPr>
          <w:b/>
          <w:sz w:val="21"/>
        </w:rPr>
        <w:t>Résumé (FR) et Abstract (EN)</w:t>
      </w:r>
      <w:r>
        <w:rPr>
          <w:sz w:val="21"/>
        </w:rPr>
        <w:t xml:space="preserve"> : rédigés et rendus mutuellement cohérents, avec mots-clés (document dédié).</w:t>
      </w:r>
    </w:p>
    <w:p>
      <w:pPr>
        <w:pStyle w:val="ListBullet"/>
        <w:jc w:val="both"/>
      </w:pPr>
      <w:r>
        <w:rPr>
          <w:b/>
          <w:sz w:val="21"/>
        </w:rPr>
        <w:t>Discussion du Résultat 3 (PFNL)</w:t>
      </w:r>
      <w:r>
        <w:rPr>
          <w:sz w:val="21"/>
        </w:rPr>
        <w:t xml:space="preserve"> et </w:t>
      </w:r>
      <w:r>
        <w:rPr>
          <w:b/>
          <w:sz w:val="21"/>
        </w:rPr>
        <w:t>du Résultat 4</w:t>
      </w:r>
      <w:r>
        <w:rPr>
          <w:sz w:val="21"/>
        </w:rPr>
        <w:t xml:space="preserve"> : rédigées.</w:t>
      </w:r>
    </w:p>
    <w:p>
      <w:r>
        <w:br w:type="page"/>
      </w:r>
    </w:p>
    <w:p>
      <w:pPr>
        <w:keepNext/>
        <w:spacing w:before="240" w:after="120"/>
      </w:pPr>
      <w:r>
        <w:rPr>
          <w:rFonts w:ascii="Calibri" w:hAnsi="Calibri"/>
          <w:b/>
          <w:color w:val="0A1628"/>
          <w:sz w:val="28"/>
        </w:rPr>
        <w:t>PARTIE B — POINTS DE VIGILANCE AVANT DÉPÔT</w:t>
      </w:r>
    </w:p>
    <w:p>
      <w:pPr>
        <w:keepNext/>
        <w:spacing w:before="180" w:after="80"/>
      </w:pPr>
      <w:r>
        <w:rPr>
          <w:rFonts w:ascii="Calibri" w:hAnsi="Calibri"/>
          <w:b/>
          <w:color w:val="0A8A75"/>
          <w:sz w:val="24"/>
        </w:rPr>
        <w:t>B.1 Bibliographie — priorité absolue</w:t>
      </w:r>
    </w:p>
    <w:tbl>
      <w:tblPr>
        <w:tblStyle w:val="TableGrid"/>
        <w:tblW w:type="auto" w:w="0"/>
        <w:tblLook w:firstColumn="1" w:firstRow="1" w:lastColumn="0" w:lastRow="0" w:noHBand="0" w:noVBand="1" w:val="04A0"/>
      </w:tblPr>
      <w:tblGrid>
        <w:gridCol w:w="9632"/>
      </w:tblGrid>
      <w:tr>
        <w:tc>
          <w:tcPr>
            <w:tcW w:type="dxa" w:w="9632"/>
            <w:shd w:val="clear" w:fill="FEECEC"/>
          </w:tcPr>
          <w:p>
            <w:r>
              <w:rPr>
                <w:rFonts w:ascii="Calibri" w:hAnsi="Calibri"/>
                <w:b/>
                <w:color w:val="C02A2A"/>
                <w:sz w:val="18"/>
              </w:rPr>
              <w:t>Enjeu critique pour la soutenance</w:t>
            </w:r>
          </w:p>
          <w:p>
            <w:pPr>
              <w:jc w:val="both"/>
            </w:pPr>
            <w:r>
              <w:rPr>
                <w:sz w:val="19"/>
              </w:rPr>
              <w:t xml:space="preserve">La liste des références bibliographiques ne comporte qu'environ 17 entrées, alors que la discussion (très étoffée) mobilise une trentaine de citations auteur-année </w:t>
            </w:r>
            <w:r>
              <w:rPr>
                <w:b/>
                <w:sz w:val="19"/>
              </w:rPr>
              <w:t>sans entrée correspondante</w:t>
            </w:r>
            <w:r>
              <w:rPr>
                <w:sz w:val="19"/>
              </w:rPr>
              <w:t xml:space="preserve"> dans la liste. Un jury vérifie systématiquement cette correspondance. Compléter la bibliographie est la priorité n° 1.</w:t>
            </w:r>
          </w:p>
        </w:tc>
      </w:tr>
    </w:tbl>
    <w:p>
      <w:pPr>
        <w:spacing w:after="40"/>
      </w:pPr>
    </w:p>
    <w:p>
      <w:pPr>
        <w:jc w:val="both"/>
      </w:pPr>
      <w:r>
        <w:rPr>
          <w:sz w:val="22"/>
        </w:rPr>
        <w:t>Références citées dans le texte mais absentes de la liste (à ajouter, à partir des sources originales déjà consultées) :</w:t>
      </w:r>
    </w:p>
    <w:p>
      <w:pPr>
        <w:pStyle w:val="ListBullet"/>
        <w:jc w:val="both"/>
      </w:pPr>
      <w:r>
        <w:rPr>
          <w:sz w:val="21"/>
        </w:rPr>
        <w:t>Carrière (2002) ; Jagoret et al. (2014, 2021) ; Fabrice &amp; Happi (2024) ; Vermeulen et al. (2011).</w:t>
      </w:r>
    </w:p>
    <w:p>
      <w:pPr>
        <w:pStyle w:val="ListBullet"/>
        <w:jc w:val="both"/>
      </w:pPr>
      <w:r>
        <w:rPr>
          <w:sz w:val="21"/>
        </w:rPr>
        <w:t>Fomekong et al. (2023) ; Sonwa et al. (2007) ; Zapfack et al. (2016) ; Gonmadje et al. (2011) ; Legonou et al. (2018) ; Messie (2007).</w:t>
      </w:r>
    </w:p>
    <w:p>
      <w:pPr>
        <w:pStyle w:val="ListBullet"/>
        <w:jc w:val="both"/>
      </w:pPr>
      <w:r>
        <w:rPr>
          <w:sz w:val="21"/>
        </w:rPr>
        <w:t>Michon (2015) ; De Foresta et al. (2013) ; Picard &amp; Gourlet-Fleury (2008) ; Roques et al. (2019) ; Tchaleu et al. (2022) ; Borotou-Koro et al. (2025) ; Mapongmetsem et al. (2016) ; Sheil et al. (2000).</w:t>
      </w:r>
    </w:p>
    <w:p>
      <w:pPr>
        <w:pStyle w:val="ListBullet"/>
        <w:jc w:val="both"/>
      </w:pPr>
      <w:r>
        <w:rPr>
          <w:sz w:val="21"/>
        </w:rPr>
        <w:t>Ingram (2014) ; Awono et al. (2013, 2016) ; Tchatat et al. (2002) ; Mezogue &amp; Julve (2007) ; PND-PFNL (2024) ; COMIFAC (2011).</w:t>
      </w:r>
    </w:p>
    <w:p>
      <w:pPr>
        <w:jc w:val="both"/>
      </w:pPr>
      <w:r>
        <w:rPr>
          <w:sz w:val="22"/>
        </w:rPr>
        <w:t>Par ailleurs : compléter les entrées fragmentaires « Farichon et al., 1998 », « Phillips et Gentry, 1993 ; Rossato et al., 1999 » et « Schrauf et Sanchez, 2008 » (titres, revues, éditeurs manquants) ; lever l'ambiguïté sur les millésimes COMIFAC (2010 dans la liste, 2011 dans le texte).</w:t>
      </w:r>
    </w:p>
    <w:tbl>
      <w:tblPr>
        <w:tblStyle w:val="TableGrid"/>
        <w:tblW w:type="auto" w:w="0"/>
        <w:tblLook w:firstColumn="1" w:firstRow="1" w:lastColumn="0" w:lastRow="0" w:noHBand="0" w:noVBand="1" w:val="04A0"/>
      </w:tblPr>
      <w:tblGrid>
        <w:gridCol w:w="9632"/>
      </w:tblGrid>
      <w:tr>
        <w:tc>
          <w:tcPr>
            <w:tcW w:type="dxa" w:w="9632"/>
            <w:shd w:val="clear" w:fill="FDF1E7"/>
          </w:tcPr>
          <w:p>
            <w:r>
              <w:rPr>
                <w:rFonts w:ascii="Calibri" w:hAnsi="Calibri"/>
                <w:b/>
                <w:color w:val="EA580C"/>
                <w:sz w:val="18"/>
              </w:rPr>
              <w:t>Vérification des données comparatives de la discussion</w:t>
            </w:r>
          </w:p>
          <w:p>
            <w:pPr>
              <w:jc w:val="both"/>
            </w:pPr>
            <w:r>
              <w:rPr>
                <w:sz w:val="19"/>
              </w:rPr>
              <w:t xml:space="preserve">Plusieurs chiffres comparatifs cités dans la discussion (p. ex. « 4 058 arbres, 145 espèces » au Centre-Cameroun ; « Messie, 2007 : 54 espèces » ; « Legonou et al., 2018 : H' = 1,92 » ; « Borotou-Koro et al., 2025 ») proviennent de sources externes qui </w:t>
            </w:r>
            <w:r>
              <w:rPr>
                <w:b/>
                <w:sz w:val="19"/>
              </w:rPr>
              <w:t>n'ont pas pu être vérifiées</w:t>
            </w:r>
            <w:r>
              <w:rPr>
                <w:sz w:val="19"/>
              </w:rPr>
              <w:t xml:space="preserve"> dans le cadre de cet audit. L'auteure doit s'assurer que ces valeurs et ces références sont exactes et vérifiables avant le dépôt, conformément à l'exigence de non-invention.</w:t>
            </w:r>
          </w:p>
        </w:tc>
      </w:tr>
    </w:tbl>
    <w:p>
      <w:pPr>
        <w:spacing w:after="40"/>
      </w:pPr>
    </w:p>
    <w:p>
      <w:pPr>
        <w:keepNext/>
        <w:spacing w:before="180" w:after="80"/>
      </w:pPr>
      <w:r>
        <w:rPr>
          <w:rFonts w:ascii="Calibri" w:hAnsi="Calibri"/>
          <w:b/>
          <w:color w:val="0A8A75"/>
          <w:sz w:val="24"/>
        </w:rPr>
        <w:t>B.2 Données à compléter ou vérifier dans la base</w:t>
      </w:r>
    </w:p>
    <w:p>
      <w:pPr>
        <w:keepNext/>
        <w:spacing w:before="160" w:after="40"/>
      </w:pPr>
      <w:r>
        <w:rPr>
          <w:rFonts w:ascii="Calibri" w:hAnsi="Calibri"/>
          <w:b/>
          <w:color w:val="0A1628"/>
          <w:sz w:val="19"/>
        </w:rPr>
        <w:t>Tableau B1. Données à compléter ou vérifier</w:t>
      </w:r>
    </w:p>
    <w:tbl>
      <w:tblPr>
        <w:tblStyle w:val="TableGrid"/>
        <w:tblW w:type="auto" w:w="0"/>
        <w:jc w:val="center"/>
        <w:tblLook w:firstColumn="1" w:firstRow="1" w:lastColumn="0" w:lastRow="0" w:noHBand="0" w:noVBand="1" w:val="04A0"/>
      </w:tblPr>
      <w:tblGrid>
        <w:gridCol w:w="4816"/>
        <w:gridCol w:w="4816"/>
      </w:tblGrid>
      <w:tr>
        <w:tc>
          <w:tcPr>
            <w:tcW w:type="dxa" w:w="2551"/>
            <w:shd w:val="clear" w:fill="0A1628"/>
          </w:tcPr>
          <w:p>
            <w:pPr>
              <w:jc w:val="center"/>
            </w:pPr>
            <w:r>
              <w:rPr>
                <w:rFonts w:ascii="Calibri" w:hAnsi="Calibri"/>
                <w:b/>
                <w:color w:val="FFFFFF"/>
                <w:sz w:val="17"/>
              </w:rPr>
              <w:t>Élément</w:t>
            </w:r>
          </w:p>
        </w:tc>
        <w:tc>
          <w:tcPr>
            <w:tcW w:type="dxa" w:w="6236"/>
            <w:shd w:val="clear" w:fill="0A1628"/>
          </w:tcPr>
          <w:p>
            <w:pPr>
              <w:jc w:val="center"/>
            </w:pPr>
            <w:r>
              <w:rPr>
                <w:rFonts w:ascii="Calibri" w:hAnsi="Calibri"/>
                <w:b/>
                <w:color w:val="FFFFFF"/>
                <w:sz w:val="17"/>
              </w:rPr>
              <w:t>Action recommandée</w:t>
            </w:r>
          </w:p>
        </w:tc>
      </w:tr>
      <w:tr>
        <w:tc>
          <w:tcPr>
            <w:tcW w:type="dxa" w:w="2551"/>
          </w:tcPr>
          <w:p>
            <w:pPr>
              <w:jc w:val="left"/>
            </w:pPr>
            <w:r>
              <w:rPr>
                <w:rFonts w:ascii="Calibri" w:hAnsi="Calibri"/>
                <w:sz w:val="16"/>
              </w:rPr>
              <w:t>Type de culture du ménage ID29</w:t>
            </w:r>
          </w:p>
        </w:tc>
        <w:tc>
          <w:tcPr>
            <w:tcW w:type="dxa" w:w="6236"/>
          </w:tcPr>
          <w:p>
            <w:pPr>
              <w:jc w:val="left"/>
            </w:pPr>
            <w:r>
              <w:rPr>
                <w:rFonts w:ascii="Calibri" w:hAnsi="Calibri"/>
                <w:sz w:val="16"/>
              </w:rPr>
              <w:t>Cellule vide — compléter la modalité (cacao+vivrier ou vivrier).</w:t>
            </w:r>
          </w:p>
        </w:tc>
      </w:tr>
      <w:tr>
        <w:tc>
          <w:tcPr>
            <w:tcW w:type="dxa" w:w="2551"/>
            <w:shd w:val="clear" w:fill="F1F5F9"/>
          </w:tcPr>
          <w:p>
            <w:pPr>
              <w:jc w:val="left"/>
            </w:pPr>
            <w:r>
              <w:rPr>
                <w:rFonts w:ascii="Calibri" w:hAnsi="Calibri"/>
                <w:sz w:val="16"/>
              </w:rPr>
              <w:t>Main-d'œuvre extérieure du ménage ID23</w:t>
            </w:r>
          </w:p>
        </w:tc>
        <w:tc>
          <w:tcPr>
            <w:tcW w:type="dxa" w:w="6236"/>
            <w:shd w:val="clear" w:fill="F1F5F9"/>
          </w:tcPr>
          <w:p>
            <w:pPr>
              <w:jc w:val="left"/>
            </w:pPr>
            <w:r>
              <w:rPr>
                <w:rFonts w:ascii="Calibri" w:hAnsi="Calibri"/>
                <w:sz w:val="16"/>
              </w:rPr>
              <w:t>Non renseignée — compléter Oui/Non.</w:t>
            </w:r>
          </w:p>
        </w:tc>
      </w:tr>
      <w:tr>
        <w:tc>
          <w:tcPr>
            <w:tcW w:type="dxa" w:w="2551"/>
          </w:tcPr>
          <w:p>
            <w:pPr>
              <w:jc w:val="left"/>
            </w:pPr>
            <w:r>
              <w:rPr>
                <w:rFonts w:ascii="Calibri" w:hAnsi="Calibri"/>
                <w:sz w:val="16"/>
              </w:rPr>
              <w:t>Fiches Djansang ID35 et ID38</w:t>
            </w:r>
          </w:p>
        </w:tc>
        <w:tc>
          <w:tcPr>
            <w:tcW w:type="dxa" w:w="6236"/>
          </w:tcPr>
          <w:p>
            <w:pPr>
              <w:jc w:val="left"/>
            </w:pPr>
            <w:r>
              <w:rPr>
                <w:rFonts w:ascii="Calibri" w:hAnsi="Calibri"/>
                <w:sz w:val="16"/>
              </w:rPr>
              <w:t>Somme autoconsommation + vente exprimée en Combo = double de la quantité collectée en Combo (confusion probable litre/Combo). Vérifier.</w:t>
            </w:r>
          </w:p>
        </w:tc>
      </w:tr>
      <w:tr>
        <w:tc>
          <w:tcPr>
            <w:tcW w:type="dxa" w:w="2551"/>
            <w:shd w:val="clear" w:fill="F1F5F9"/>
          </w:tcPr>
          <w:p>
            <w:pPr>
              <w:jc w:val="left"/>
            </w:pPr>
            <w:r>
              <w:rPr>
                <w:rFonts w:ascii="Calibri" w:hAnsi="Calibri"/>
                <w:sz w:val="16"/>
              </w:rPr>
              <w:t>Non-réponses quantitatives</w:t>
            </w:r>
          </w:p>
        </w:tc>
        <w:tc>
          <w:tcPr>
            <w:tcW w:type="dxa" w:w="6236"/>
            <w:shd w:val="clear" w:fill="F1F5F9"/>
          </w:tcPr>
          <w:p>
            <w:pPr>
              <w:jc w:val="left"/>
            </w:pPr>
            <w:r>
              <w:rPr>
                <w:rFonts w:ascii="Calibri" w:hAnsi="Calibri"/>
                <w:sz w:val="16"/>
              </w:rPr>
              <w:t>PFNL déclaré collecté mais fiche quantitative vide : Mango (ID28), Rondelle (ID15), Mbalaka/Djansang (ID12), Moabi (ID12, ID15). Traiter comme valeurs manquantes, non comme zéro.</w:t>
            </w:r>
          </w:p>
        </w:tc>
      </w:tr>
      <w:tr>
        <w:tc>
          <w:tcPr>
            <w:tcW w:type="dxa" w:w="2551"/>
          </w:tcPr>
          <w:p>
            <w:pPr>
              <w:jc w:val="left"/>
            </w:pPr>
            <w:r>
              <w:rPr>
                <w:rFonts w:ascii="Calibri" w:hAnsi="Calibri"/>
                <w:sz w:val="16"/>
              </w:rPr>
              <w:t>Superficies des agroforêts</w:t>
            </w:r>
          </w:p>
        </w:tc>
        <w:tc>
          <w:tcPr>
            <w:tcW w:type="dxa" w:w="6236"/>
          </w:tcPr>
          <w:p>
            <w:pPr>
              <w:jc w:val="left"/>
            </w:pPr>
            <w:r>
              <w:rPr>
                <w:rFonts w:ascii="Calibri" w:hAnsi="Calibri"/>
                <w:sz w:val="16"/>
              </w:rPr>
              <w:t>Les superficies totales utilisées pour la densité globale (3,98 / 7,25 / 18,36 / 36,9 ha) sont supérieures à la somme des superficies de TUT de la feuille « Superficie des TUT » (3,92 / 6,93 / 17,36 / 36,75 ha). En conséquence, les proportions globales de TUT du mémoire somment à 97,7 % et non à 100 %. Harmoniser les deux sources et préciser la surface de référence.</w:t>
            </w:r>
          </w:p>
        </w:tc>
      </w:tr>
      <w:tr>
        <w:tc>
          <w:tcPr>
            <w:tcW w:type="dxa" w:w="2551"/>
            <w:shd w:val="clear" w:fill="F1F5F9"/>
          </w:tcPr>
          <w:p>
            <w:pPr>
              <w:jc w:val="left"/>
            </w:pPr>
            <w:r>
              <w:rPr>
                <w:rFonts w:ascii="Calibri" w:hAnsi="Calibri"/>
                <w:sz w:val="16"/>
              </w:rPr>
              <w:t>Conversion des unités</w:t>
            </w:r>
          </w:p>
        </w:tc>
        <w:tc>
          <w:tcPr>
            <w:tcW w:type="dxa" w:w="6236"/>
            <w:shd w:val="clear" w:fill="F1F5F9"/>
          </w:tcPr>
          <w:p>
            <w:pPr>
              <w:jc w:val="left"/>
            </w:pPr>
            <w:r>
              <w:rPr>
                <w:rFonts w:ascii="Calibri" w:hAnsi="Calibri"/>
                <w:sz w:val="16"/>
              </w:rPr>
              <w:t>La note « 1 Combo = 2 litres = 1,6 kg » doit être appliquée de façon cohérente, notamment pour le Djansang et le Moabi exprimés en litres.</w:t>
            </w:r>
          </w:p>
        </w:tc>
      </w:tr>
    </w:tbl>
    <w:p>
      <w:pPr>
        <w:keepNext/>
        <w:spacing w:before="180" w:after="80"/>
      </w:pPr>
      <w:r>
        <w:rPr>
          <w:rFonts w:ascii="Calibri" w:hAnsi="Calibri"/>
          <w:b/>
          <w:color w:val="0A8A75"/>
          <w:sz w:val="24"/>
        </w:rPr>
        <w:t>B.3 Cohérence rédactionnelle et éditoriale</w:t>
      </w:r>
    </w:p>
    <w:p>
      <w:pPr>
        <w:pStyle w:val="ListBullet"/>
        <w:jc w:val="both"/>
      </w:pPr>
      <w:r>
        <w:rPr>
          <w:sz w:val="21"/>
        </w:rPr>
        <w:t>Intégrer le résumé et l'abstract fournis (actuellement vides dans le mémoire).</w:t>
      </w:r>
    </w:p>
    <w:p>
      <w:pPr>
        <w:pStyle w:val="ListBullet"/>
        <w:jc w:val="both"/>
      </w:pPr>
      <w:r>
        <w:rPr>
          <w:sz w:val="21"/>
        </w:rPr>
        <w:t>Numérotation des figures et tableaux : corriger les doublons et sauts (une même « Figure 8 » désigne deux objets ; la numérotation passe de la Figure 16 à la Figure 17 sans Figure intermédiaire cohérente).</w:t>
      </w:r>
    </w:p>
    <w:p>
      <w:pPr>
        <w:pStyle w:val="ListBullet"/>
        <w:jc w:val="both"/>
      </w:pPr>
      <w:r>
        <w:rPr>
          <w:sz w:val="21"/>
        </w:rPr>
        <w:t>Vérifier l'appel de chaque tableau et figure dans le texte (chaque objet doit être cité avant d'apparaître).</w:t>
      </w:r>
    </w:p>
    <w:p>
      <w:pPr>
        <w:pStyle w:val="ListBullet"/>
        <w:jc w:val="both"/>
      </w:pPr>
      <w:r>
        <w:rPr>
          <w:sz w:val="21"/>
        </w:rPr>
        <w:t>Homogénéiser l'écriture des noms scientifiques (italique systématique) et des unités (FCFA, ha, m²/ha, ind./ha).</w:t>
      </w:r>
    </w:p>
    <w:p>
      <w:pPr>
        <w:keepNext/>
        <w:spacing w:before="180" w:after="80"/>
      </w:pPr>
      <w:r>
        <w:rPr>
          <w:rFonts w:ascii="Calibri" w:hAnsi="Calibri"/>
          <w:b/>
          <w:color w:val="0A8A75"/>
          <w:sz w:val="24"/>
        </w:rPr>
        <w:t>B.4 Limites méthodologiques à assumer explicitement</w:t>
      </w:r>
    </w:p>
    <w:p>
      <w:pPr>
        <w:pStyle w:val="ListBullet"/>
        <w:jc w:val="both"/>
      </w:pPr>
      <w:r>
        <w:rPr>
          <w:sz w:val="21"/>
        </w:rPr>
        <w:t xml:space="preserve">Échantillonnage </w:t>
      </w:r>
      <w:r>
        <w:rPr>
          <w:b/>
          <w:sz w:val="21"/>
        </w:rPr>
        <w:t>non probabiliste</w:t>
      </w:r>
      <w:r>
        <w:rPr>
          <w:sz w:val="21"/>
        </w:rPr>
        <w:t xml:space="preserve"> (ménages membres de GIC partenaires) : restreindre les généralisations à l'échelle de l'arrondissement.</w:t>
      </w:r>
    </w:p>
    <w:p>
      <w:pPr>
        <w:pStyle w:val="ListBullet"/>
        <w:jc w:val="both"/>
      </w:pPr>
      <w:r>
        <w:rPr>
          <w:sz w:val="21"/>
        </w:rPr>
        <w:t xml:space="preserve">Revenus estimés en </w:t>
      </w:r>
      <w:r>
        <w:rPr>
          <w:b/>
          <w:sz w:val="21"/>
        </w:rPr>
        <w:t>valeur brute</w:t>
      </w:r>
      <w:r>
        <w:rPr>
          <w:sz w:val="21"/>
        </w:rPr>
        <w:t xml:space="preserve"> (chiffre d'affaires), sans déduction des coûts de collecte et de transport ni prise en compte de la variabilité inter-annuelle : le préciser comme limite.</w:t>
      </w:r>
    </w:p>
    <w:p>
      <w:pPr>
        <w:pStyle w:val="ListBullet"/>
        <w:jc w:val="both"/>
      </w:pPr>
      <w:r>
        <w:rPr>
          <w:sz w:val="21"/>
        </w:rPr>
        <w:t xml:space="preserve">Diversité évaluée sur les seuls ligneux de </w:t>
      </w:r>
      <w:r>
        <w:rPr>
          <w:b/>
          <w:sz w:val="21"/>
        </w:rPr>
        <w:t>DHP ≥ 10 cm</w:t>
      </w:r>
      <w:r>
        <w:rPr>
          <w:sz w:val="21"/>
        </w:rPr>
        <w:t xml:space="preserve"> : la régénération (DHP &lt; 10 cm) et les herbacées ne sont pas prises en compte.</w:t>
      </w:r>
    </w:p>
    <w:p>
      <w:pPr>
        <w:pStyle w:val="ListBullet"/>
        <w:jc w:val="both"/>
      </w:pPr>
      <w:r>
        <w:rPr>
          <w:sz w:val="21"/>
        </w:rPr>
        <w:t>Effectifs réduits de certains sous-groupes (ethnie Baka n = 5 ; localité de Malen n = 1) : interpréter les comparaisons correspondantes avec prudence.</w:t>
      </w:r>
    </w:p>
    <w:p>
      <w:pPr>
        <w:keepNext/>
        <w:spacing w:before="180" w:after="80"/>
      </w:pPr>
      <w:r>
        <w:rPr>
          <w:rFonts w:ascii="Calibri" w:hAnsi="Calibri"/>
          <w:b/>
          <w:color w:val="0A8A75"/>
          <w:sz w:val="24"/>
        </w:rPr>
        <w:t>B.5 Analyses statistiques complémentaires disponibles (facultatif)</w:t>
      </w:r>
    </w:p>
    <w:p>
      <w:pPr>
        <w:jc w:val="both"/>
      </w:pPr>
      <w:r>
        <w:rPr>
          <w:sz w:val="22"/>
        </w:rPr>
        <w:t>Au-delà des statistiques descriptives du mémoire, des analyses inférentielles ont été produites (document Excel et Résultats) et peuvent enrichir la discussion : tests de Mann-Whitney et Kruskal-Wallis sur les déterminants du revenu PFNL (ancienneté : p &lt; 0,001 ; localité : p = 0,011 ; ethnie : p = 0,003), corrélation de Spearman entre diversité du panier de PFNL et revenu (ρ = 0,52 ; p &lt; 0,001). Leur intégration renforcerait la robustesse statistique du travail devant le jury.</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