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OPPORTUNITÉS À LA VALORISATION DES PRODUITS FORESTIERS NON LIGNEUX DANS L'ARRONDISSEMENT DE LOMIÉ</w:t>
      </w:r>
    </w:p>
    <w:p>
      <w:pPr>
        <w:jc w:val="both"/>
      </w:pPr>
      <w:r>
        <w:rPr>
          <w:sz w:val="22"/>
        </w:rPr>
        <w:t>Au-delà des contraintes documentées (§ précédent), la valorisation des PFNL dans l'arrondissement de Lomié s'appuie sur un ensemble d'opportunités réelles, issues à la fois de l'organisation sociale des collecteurs, d'appuis techniques et institutionnels récents, et du contexte écologique et économique de la zone. Ces opportunités, identifiées à partir des observations de terrain et croisées avec les résultats de l'enquête, dessinent des leviers concrets de développement de la filière.</w:t>
      </w:r>
    </w:p>
    <w:p>
      <w:pPr>
        <w:keepNext/>
        <w:spacing w:before="240" w:after="120"/>
      </w:pPr>
      <w:r>
        <w:rPr>
          <w:rFonts w:ascii="Calibri" w:hAnsi="Calibri"/>
          <w:b/>
          <w:color w:val="0A1628"/>
          <w:sz w:val="28"/>
        </w:rPr>
        <w:t>1. Un capital social et organisationnel structurant</w:t>
      </w:r>
    </w:p>
    <w:p>
      <w:pPr>
        <w:jc w:val="both"/>
      </w:pPr>
      <w:r>
        <w:rPr>
          <w:sz w:val="22"/>
        </w:rPr>
        <w:t>Le premier atout de l'arrondissement réside dans l'existence d'un tissu associatif actif. Les ménages enquêtés sont organisés au sein de quatre structures — les GIC Mpoula Mepeh (Zoulabot I), Lumière Plus et PLACKO (Kongo) et l'Association Femmes Dynamiques (Eschambior) — dont la collaboration croissante crée une masse critique pour la collecte et la commercialisation groupées. Cette dynamique est renforcée par l'</w:t>
      </w:r>
      <w:r>
        <w:rPr>
          <w:b/>
          <w:sz w:val="22"/>
        </w:rPr>
        <w:t>appartenance à la Coopérative Centre Vert de Lomié</w:t>
      </w:r>
      <w:r>
        <w:rPr>
          <w:sz w:val="22"/>
        </w:rPr>
        <w:t>, structure faîtière qui offre un cadre formel de mise en marché, de mutualisation des moyens et de négociation collective des prix face aux acheteurs.</w:t>
      </w:r>
    </w:p>
    <w:p>
      <w:pPr>
        <w:jc w:val="both"/>
      </w:pPr>
      <w:r>
        <w:rPr>
          <w:sz w:val="22"/>
        </w:rPr>
        <w:t>L'importance de ce capital social n'est pas théorique : l'analyse des déterminants du revenu a montré que l'</w:t>
      </w:r>
      <w:r>
        <w:rPr>
          <w:b/>
          <w:sz w:val="22"/>
        </w:rPr>
        <w:t>appartenance au GIC influence significativement le revenu PFNL</w:t>
      </w:r>
      <w:r>
        <w:rPr>
          <w:sz w:val="22"/>
        </w:rPr>
        <w:t xml:space="preserve"> (test de Kruskal-Wallis : H = 11,14 ; p = 0,011), les ménages du GIC PLACKO enregistrant le revenu moyen le plus élevé (815 036 FCFA) et ceux les moins organisés le plus faible. L'organisation collective apparaît donc empiriquement comme un facteur de performance économique, ce qui confère à la Coopérative Centre Vert et à la collaboration inter-GIC un rôle stratégique de premier plan.</w:t>
      </w:r>
    </w:p>
    <w:p>
      <w:pPr>
        <w:keepNext/>
        <w:spacing w:before="240" w:after="120"/>
      </w:pPr>
      <w:r>
        <w:rPr>
          <w:rFonts w:ascii="Calibri" w:hAnsi="Calibri"/>
          <w:b/>
          <w:color w:val="0A1628"/>
          <w:sz w:val="28"/>
        </w:rPr>
        <w:t>2. Des appuis techniques et logistiques déterminants</w:t>
      </w:r>
    </w:p>
    <w:p>
      <w:pPr>
        <w:jc w:val="both"/>
      </w:pPr>
      <w:r>
        <w:rPr>
          <w:sz w:val="22"/>
        </w:rPr>
        <w:t>La filière bénéficie d'appuis externes récents qui répondent directement aux contraintes majeures identifiées par les ménages. L'</w:t>
      </w:r>
      <w:r>
        <w:rPr>
          <w:b/>
          <w:sz w:val="22"/>
        </w:rPr>
        <w:t>appui du projet GEF 7</w:t>
      </w:r>
      <w:r>
        <w:rPr>
          <w:sz w:val="22"/>
        </w:rPr>
        <w:t xml:space="preserve"> (Fonds pour l'environnement mondial) apporte un financement et un accompagnement technique dédiés à la valorisation durable des ressources forestières. Deux équipements structurants ont par ailleurs été mis à disposition des collecteurs :</w:t>
      </w:r>
    </w:p>
    <w:p>
      <w:pPr>
        <w:pStyle w:val="ListBullet"/>
        <w:jc w:val="both"/>
      </w:pPr>
      <w:r>
        <w:rPr>
          <w:sz w:val="21"/>
        </w:rPr>
        <w:t xml:space="preserve">une </w:t>
      </w:r>
      <w:r>
        <w:rPr>
          <w:b/>
          <w:sz w:val="21"/>
        </w:rPr>
        <w:t>concasseuse de Djansang</w:t>
      </w:r>
      <w:r>
        <w:rPr>
          <w:sz w:val="21"/>
        </w:rPr>
        <w:t xml:space="preserve">, qui mécanise l'étape de décorticage-concassage des graines de </w:t>
      </w:r>
      <w:r>
        <w:rPr>
          <w:i/>
          <w:sz w:val="21"/>
        </w:rPr>
        <w:t>Ricinodendron heudelotii</w:t>
      </w:r>
      <w:r>
        <w:rPr>
          <w:sz w:val="21"/>
        </w:rPr>
        <w:t>, réduit la pénibilité (traditionnellement assumée par les femmes), augmente la productivité et améliore la qualité et donc la valeur marchande du produit ;</w:t>
      </w:r>
    </w:p>
    <w:p>
      <w:pPr>
        <w:pStyle w:val="ListBullet"/>
        <w:jc w:val="both"/>
      </w:pPr>
      <w:r>
        <w:rPr>
          <w:sz w:val="21"/>
        </w:rPr>
        <w:t xml:space="preserve">un </w:t>
      </w:r>
      <w:r>
        <w:rPr>
          <w:b/>
          <w:sz w:val="21"/>
        </w:rPr>
        <w:t>tricycle</w:t>
      </w:r>
      <w:r>
        <w:rPr>
          <w:sz w:val="21"/>
        </w:rPr>
        <w:t>, qui répond directement à la contrainte la plus citée après la commercialisation — le transport — en facilitant l'évacuation des produits depuis les zones de collecte enclavées vers les points de vente.</w:t>
      </w:r>
    </w:p>
    <w:p>
      <w:pPr>
        <w:jc w:val="both"/>
      </w:pPr>
      <w:r>
        <w:rPr>
          <w:sz w:val="22"/>
        </w:rPr>
        <w:t xml:space="preserve">À ces appuis s'ajoute la sécurisation de l'accès à la ressource forestière, principal gisement de PFNL de la zone : les ménages collectent majoritairement en forêt (86,0 %), et les </w:t>
      </w:r>
      <w:r>
        <w:rPr>
          <w:b/>
          <w:sz w:val="22"/>
        </w:rPr>
        <w:t>Unités Forestières d'Aménagement (UFA) constituent la première zone de collecte (25 mentions)</w:t>
      </w:r>
      <w:r>
        <w:rPr>
          <w:sz w:val="22"/>
        </w:rPr>
        <w:t>. L'</w:t>
      </w:r>
      <w:r>
        <w:rPr>
          <w:b/>
          <w:sz w:val="22"/>
        </w:rPr>
        <w:t>accompagnement de Pallisco dans le transport vers les UFA</w:t>
      </w:r>
      <w:r>
        <w:rPr>
          <w:sz w:val="22"/>
        </w:rPr>
        <w:t xml:space="preserve"> et l'</w:t>
      </w:r>
      <w:r>
        <w:rPr>
          <w:b/>
          <w:sz w:val="22"/>
        </w:rPr>
        <w:t>accès accordé par les concessionnaires SEFECAM et DINO et Fils</w:t>
      </w:r>
      <w:r>
        <w:rPr>
          <w:sz w:val="22"/>
        </w:rPr>
        <w:t xml:space="preserve"> à leurs assiettes de coupe lèvent une incertitude foncière et logistique déterminante. Ce résultat est corroboré par l'analyse statistique : les ménages ayant accès à la forêt tirent un revenu significativement supérieur à ceux limités au village (lieux de collecte : p = 0,050 ; effet confirmé en analyse multivariée).</w:t>
      </w:r>
    </w:p>
    <w:p>
      <w:pPr>
        <w:keepNext/>
        <w:spacing w:before="240" w:after="120"/>
      </w:pPr>
      <w:r>
        <w:rPr>
          <w:rFonts w:ascii="Calibri" w:hAnsi="Calibri"/>
          <w:b/>
          <w:color w:val="0A1628"/>
          <w:sz w:val="28"/>
        </w:rPr>
        <w:t>3. Impact potentiel sur les revenus des ménages</w:t>
      </w:r>
    </w:p>
    <w:p>
      <w:pPr>
        <w:jc w:val="both"/>
      </w:pPr>
      <w:r>
        <w:rPr>
          <w:sz w:val="22"/>
        </w:rPr>
        <w:t>La convergence de ces opportunités a un impact potentiel direct et mesurable sur les revenus. Actuellement, les cinq PFNL majeurs génèrent un revenu moyen de 555 140 FCFA par ménage, mais ce revenu est fortement inégal (coefficient de variation de 71 %) et bridé par trois goulots d'étranglement : la faiblesse du pouvoir de négociation, le coût du transport et le faible niveau de transformation. Or, chacune des opportunités identifiées agit sur l'un de ces goulots : la Coopérative Centre Vert et la vente groupée renforcent le pouvoir de négociation et régularisent les débouchés ; le tricycle réduit le coût du transport ; la concasseuse accroît la valeur ajoutée par la transformation. En levant simultanément ces contraintes, la structuration de la filière peut transformer un revenu d'appoint irrégulier en un revenu complémentaire stabilisé, en particulier pour les femmes et les ménages monoparentaux vulnérables qui affectent prioritairement ces revenus à la scolarisation des enfants (96 %), à l'alimentation (48 %) et à la santé (24 %).</w:t>
      </w:r>
    </w:p>
    <w:p>
      <w:pPr>
        <w:keepNext/>
        <w:spacing w:before="240" w:after="120"/>
      </w:pPr>
      <w:r>
        <w:rPr>
          <w:rFonts w:ascii="Calibri" w:hAnsi="Calibri"/>
          <w:b/>
          <w:color w:val="0A1628"/>
          <w:sz w:val="28"/>
        </w:rPr>
        <w:t>4. Contribution à la gestion durable des ressources</w:t>
      </w:r>
    </w:p>
    <w:p>
      <w:pPr>
        <w:jc w:val="both"/>
      </w:pPr>
      <w:r>
        <w:rPr>
          <w:sz w:val="22"/>
        </w:rPr>
        <w:t>Au-delà de l'enjeu de revenu, ces opportunités contribuent à la gestion durable des ressources. La formalisation des collecteurs au sein de la coopérative et des GIC facilite l'application de règles de collecte durable et la traçabilité des produits, conformément aux orientations du Plan National de Développement des PFNL (2024) et de la COMIFAC (2011). L'accès organisé aux UFA, encadré par les concessionnaires, substitue à une collecte informelle et incontrôlée un prélèvement négocié et potentiellement suivi. Enfin, la valorisation économique des arbres à PFNL (Mango, Djansang, Moabi, Mbalaka) renforce l'intérêt des ménages à les conserver au sein de leurs agroforêts — logique de « conservation par l'usage » déjà observée dans la structure floristique des agroforêts étudiées, où seize espèces à haute valeur d'usage sont maintenues dans les quatre sites.</w:t>
      </w:r>
    </w:p>
    <w:p>
      <w:pPr>
        <w:keepNext/>
        <w:spacing w:before="240" w:after="120"/>
      </w:pPr>
      <w:r>
        <w:rPr>
          <w:rFonts w:ascii="Calibri" w:hAnsi="Calibri"/>
          <w:b/>
          <w:color w:val="0A1628"/>
          <w:sz w:val="28"/>
        </w:rPr>
        <w:t>5. Intérêt économique, social et environnemental</w:t>
      </w:r>
    </w:p>
    <w:p>
      <w:pPr>
        <w:jc w:val="both"/>
      </w:pPr>
      <w:r>
        <w:rPr>
          <w:sz w:val="22"/>
        </w:rPr>
        <w:t xml:space="preserve">Sur le plan </w:t>
      </w:r>
      <w:r>
        <w:rPr>
          <w:b/>
          <w:sz w:val="22"/>
        </w:rPr>
        <w:t>économique</w:t>
      </w:r>
      <w:r>
        <w:rPr>
          <w:sz w:val="22"/>
        </w:rPr>
        <w:t xml:space="preserve">, la filière PFNL diversifie les sources de revenu des ménages et amortit la dépendance à la cacaoculture, exposée à la volatilité des cours mondiaux. Sur le plan </w:t>
      </w:r>
      <w:r>
        <w:rPr>
          <w:b/>
          <w:sz w:val="22"/>
        </w:rPr>
        <w:t>social</w:t>
      </w:r>
      <w:r>
        <w:rPr>
          <w:sz w:val="22"/>
        </w:rPr>
        <w:t xml:space="preserve">, elle valorise le rôle central des femmes (72 % des collecteurs) et peut, si sa gouvernance est équitable, améliorer l'insertion économique des populations autochtones Baka, aujourd'hui cantonnées à un rôle de main-d'œuvre. Sur le plan </w:t>
      </w:r>
      <w:r>
        <w:rPr>
          <w:b/>
          <w:sz w:val="22"/>
        </w:rPr>
        <w:t>environnemental</w:t>
      </w:r>
      <w:r>
        <w:rPr>
          <w:sz w:val="22"/>
        </w:rPr>
        <w:t>, elle crée une incitation économique à la conservation de la flore ligneuse des agroforêts et des grands arbres semenciers, renforçant la fonction de connectivité écologique de ces systèmes en périphérie de la Réserve de Biosphère du Dja, au cœur du paysage TRIDOM.</w:t>
      </w:r>
    </w:p>
    <w:p>
      <w:pPr>
        <w:keepNext/>
        <w:spacing w:before="240" w:after="120"/>
      </w:pPr>
      <w:r>
        <w:rPr>
          <w:rFonts w:ascii="Calibri" w:hAnsi="Calibri"/>
          <w:b/>
          <w:color w:val="0A1628"/>
          <w:sz w:val="28"/>
        </w:rPr>
        <w:t>6. Perspectives de développement de la filière</w:t>
      </w:r>
    </w:p>
    <w:p>
      <w:pPr>
        <w:jc w:val="both"/>
      </w:pPr>
      <w:r>
        <w:rPr>
          <w:sz w:val="22"/>
        </w:rPr>
        <w:t>Ces opportunités ouvrent des perspectives concrètes : extension du modèle coopératif à d'autres PFNL et à d'autres villages ; installation d'unités de transformation et de stockage de proximité ; contractualisation avec les marchés régionaux (Lomié, Abong-Mbang, Bertoua, Yaoundé) ; domestication des espèces à PFNL prioritaires au sein des agroforêts pour sécuriser l'approvisionnement ; et mobilisation des mécanismes de paiement pour services environnementaux, à partir des données dendrométriques déjà disponibles. La fenêtre d'opportunité ouverte par la convergence des appuis (GEF 7, coopérative, équipements, accès sécurisé) doit être saisie pour faire passer la filière d'une logique de cueillette individuelle à une logique de valorisation collective, organisée et durable.</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