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DISCUSSION — OPPORTUNITÉS À LA VALORISATION DES PFNL</w:t>
      </w:r>
    </w:p>
    <w:p>
      <w:pPr>
        <w:jc w:val="both"/>
      </w:pPr>
      <w:r>
        <w:rPr>
          <w:sz w:val="22"/>
        </w:rPr>
        <w:t>Cette discussion confronte les opportunités identifiées à Lomié aux enseignements de la littérature scientifique sur la valorisation des PFNL au Cameroun, dans le Bassin du Congo et en Afrique centrale.</w:t>
      </w:r>
    </w:p>
    <w:p>
      <w:pPr>
        <w:keepNext/>
        <w:spacing w:before="240" w:after="120"/>
      </w:pPr>
      <w:r>
        <w:rPr>
          <w:rFonts w:ascii="Calibri" w:hAnsi="Calibri"/>
          <w:b/>
          <w:color w:val="0A1628"/>
          <w:sz w:val="28"/>
        </w:rPr>
        <w:t>1. L'organisation collective, levier reconnu mais inégalement effectif</w:t>
      </w:r>
    </w:p>
    <w:p>
      <w:pPr>
        <w:jc w:val="both"/>
      </w:pPr>
      <w:r>
        <w:rPr>
          <w:sz w:val="22"/>
        </w:rPr>
        <w:t>Le rôle déterminant de l'organisation collective observé à Lomié — l'appartenance au GIC étant significativement associée au revenu — converge avec un consensus fort de la littérature. Awono et al. (2013) font de la structuration des collecteurs et de la vente groupée la première recommandation pour une exploitation durable et rémunératrice des PFNL en Afrique centrale, et Ingram (2014) montre que la gouvernance des chaînes de valeur conditionne directement la durabilité des moyens d'existence tirés des PFNL au Cameroun. La dynamique de la Coopérative Centre Vert de Lomié s'inscrit dans cette logique. Une divergence mérite toutefois d'être soulignée : si la littérature insiste sur le potentiel des organisations, elle documente aussi la fragilité fréquente des coopératives de PFNL (faible capitalisation, dépendance aux projets, difficultés de gouvernance ; Ndoye et al., 1997). L'enjeu, à Lomié, sera donc la pérennisation de la coopérative au-delà de l'appui du projet GEF 7.</w:t>
      </w:r>
    </w:p>
    <w:p>
      <w:pPr>
        <w:keepNext/>
        <w:spacing w:before="240" w:after="120"/>
      </w:pPr>
      <w:r>
        <w:rPr>
          <w:rFonts w:ascii="Calibri" w:hAnsi="Calibri"/>
          <w:b/>
          <w:color w:val="0A1628"/>
          <w:sz w:val="28"/>
        </w:rPr>
        <w:t>2. La transformation et le transport, verrous classiques de la chaîne de valeur</w:t>
      </w:r>
    </w:p>
    <w:p>
      <w:pPr>
        <w:jc w:val="both"/>
      </w:pPr>
      <w:r>
        <w:rPr>
          <w:sz w:val="22"/>
        </w:rPr>
        <w:t xml:space="preserve">L'apport de la concasseuse de Djansang et du tricycle répond à des verrous identifiés de longue date. Ndoye et al. (1997) et Tchatat &amp; Ndoye (2006) montraient déjà que la faible transformation et les difficultés de transport constituent les principaux facteurs de perte de valeur des filières PFNL dans la zone forestière humide du Cameroun. La mécanisation du concassage du </w:t>
      </w:r>
      <w:r>
        <w:rPr>
          <w:i/>
          <w:sz w:val="22"/>
        </w:rPr>
        <w:t>Ricinodendron heudelotii</w:t>
      </w:r>
      <w:r>
        <w:rPr>
          <w:sz w:val="22"/>
        </w:rPr>
        <w:t xml:space="preserve"> rejoint les travaux de Tchoundjeu et al. (2006) sur l'intérêt de l'amélioration technologique et de la domestication participative des arbres fruitiers indigènes (dont </w:t>
      </w:r>
      <w:r>
        <w:rPr>
          <w:i/>
          <w:sz w:val="22"/>
        </w:rPr>
        <w:t>Irvingia gabonensis</w:t>
      </w:r>
      <w:r>
        <w:rPr>
          <w:sz w:val="22"/>
        </w:rPr>
        <w:t xml:space="preserve"> et </w:t>
      </w:r>
      <w:r>
        <w:rPr>
          <w:i/>
          <w:sz w:val="22"/>
        </w:rPr>
        <w:t>Ricinodendron heudelotii</w:t>
      </w:r>
      <w:r>
        <w:rPr>
          <w:sz w:val="22"/>
        </w:rPr>
        <w:t>) pour accroître la valeur ajoutée au niveau des producteurs. La convergence est nette : agir sur la transformation et la logistique est le moyen le plus direct d'améliorer les revenus des collecteurs.</w:t>
      </w:r>
    </w:p>
    <w:p>
      <w:pPr>
        <w:keepNext/>
        <w:spacing w:before="240" w:after="120"/>
      </w:pPr>
      <w:r>
        <w:rPr>
          <w:rFonts w:ascii="Calibri" w:hAnsi="Calibri"/>
          <w:b/>
          <w:color w:val="0A1628"/>
          <w:sz w:val="28"/>
        </w:rPr>
        <w:t>3. L'accès sécurisé à la ressource, une spécificité du contexte concessionnaire de l'Est</w:t>
      </w:r>
    </w:p>
    <w:p>
      <w:pPr>
        <w:jc w:val="both"/>
      </w:pPr>
      <w:r>
        <w:rPr>
          <w:sz w:val="22"/>
        </w:rPr>
        <w:t>L'accès à la ressource via les UFA (Pallisco, SEFECAM, DINO et Fils) constitue une particularité du contexte de Lomié, où le domaine forestier permanent (concessions) domine le paysage. Ce résultat — l'accès à la forêt étant un déterminant significatif du revenu — éclaire d'un jour concret les travaux de Levang et al. (2015) qui, précisément dans les régions de l'Est et du Sud-Cameroun, s'interrogeaient sur la rentabilité réelle de la cueillette et concluaient que celle-ci dépend étroitement de l'accès à des zones productives. Les accords avec les concessionnaires représentent ainsi un modèle de cohabitation entre exploitation forestière industrielle et valorisation communautaire des PFNL, en cohérence avec l'objectif de « concession 2.0 » du projet UE-TRIDOM et avec les orientations de la COMIFAC (2011) sur la participation des communautés à la gestion des ressources.</w:t>
      </w:r>
    </w:p>
    <w:p>
      <w:pPr>
        <w:keepNext/>
        <w:spacing w:before="240" w:after="120"/>
      </w:pPr>
      <w:r>
        <w:rPr>
          <w:rFonts w:ascii="Calibri" w:hAnsi="Calibri"/>
          <w:b/>
          <w:color w:val="0A1628"/>
          <w:sz w:val="28"/>
        </w:rPr>
        <w:t>4. Implications pour la valorisation durable des PFNL</w:t>
      </w:r>
    </w:p>
    <w:p>
      <w:pPr>
        <w:jc w:val="both"/>
      </w:pPr>
      <w:r>
        <w:rPr>
          <w:sz w:val="22"/>
        </w:rPr>
        <w:t xml:space="preserve">L'ensemble de ces convergences conforte une lecture : à Lomié, les opportunités ne relèvent pas d'un potentiel abstrait mais d'appuis ciblés sur les verrous réels de la filière (organisation, transformation, transport, accès). Leur articulation ouvre la voie à une valorisation durable, à condition que trois implications soient prises en compte : la </w:t>
      </w:r>
      <w:r>
        <w:rPr>
          <w:b/>
          <w:sz w:val="22"/>
        </w:rPr>
        <w:t>pérennisation institutionnelle</w:t>
      </w:r>
      <w:r>
        <w:rPr>
          <w:sz w:val="22"/>
        </w:rPr>
        <w:t xml:space="preserve"> de la coopérative au-delà des projets ; l'</w:t>
      </w:r>
      <w:r>
        <w:rPr>
          <w:b/>
          <w:sz w:val="22"/>
        </w:rPr>
        <w:t>équité</w:t>
      </w:r>
      <w:r>
        <w:rPr>
          <w:sz w:val="22"/>
        </w:rPr>
        <w:t xml:space="preserve"> de la répartition des bénéfices, notamment envers les femmes et les Baka ; et la </w:t>
      </w:r>
      <w:r>
        <w:rPr>
          <w:b/>
          <w:sz w:val="22"/>
        </w:rPr>
        <w:t>soutenabilité écologique</w:t>
      </w:r>
      <w:r>
        <w:rPr>
          <w:sz w:val="22"/>
        </w:rPr>
        <w:t xml:space="preserve"> du prélèvement, en particulier pour les espèces à croissance lente comme le Moabi (</w:t>
      </w:r>
      <w:r>
        <w:rPr>
          <w:i/>
          <w:sz w:val="22"/>
        </w:rPr>
        <w:t>Baillonella toxisperma</w:t>
      </w:r>
      <w:r>
        <w:rPr>
          <w:sz w:val="22"/>
        </w:rPr>
        <w:t>), dont la littérature souligne la vulnérabilité à la surexploitation. La valorisation économique et la conservation ne sont pas antagonistes : elles se renforcent lorsque la ressource conserve une valeur d'usage pour les ménages qui la gèrent.</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