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8" w:color="0FB69C" w:space="4"/>
        </w:pBdr>
      </w:pPr>
      <w:r>
        <w:rPr>
          <w:rFonts w:ascii="Calibri" w:hAnsi="Calibri"/>
          <w:b/>
          <w:color w:val="0A1628"/>
          <w:sz w:val="34"/>
        </w:rPr>
        <w:t>DISCUSSION — DIVERSITÉ DES TYPES D'UTILISATION DES TERRES (TUT) AU SEIN DES AGROFORÊTS DES MÉNAGES</w:t>
      </w:r>
    </w:p>
    <w:p>
      <w:pPr>
        <w:jc w:val="both"/>
      </w:pPr>
      <w:r>
        <w:rPr>
          <w:sz w:val="22"/>
        </w:rPr>
        <w:t>Cette discussion interprète la diversité des TUT identifiés dans les agroforêts des ménages de Lomié et la met en perspective avec les travaux menés au Cameroun et en Afrique centrale.</w:t>
      </w:r>
    </w:p>
    <w:p>
      <w:pPr>
        <w:keepNext/>
        <w:spacing w:before="240" w:after="120"/>
      </w:pPr>
      <w:r>
        <w:rPr>
          <w:rFonts w:ascii="Calibri" w:hAnsi="Calibri"/>
          <w:b/>
          <w:color w:val="0A1628"/>
          <w:sz w:val="28"/>
        </w:rPr>
        <w:t>1. Une mosaïque de quatre TUT caractéristique de l'agriculture itinérante</w:t>
      </w:r>
    </w:p>
    <w:p>
      <w:pPr>
        <w:jc w:val="both"/>
      </w:pPr>
      <w:r>
        <w:rPr>
          <w:sz w:val="22"/>
        </w:rPr>
        <w:t xml:space="preserve">Les agroforêts des ménages de Lomié s'organisent autour de quatre types d'utilisation des terres — cacaoyères, champs vivriers, jachères et extensions de cacao. Cette diversité de compartiments reproduit, à l'échelle de l'exploitation familiale, la </w:t>
      </w:r>
      <w:r>
        <w:rPr>
          <w:b/>
          <w:sz w:val="22"/>
        </w:rPr>
        <w:t>mosaïque paysagère de l'agriculture itinérante sur brûlis</w:t>
      </w:r>
      <w:r>
        <w:rPr>
          <w:sz w:val="22"/>
        </w:rPr>
        <w:t xml:space="preserve"> propre à la zone de forêt dense humide d'Afrique centrale, décrite par Carrière (2003) dans le Sud-Cameroun et par van Vliet et al. (2012) à l'échelle des fronts pionniers forestiers tropicaux. La coexistence, au sein d'un même bloc familial, de cultures pérennes (cacao), de cultures vivrières annuelles et de jachères à différents stades constitue le trait structurant de ces systèmes et le fondement de leur diversité fonctionnelle.</w:t>
      </w:r>
    </w:p>
    <w:p>
      <w:pPr>
        <w:keepNext/>
        <w:spacing w:before="240" w:after="120"/>
      </w:pPr>
      <w:r>
        <w:rPr>
          <w:rFonts w:ascii="Calibri" w:hAnsi="Calibri"/>
          <w:b/>
          <w:color w:val="0A1628"/>
          <w:sz w:val="28"/>
        </w:rPr>
        <w:t>2. Une diversité floristique inégalement répartie entre TUT</w:t>
      </w:r>
    </w:p>
    <w:p>
      <w:pPr>
        <w:jc w:val="both"/>
      </w:pPr>
      <w:r>
        <w:rPr>
          <w:sz w:val="22"/>
        </w:rPr>
        <w:t xml:space="preserve">L'analyse des indices de diversité par TUT montre que la richesse et la diversité floristiques ne se concentrent pas dans un compartiment unique : la diversité maximale se loge dans les champs vivriers de certaines agroforêts (Bibassa, Mekoul), dans la jachère d'autres (Ntié), et dans la cacaoyère et l'extension de cacao à Oshea. Ce résultat est cohérent avec les travaux de Sonwa et al. (2007) et de Saj et al. (2017), qui montrent que les cacaoyères d'Afrique centrale ne sont pas des systèmes appauvris mais de véritables </w:t>
      </w:r>
      <w:r>
        <w:rPr>
          <w:b/>
          <w:sz w:val="22"/>
        </w:rPr>
        <w:t>agroforêts multistrates</w:t>
      </w:r>
      <w:r>
        <w:rPr>
          <w:sz w:val="22"/>
        </w:rPr>
        <w:t xml:space="preserve"> susceptibles d'héberger une flore ligneuse diversifiée lorsque les producteurs y maintiennent des arbres d'ombrage utiles. À Lomié, l'indice de Shannon élevé des cacaoyères (jusqu'à H' = 3,09 à Bibassa) confirme ce statut d'agroforêt à part entière, et non de simple plantation.</w:t>
      </w:r>
    </w:p>
    <w:p>
      <w:pPr>
        <w:keepNext/>
        <w:spacing w:before="240" w:after="120"/>
      </w:pPr>
      <w:r>
        <w:rPr>
          <w:rFonts w:ascii="Calibri" w:hAnsi="Calibri"/>
          <w:b/>
          <w:color w:val="0A1628"/>
          <w:sz w:val="28"/>
        </w:rPr>
        <w:t>3. Les facteurs de la diversité des TUT : pratiques paysannes et gestion sélective</w:t>
      </w:r>
    </w:p>
    <w:p>
      <w:pPr>
        <w:jc w:val="both"/>
      </w:pPr>
      <w:r>
        <w:rPr>
          <w:sz w:val="22"/>
        </w:rPr>
        <w:t xml:space="preserve">La diversité observée résulte avant tout des </w:t>
      </w:r>
      <w:r>
        <w:rPr>
          <w:b/>
          <w:sz w:val="22"/>
        </w:rPr>
        <w:t>pratiques de gestion des ménages</w:t>
      </w:r>
      <w:r>
        <w:rPr>
          <w:sz w:val="22"/>
        </w:rPr>
        <w:t xml:space="preserve">. Conformément aux constats de Temgoua et al. (2018) dans le Littoral-Cameroun et de Jagoret et al. (2011) dans le Centre, les producteurs ne conservent ou n'introduisent dans leurs parcelles que les espèces qui leur sont utiles — bois d'œuvre, fruitiers, espèces à PFNL, essences médicinales. Cette </w:t>
      </w:r>
      <w:r>
        <w:rPr>
          <w:b/>
          <w:sz w:val="22"/>
        </w:rPr>
        <w:t>sélection active</w:t>
      </w:r>
      <w:r>
        <w:rPr>
          <w:sz w:val="22"/>
        </w:rPr>
        <w:t xml:space="preserve"> explique la présence, dans les quatre agroforêts de Lomié, d'un noyau commun de seize espèces à haute valeur d'usage (dont </w:t>
      </w:r>
      <w:r>
        <w:rPr>
          <w:i/>
          <w:sz w:val="22"/>
        </w:rPr>
        <w:t>Irvingia gabonensis</w:t>
      </w:r>
      <w:r>
        <w:rPr>
          <w:sz w:val="22"/>
        </w:rPr>
        <w:t xml:space="preserve">, </w:t>
      </w:r>
      <w:r>
        <w:rPr>
          <w:i/>
          <w:sz w:val="22"/>
        </w:rPr>
        <w:t>Ricinodendron heudelotii</w:t>
      </w:r>
      <w:r>
        <w:rPr>
          <w:sz w:val="22"/>
        </w:rPr>
        <w:t xml:space="preserve">, </w:t>
      </w:r>
      <w:r>
        <w:rPr>
          <w:i/>
          <w:sz w:val="22"/>
        </w:rPr>
        <w:t>Pentaclethra macrophylla</w:t>
      </w:r>
      <w:r>
        <w:rPr>
          <w:sz w:val="22"/>
        </w:rPr>
        <w:t xml:space="preserve"> et </w:t>
      </w:r>
      <w:r>
        <w:rPr>
          <w:i/>
          <w:sz w:val="22"/>
        </w:rPr>
        <w:t>Baillonella toxisperma</w:t>
      </w:r>
      <w:r>
        <w:rPr>
          <w:sz w:val="22"/>
        </w:rPr>
        <w:t>). La proximité du massif forestier — les agroforêts étant imbriquées avec les UFA et forêts communautaires — favorise en outre l'enrichissement spontané par dispersion, mécanisme également relevé par Zapfack et al. (2002) dans la zone forestière camerounaise.</w:t>
      </w:r>
    </w:p>
    <w:p>
      <w:pPr>
        <w:keepNext/>
        <w:spacing w:before="240" w:after="120"/>
      </w:pPr>
      <w:r>
        <w:rPr>
          <w:rFonts w:ascii="Calibri" w:hAnsi="Calibri"/>
          <w:b/>
          <w:color w:val="0A1628"/>
          <w:sz w:val="28"/>
        </w:rPr>
        <w:t>4. Implications pour la conservation de la biodiversité et les moyens de subsistance</w:t>
      </w:r>
    </w:p>
    <w:p>
      <w:pPr>
        <w:jc w:val="both"/>
      </w:pPr>
      <w:r>
        <w:rPr>
          <w:sz w:val="22"/>
        </w:rPr>
        <w:t xml:space="preserve">La diversité des TUT porte une double implication. Sur le plan de la </w:t>
      </w:r>
      <w:r>
        <w:rPr>
          <w:b/>
          <w:sz w:val="22"/>
        </w:rPr>
        <w:t>conservation</w:t>
      </w:r>
      <w:r>
        <w:rPr>
          <w:sz w:val="22"/>
        </w:rPr>
        <w:t xml:space="preserve">, la faible similarité floristique entre agroforêts (Sørensen de 23 % à 41 %) indique que chaque exploitation abrite un cortège d'espèces en partie propre : le maintien d'un réseau d'agroforêts diversifiées préserve donc une diversité bêta importante à l'échelle du paysage, faisant de ces systèmes des </w:t>
      </w:r>
      <w:r>
        <w:rPr>
          <w:b/>
          <w:sz w:val="22"/>
        </w:rPr>
        <w:t>réservoirs complémentaires de biodiversité ligneuse</w:t>
      </w:r>
      <w:r>
        <w:rPr>
          <w:sz w:val="22"/>
        </w:rPr>
        <w:t xml:space="preserve"> en périphérie des aires protégées (Sonwa et al., 2007 ; Saj et al., 2017). Sur le plan des </w:t>
      </w:r>
      <w:r>
        <w:rPr>
          <w:b/>
          <w:sz w:val="22"/>
        </w:rPr>
        <w:t>moyens de subsistance</w:t>
      </w:r>
      <w:r>
        <w:rPr>
          <w:sz w:val="22"/>
        </w:rPr>
        <w:t xml:space="preserve">, la diversité des TUT sécurise le ménage : les champs vivriers assurent l'alimentation, les cacaoyères et extensions apportent le revenu monétaire de rente, et les jachères — qui hébergent de nombreuses espèces à PFNL — fournissent un revenu d'appoint et des services écologiques. Cette </w:t>
      </w:r>
      <w:r>
        <w:rPr>
          <w:b/>
          <w:sz w:val="22"/>
        </w:rPr>
        <w:t>complémentarité fonctionnelle</w:t>
      </w:r>
      <w:r>
        <w:rPr>
          <w:sz w:val="22"/>
        </w:rPr>
        <w:t xml:space="preserve"> est le fondement de la résilience des agroforêts des ménages de Lomié, et l'argument central en faveur de la reconnaissance légale de ce modèle de foresterie sociale.</w:t>
      </w:r>
    </w:p>
    <w:sectPr w:rsidR="00FC693F" w:rsidRPr="0006063C" w:rsidSect="00034616">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