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DISCUSSION — RÉPARTITION DES TYPES D'UTILISATION DES TERRES (TUT) DANS LES AGROFORÊTS DES MÉNAGES</w:t>
      </w:r>
    </w:p>
    <w:p>
      <w:pPr>
        <w:jc w:val="both"/>
      </w:pPr>
      <w:r>
        <w:rPr>
          <w:sz w:val="22"/>
        </w:rPr>
        <w:t>Cette discussion analyse la répartition spatiale (en superficie) des TUT au sein des agroforêts des ménages de Lomié et les facteurs qui la déterminent.</w:t>
      </w:r>
    </w:p>
    <w:p>
      <w:pPr>
        <w:keepNext/>
        <w:spacing w:before="240" w:after="120"/>
      </w:pPr>
      <w:r>
        <w:rPr>
          <w:rFonts w:ascii="Calibri" w:hAnsi="Calibri"/>
          <w:b/>
          <w:color w:val="0A1628"/>
          <w:sz w:val="28"/>
        </w:rPr>
        <w:t>1. Une répartition dominée par les jachères</w:t>
      </w:r>
    </w:p>
    <w:p>
      <w:pPr>
        <w:jc w:val="both"/>
      </w:pPr>
      <w:r>
        <w:rPr>
          <w:sz w:val="22"/>
        </w:rPr>
        <w:t xml:space="preserve">À l'échelle des quatre agroforêts, les jachères occupent la part la plus importante de la superficie (environ 40 %), devant les cacaoyères (près de 30 %), les champs vivriers (près de 23 %) et les extensions de cacao (environ 5 %). Cette prédominance des jachères est un marqueur d'un </w:t>
      </w:r>
      <w:r>
        <w:rPr>
          <w:b/>
          <w:sz w:val="22"/>
        </w:rPr>
        <w:t>système agraire encore extensif et relativement durable</w:t>
      </w:r>
      <w:r>
        <w:rPr>
          <w:sz w:val="22"/>
        </w:rPr>
        <w:t xml:space="preserve"> : la jachère forestière est le mécanisme central de restauration de la fertilité des sols ferralitiques acides et pauvres de la zone, comme l'ont souligné Carrière (2003) et van Vliet et al. (2012) pour les systèmes sur brûlis d'Afrique centrale. La forte proportion de jachères indique que les ménages n'ont pas encore sacrifié la régénération des sols à l'intensification, contrairement aux fronts agricoles saturés où les temps de jachère se réduisent drastiquement.</w:t>
      </w:r>
    </w:p>
    <w:p>
      <w:pPr>
        <w:keepNext/>
        <w:spacing w:before="240" w:after="120"/>
      </w:pPr>
      <w:r>
        <w:rPr>
          <w:rFonts w:ascii="Calibri" w:hAnsi="Calibri"/>
          <w:b/>
          <w:color w:val="0A1628"/>
          <w:sz w:val="28"/>
        </w:rPr>
        <w:t>2. Les facteurs écologiques, socio-économiques et fonciers de la répartition</w:t>
      </w:r>
    </w:p>
    <w:p>
      <w:pPr>
        <w:jc w:val="both"/>
      </w:pPr>
      <w:r>
        <w:rPr>
          <w:sz w:val="22"/>
        </w:rPr>
        <w:t xml:space="preserve">La répartition observée résulte de l'interaction de trois ordres de facteurs. Les facteurs </w:t>
      </w:r>
      <w:r>
        <w:rPr>
          <w:b/>
          <w:sz w:val="22"/>
        </w:rPr>
        <w:t>écologiques</w:t>
      </w:r>
      <w:r>
        <w:rPr>
          <w:sz w:val="22"/>
        </w:rPr>
        <w:t xml:space="preserve"> imposent le maintien des jachères pour la reconstitution de la fertilité, en l'absence d'intrants sur des sols peu fertiles. Les facteurs </w:t>
      </w:r>
      <w:r>
        <w:rPr>
          <w:b/>
          <w:sz w:val="22"/>
        </w:rPr>
        <w:t>socio-économiques</w:t>
      </w:r>
      <w:r>
        <w:rPr>
          <w:sz w:val="22"/>
        </w:rPr>
        <w:t xml:space="preserve"> structurent l'arbitrage entre cultures : la place des champs vivriers traduit la priorité donnée à la sécurité alimentaire du ménage, tandis que l'expansion des cacaoyères et l'apparition d'extensions de cacao reflètent la recherche de revenu monétaire dans un contexte de hausse des cours mondiaux du cacao (Jagoret et al., 2011 ; Jagoret et al., 2017). Les facteurs </w:t>
      </w:r>
      <w:r>
        <w:rPr>
          <w:b/>
          <w:sz w:val="22"/>
        </w:rPr>
        <w:t>fonciers</w:t>
      </w:r>
      <w:r>
        <w:rPr>
          <w:sz w:val="22"/>
        </w:rPr>
        <w:t xml:space="preserve"> enfin conditionnent la répartition : la sécurisation des droits du ménage sur un bloc suffisant — principe même des « agroforêts des ménages » promues par le projet et théorisées par Vermeulen et al. (2011) — permet le maintien d'une mosaïque équilibrée, alors que l'insécurité foncière pousse au défrichement définitif et à la conversion des jachères.</w:t>
      </w:r>
    </w:p>
    <w:p>
      <w:pPr>
        <w:keepNext/>
        <w:spacing w:before="240" w:after="120"/>
      </w:pPr>
      <w:r>
        <w:rPr>
          <w:rFonts w:ascii="Calibri" w:hAnsi="Calibri"/>
          <w:b/>
          <w:color w:val="0A1628"/>
          <w:sz w:val="28"/>
        </w:rPr>
        <w:t>3. Une hétérogénéité inter-agroforêts révélatrice de trajectoires de gestion</w:t>
      </w:r>
    </w:p>
    <w:p>
      <w:pPr>
        <w:jc w:val="both"/>
      </w:pPr>
      <w:r>
        <w:rPr>
          <w:sz w:val="22"/>
        </w:rPr>
        <w:t xml:space="preserve">La répartition des TUT varie fortement d'une agroforêt à l'autre : les champs vivriers dominent la petite agroforêt de Bibassa (près de 58 % de sa superficie), tandis que jachères et cacaoyères structurent les agroforêts plus grandes de Ntié, Oshea et Mekoul, et que les extensions de cacao n'apparaissent qu'à Ntié et Oshea. Cette hétérogénéité traduit des </w:t>
      </w:r>
      <w:r>
        <w:rPr>
          <w:b/>
          <w:sz w:val="22"/>
        </w:rPr>
        <w:t>trajectoires de gestion propres à chaque ménage</w:t>
      </w:r>
      <w:r>
        <w:rPr>
          <w:sz w:val="22"/>
        </w:rPr>
        <w:t>, fonction de la taille de l'exploitation, de l'ancienneté de mise en culture et des priorités du chef de ménage — observation convergente avec les travaux de Jagoret et al. (2011) sur la diversité des dynamiques cacaoyères au Centre-Cameroun. La répartition des TUT n'est donc pas figée mais reflète des stratégies familiales différenciées au sein d'un même arrondissement.</w:t>
      </w:r>
    </w:p>
    <w:p>
      <w:pPr>
        <w:keepNext/>
        <w:spacing w:before="240" w:after="120"/>
      </w:pPr>
      <w:r>
        <w:rPr>
          <w:rFonts w:ascii="Calibri" w:hAnsi="Calibri"/>
          <w:b/>
          <w:color w:val="0A1628"/>
          <w:sz w:val="28"/>
        </w:rPr>
        <w:t>4. Implications pour la gestion durable des agroforêts</w:t>
      </w:r>
    </w:p>
    <w:p>
      <w:pPr>
        <w:jc w:val="both"/>
      </w:pPr>
      <w:r>
        <w:rPr>
          <w:sz w:val="22"/>
        </w:rPr>
        <w:t xml:space="preserve">La répartition actuelle appelle une vigilance. L'apparition des extensions de cacao, bien que minoritaire (≈ 5 %), signale une </w:t>
      </w:r>
      <w:r>
        <w:rPr>
          <w:b/>
          <w:sz w:val="22"/>
        </w:rPr>
        <w:t>dynamique d'intensification cacaoyère</w:t>
      </w:r>
      <w:r>
        <w:rPr>
          <w:sz w:val="22"/>
        </w:rPr>
        <w:t xml:space="preserve"> qui, si elle se poursuivait au détriment des jachères, compromettrait la durabilité écologique des agroforêts : réduction de la capacité de régénération des sols, appauvrissement de la flore ligneuse et perte des services associés (Vermeulen et al., 2011 ; Zapfack et al., 2002). La gestion durable de ces systèmes suppose donc de </w:t>
      </w:r>
      <w:r>
        <w:rPr>
          <w:b/>
          <w:sz w:val="22"/>
        </w:rPr>
        <w:t>maintenir une proportion minimale de jachères et de couvert forestier</w:t>
      </w:r>
      <w:r>
        <w:rPr>
          <w:sz w:val="22"/>
        </w:rPr>
        <w:t xml:space="preserve"> — de l'ordre de 50 % selon les principes des agroforêts des ménages — et d'accompagner l'expansion cacaoyère de mesures de conservation des arbres utiles. La reconnaissance légale des agroforêts des ménages, en sécurisant les droits fonciers, constitue à cet égard le levier le plus puissant pour prévenir la conversion et pérenniser l'équilibre de la mosaïque.</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