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RÉFÉRENCES BIBLIOGRAPHIQUES UTILISÉES DANS LES NOUVELLES SECTIONS</w:t>
      </w:r>
    </w:p>
    <w:p>
      <w:pPr>
        <w:jc w:val="both"/>
      </w:pPr>
      <w:r>
        <w:rPr>
          <w:sz w:val="22"/>
        </w:rPr>
        <w:t>Liste des références effectivement citées dans les quatre sections précédentes (opportunités, discussion des opportunités, diversité et répartition des TUT). Ces travaux sont réels et vérifiables. Les références déjà présentes dans la bibliographie du mémoire sont signalées « (déjà citée) » ; les autres sont proposées en complément.</w:t>
      </w:r>
    </w:p>
    <w:tbl>
      <w:tblPr>
        <w:tblStyle w:val="TableGrid"/>
        <w:tblW w:type="auto" w:w="0"/>
        <w:tblLook w:firstColumn="1" w:firstRow="1" w:lastColumn="0" w:lastRow="0" w:noHBand="0" w:noVBand="1" w:val="04A0"/>
      </w:tblPr>
      <w:tblGrid>
        <w:gridCol w:w="9632"/>
      </w:tblGrid>
      <w:tr>
        <w:tc>
          <w:tcPr>
            <w:tcW w:type="dxa" w:w="9632"/>
            <w:shd w:val="clear" w:fill="FDF1E7"/>
          </w:tcPr>
          <w:p>
            <w:r>
              <w:rPr>
                <w:rFonts w:ascii="Calibri" w:hAnsi="Calibri"/>
                <w:b/>
                <w:color w:val="EA580C"/>
                <w:sz w:val="18"/>
              </w:rPr>
              <w:t>Vérification à effectuer</w:t>
            </w:r>
          </w:p>
          <w:p>
            <w:pPr>
              <w:jc w:val="both"/>
            </w:pPr>
            <w:r>
              <w:rPr>
                <w:sz w:val="19"/>
              </w:rPr>
              <w:t>Avant intégration, l'auteure doit vérifier et compléter les détails bibliographiques exacts (volume, numéro, pages, DOI) de chaque référence à partir de la source originale, et harmoniser leur mise en forme avec la norme de citation adoptée dans le mémoire. Cette vérification finale relève de la responsabilité de l'auteure.</w:t>
            </w:r>
          </w:p>
        </w:tc>
      </w:tr>
    </w:tbl>
    <w:p>
      <w:pPr>
        <w:spacing w:after="40"/>
      </w:pPr>
    </w:p>
    <w:p>
      <w:pPr>
        <w:spacing w:after="100"/>
        <w:ind w:left="454" w:hanging="454"/>
      </w:pPr>
      <w:r>
        <w:rPr>
          <w:sz w:val="21"/>
        </w:rPr>
        <w:t xml:space="preserve">Awono, A., Ingram, V., Schure, J. &amp; Levang, P. (2013). </w:t>
      </w:r>
      <w:r>
        <w:rPr>
          <w:i/>
          <w:sz w:val="21"/>
        </w:rPr>
        <w:t>Guide pour les petites et moyennes entreprises du commerce durable des produits forestiers non ligneux en Afrique centrale.</w:t>
      </w:r>
      <w:r>
        <w:rPr>
          <w:sz w:val="21"/>
        </w:rPr>
        <w:t xml:space="preserve"> Center for International Forestry Research (CIFOR), Bogor, Indonésie.</w:t>
      </w:r>
    </w:p>
    <w:p>
      <w:pPr>
        <w:spacing w:after="100"/>
        <w:ind w:left="454" w:hanging="454"/>
      </w:pPr>
      <w:r>
        <w:rPr>
          <w:sz w:val="21"/>
        </w:rPr>
        <w:t xml:space="preserve">Carrière, S. M. (2003). </w:t>
      </w:r>
      <w:r>
        <w:rPr>
          <w:i/>
          <w:sz w:val="21"/>
        </w:rPr>
        <w:t>Les orphelins de la forêt. Pratiques paysannes et écologie forestière (Ntumu, Sud-Cameroun).</w:t>
      </w:r>
      <w:r>
        <w:rPr>
          <w:sz w:val="21"/>
        </w:rPr>
        <w:t xml:space="preserve"> IRD Éditions, Paris.</w:t>
      </w:r>
    </w:p>
    <w:p>
      <w:pPr>
        <w:spacing w:after="100"/>
        <w:ind w:left="454" w:hanging="454"/>
      </w:pPr>
      <w:r>
        <w:rPr>
          <w:sz w:val="21"/>
        </w:rPr>
        <w:t xml:space="preserve">COMIFAC (2011). </w:t>
      </w:r>
      <w:r>
        <w:rPr>
          <w:i/>
          <w:sz w:val="21"/>
        </w:rPr>
        <w:t>Directives sous-régionales relatives à la gestion durable des produits forestiers non ligneux d'origine végétale en Afrique centrale.</w:t>
      </w:r>
      <w:r>
        <w:rPr>
          <w:sz w:val="21"/>
        </w:rPr>
        <w:t xml:space="preserve"> Commission des Forêts d'Afrique Centrale, Yaoundé. (déjà citée)</w:t>
      </w:r>
    </w:p>
    <w:p>
      <w:pPr>
        <w:spacing w:after="100"/>
        <w:ind w:left="454" w:hanging="454"/>
      </w:pPr>
      <w:r>
        <w:rPr>
          <w:sz w:val="21"/>
        </w:rPr>
        <w:t xml:space="preserve">Ingram, V. (2014). </w:t>
      </w:r>
      <w:r>
        <w:rPr>
          <w:i/>
          <w:sz w:val="21"/>
        </w:rPr>
        <w:t>Win-wins in forest product value chains? How governance impacts the sustainability of livelihoods based on non-timber forest products from Cameroon.</w:t>
      </w:r>
      <w:r>
        <w:rPr>
          <w:sz w:val="21"/>
        </w:rPr>
        <w:t xml:space="preserve"> Thèse de doctorat, Université d'Amsterdam. (déjà citée)</w:t>
      </w:r>
    </w:p>
    <w:p>
      <w:pPr>
        <w:spacing w:after="100"/>
        <w:ind w:left="454" w:hanging="454"/>
      </w:pPr>
      <w:r>
        <w:rPr>
          <w:sz w:val="21"/>
        </w:rPr>
        <w:t xml:space="preserve">Jagoret, P., Michel, I., Ngnogué, H. T., Lachenaud, P., Snoeck, D. &amp; Malézieux, E. (2017). Structural characteristics determine productivity in complex cocoa agroforestry systems. </w:t>
      </w:r>
      <w:r>
        <w:rPr>
          <w:i/>
          <w:sz w:val="21"/>
        </w:rPr>
        <w:t>Agronomy for Sustainable Development</w:t>
      </w:r>
      <w:r>
        <w:rPr>
          <w:sz w:val="21"/>
        </w:rPr>
        <w:t>, 37(6).</w:t>
      </w:r>
    </w:p>
    <w:p>
      <w:pPr>
        <w:spacing w:after="100"/>
        <w:ind w:left="454" w:hanging="454"/>
      </w:pPr>
      <w:r>
        <w:rPr>
          <w:sz w:val="21"/>
        </w:rPr>
        <w:t xml:space="preserve">Jagoret, P., Michel-Dounias, I. &amp; Malézieux, E. (2011). Long-term dynamics of cocoa agroforests: a case study in central Cameroon. </w:t>
      </w:r>
      <w:r>
        <w:rPr>
          <w:i/>
          <w:sz w:val="21"/>
        </w:rPr>
        <w:t>Agroforestry Systems</w:t>
      </w:r>
      <w:r>
        <w:rPr>
          <w:sz w:val="21"/>
        </w:rPr>
        <w:t>, 81(3), 267-278. (déjà citée)</w:t>
      </w:r>
    </w:p>
    <w:p>
      <w:pPr>
        <w:spacing w:after="100"/>
        <w:ind w:left="454" w:hanging="454"/>
      </w:pPr>
      <w:r>
        <w:rPr>
          <w:sz w:val="21"/>
        </w:rPr>
        <w:t xml:space="preserve">Levang, P., Lescuyer, G., Noumbissi, D., Déhu, C. &amp; Broussolle, L. (2015). Does gathering really pay? Case studies from forest areas of the East and South regions of Cameroon. </w:t>
      </w:r>
      <w:r>
        <w:rPr>
          <w:i/>
          <w:sz w:val="21"/>
        </w:rPr>
        <w:t>Forests, Trees and Livelihoods</w:t>
      </w:r>
      <w:r>
        <w:rPr>
          <w:sz w:val="21"/>
        </w:rPr>
        <w:t>, 24(2), 128-143.</w:t>
      </w:r>
    </w:p>
    <w:p>
      <w:pPr>
        <w:spacing w:after="100"/>
        <w:ind w:left="454" w:hanging="454"/>
      </w:pPr>
      <w:r>
        <w:rPr>
          <w:sz w:val="21"/>
        </w:rPr>
        <w:t xml:space="preserve">Ndoye, O., Ruiz-Pérez, M. &amp; Eyebe, A. (1997). </w:t>
      </w:r>
      <w:r>
        <w:rPr>
          <w:i/>
          <w:sz w:val="21"/>
        </w:rPr>
        <w:t>The markets of non-timber forest products in the humid forest zone of Cameroon.</w:t>
      </w:r>
      <w:r>
        <w:rPr>
          <w:sz w:val="21"/>
        </w:rPr>
        <w:t xml:space="preserve"> Rural Development Forestry Network Paper 22c, Overseas Development Institute (ODI), Londres.</w:t>
      </w:r>
    </w:p>
    <w:p>
      <w:pPr>
        <w:spacing w:after="100"/>
        <w:ind w:left="454" w:hanging="454"/>
      </w:pPr>
      <w:r>
        <w:rPr>
          <w:sz w:val="21"/>
        </w:rPr>
        <w:t>Plan National de Développement des PFNL — PND-PFNL (2024). Ministère des Forêts et de la Faune (MINFOF), Cameroun. (déjà citée)</w:t>
      </w:r>
    </w:p>
    <w:p>
      <w:pPr>
        <w:spacing w:after="100"/>
        <w:ind w:left="454" w:hanging="454"/>
      </w:pPr>
      <w:r>
        <w:rPr>
          <w:sz w:val="21"/>
        </w:rPr>
        <w:t xml:space="preserve">Saj, S., Durot, C., Mvondo Sakouma, K., Tayo Gamo, K. &amp; Avana-Tientcheu, M. L. (2017). Contribution of associated trees to long-term species conservation, carbon storage and sustainability: a functional analysis of tree communities in cacao plantations of Central Cameroon. </w:t>
      </w:r>
      <w:r>
        <w:rPr>
          <w:i/>
          <w:sz w:val="21"/>
        </w:rPr>
        <w:t>International Journal of Agricultural Sustainability</w:t>
      </w:r>
      <w:r>
        <w:rPr>
          <w:sz w:val="21"/>
        </w:rPr>
        <w:t>, 15(3), 282-302. (déjà citée)</w:t>
      </w:r>
    </w:p>
    <w:p>
      <w:pPr>
        <w:spacing w:after="100"/>
        <w:ind w:left="454" w:hanging="454"/>
      </w:pPr>
      <w:r>
        <w:rPr>
          <w:sz w:val="21"/>
        </w:rPr>
        <w:t xml:space="preserve">Sonwa, D. J., Nkongmeneck, B. A., Weise, S. F., Tchatat, M., Adesina, A. A. &amp; Janssens, M. J. J. (2007). Diversity of plants in cocoa agroforests in the humid forest zone of Southern Cameroon. </w:t>
      </w:r>
      <w:r>
        <w:rPr>
          <w:i/>
          <w:sz w:val="21"/>
        </w:rPr>
        <w:t>Biodiversity and Conservation</w:t>
      </w:r>
      <w:r>
        <w:rPr>
          <w:sz w:val="21"/>
        </w:rPr>
        <w:t>, 16(8), 2385-2400. (déjà citée)</w:t>
      </w:r>
    </w:p>
    <w:p>
      <w:pPr>
        <w:spacing w:after="100"/>
        <w:ind w:left="454" w:hanging="454"/>
      </w:pPr>
      <w:r>
        <w:rPr>
          <w:sz w:val="21"/>
        </w:rPr>
        <w:t xml:space="preserve">Tchatat, M. &amp; Ndoye, O. (2006). Étude des produits forestiers non ligneux d'Afrique centrale : réalités et perspectives. </w:t>
      </w:r>
      <w:r>
        <w:rPr>
          <w:i/>
          <w:sz w:val="21"/>
        </w:rPr>
        <w:t>Bois et Forêts des Tropiques</w:t>
      </w:r>
      <w:r>
        <w:rPr>
          <w:sz w:val="21"/>
        </w:rPr>
        <w:t>, 288(2), 27-39.</w:t>
      </w:r>
    </w:p>
    <w:p>
      <w:pPr>
        <w:spacing w:after="100"/>
        <w:ind w:left="454" w:hanging="454"/>
      </w:pPr>
      <w:r>
        <w:rPr>
          <w:sz w:val="21"/>
        </w:rPr>
        <w:t xml:space="preserve">Tchoundjeu, Z., Asaah, E. K., Anegbeh, P., Degrande, A., Mbile, P., Facheux, C., Tsobeng, A., Atangana, A. R., Ngo-Mpeck, M. L. &amp; Simons, A. J. (2006). Putting participatory domestication into practice in West and Central Africa. </w:t>
      </w:r>
      <w:r>
        <w:rPr>
          <w:i/>
          <w:sz w:val="21"/>
        </w:rPr>
        <w:t>Forests, Trees and Livelihoods</w:t>
      </w:r>
      <w:r>
        <w:rPr>
          <w:sz w:val="21"/>
        </w:rPr>
        <w:t>, 16(1), 53-69.</w:t>
      </w:r>
    </w:p>
    <w:p>
      <w:pPr>
        <w:spacing w:after="100"/>
        <w:ind w:left="454" w:hanging="454"/>
      </w:pPr>
      <w:r>
        <w:rPr>
          <w:sz w:val="21"/>
        </w:rPr>
        <w:t xml:space="preserve">Temgoua, L. F., Momo Solefack, M. C., Nguimdo Voufo, V., Tagne Belstatic, R. &amp; Nkongmeneck, B. A. (2018/2019). Diversité floristique des ligneux des systèmes agroforestiers à base de cacaoyer : cas de l'arrondissement de Loum, Littoral-Cameroun. </w:t>
      </w:r>
      <w:r>
        <w:rPr>
          <w:i/>
          <w:sz w:val="21"/>
        </w:rPr>
        <w:t>European Scientific Journal</w:t>
      </w:r>
      <w:r>
        <w:rPr>
          <w:sz w:val="21"/>
        </w:rPr>
        <w:t>. (déjà citée)</w:t>
      </w:r>
    </w:p>
    <w:p>
      <w:pPr>
        <w:spacing w:after="100"/>
        <w:ind w:left="454" w:hanging="454"/>
      </w:pPr>
      <w:r>
        <w:rPr>
          <w:sz w:val="21"/>
        </w:rPr>
        <w:t xml:space="preserve">van Vliet, N., Mertz, O., Heinimann, A., Langanke, T., Pascual, U., Schmook, B., et al. (2012). Trends, drivers and impacts of changes in swidden cultivation in tropical forest-agriculture frontiers: A global assessment. </w:t>
      </w:r>
      <w:r>
        <w:rPr>
          <w:i/>
          <w:sz w:val="21"/>
        </w:rPr>
        <w:t>Global Environmental Change</w:t>
      </w:r>
      <w:r>
        <w:rPr>
          <w:sz w:val="21"/>
        </w:rPr>
        <w:t>, 22(2), 418-429.</w:t>
      </w:r>
    </w:p>
    <w:p>
      <w:pPr>
        <w:spacing w:after="100"/>
        <w:ind w:left="454" w:hanging="454"/>
      </w:pPr>
      <w:r>
        <w:rPr>
          <w:sz w:val="21"/>
        </w:rPr>
        <w:t>Vermeulen, C., Julve, C., Doucet, J.-L. &amp; Monticelli, D. (2011). Community forests and the sustainable management of NTFPs and household agroforests in Cameroon. (déjà citée sous Vermeulen et al., 2011)</w:t>
      </w:r>
    </w:p>
    <w:p>
      <w:pPr>
        <w:spacing w:after="100"/>
        <w:ind w:left="454" w:hanging="454"/>
      </w:pPr>
      <w:r>
        <w:rPr>
          <w:sz w:val="21"/>
        </w:rPr>
        <w:t xml:space="preserve">Zapfack, L., Engwald, S., Sonké, B., Achoundong, G. &amp; Madong, B. A. (2002). The impact of land conversion on plant biodiversity in the forest zone of Cameroon. </w:t>
      </w:r>
      <w:r>
        <w:rPr>
          <w:i/>
          <w:sz w:val="21"/>
        </w:rPr>
        <w:t>Biodiversity and Conservation</w:t>
      </w:r>
      <w:r>
        <w:rPr>
          <w:sz w:val="21"/>
        </w:rPr>
        <w:t>, 11(11), 2047-2061.</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