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pPr>
      <w:r>
        <w:rPr>
          <w:rFonts w:ascii="Arial" w:cs="Arial" w:eastAsia="Arial" w:hAnsi="Arial"/>
          <w:sz w:val="2"/>
          <w:szCs w:val="2"/>
        </w:rPr>
        <w:t xml:space="preserve"/>
      </w:r>
    </w:p>
    <w:p>
      <w:pPr>
        <w:spacing w:after="0"/>
        <w:jc w:val="left"/>
      </w:pPr>
      <w:r>
        <w:rPr>
          <w:rFonts w:ascii="Arial" w:cs="Arial" w:eastAsia="Arial" w:hAnsi="Arial"/>
          <w:b/>
          <w:bCs/>
          <w:color w:val="B8962E"/>
          <w:spacing w:val="30"/>
          <w:sz w:val="16"/>
          <w:szCs w:val="16"/>
        </w:rPr>
        <w:t xml:space="preserve">PROYECTO IN PIURA  ·  CUI 2669244  ·  CÓDIGO DE IDEA 337830</w:t>
      </w:r>
    </w:p>
    <w:p>
      <w:pPr>
        <w:spacing w:after="160"/>
        <w:jc w:val="left"/>
      </w:pPr>
      <w:r>
        <w:rPr>
          <w:rFonts w:ascii="Arial" w:cs="Arial" w:eastAsia="Arial" w:hAnsi="Arial"/>
          <w:color w:val="595959"/>
          <w:sz w:val="16"/>
          <w:szCs w:val="16"/>
        </w:rPr>
        <w:t xml:space="preserve">Segundo Entregable  ·  Orden de Servicio N° 4062-2026  ·  Informe N° 008-2026-HSCM</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trHeight w:val="70" w:hRule="exact"/>
        </w:trPr>
        <w:tc>
          <w:tcPr>
            <w:tcW w:type="dxa" w:w="9638"/>
            <w:tcBorders>
              <w:top w:val="none" w:color="FFFFFF" w:sz="0"/>
              <w:left w:val="none" w:color="FFFFFF" w:sz="0"/>
              <w:bottom w:val="none" w:color="FFFFFF" w:sz="0"/>
              <w:right w:val="none" w:color="FFFFFF" w:sz="0"/>
            </w:tcBorders>
            <w:shd w:fill="B8962E" w:color="auto" w:val="clear"/>
            <w:tcMar>
              <w:top w:type="dxa" w:w="0"/>
              <w:left w:type="dxa" w:w="0"/>
              <w:bottom w:type="dxa" w:w="0"/>
              <w:right w:type="dxa" w:w="0"/>
            </w:tcMar>
            <w:vAlign w:val="center"/>
          </w:tcPr>
          <w:p>
            <w:pPr>
              <w:spacing w:after="0"/>
            </w:pPr>
            <w:r>
              <w:rPr>
                <w:rFonts w:ascii="Arial" w:cs="Arial" w:eastAsia="Arial" w:hAnsi="Arial"/>
                <w:sz w:val="2"/>
                <w:szCs w:val="2"/>
              </w:rPr>
              <w:t xml:space="preserve"/>
            </w:r>
          </w:p>
        </w:tc>
      </w:tr>
      <w:tr>
        <w:tc>
          <w:tcPr>
            <w:tcW w:type="dxa" w:w="9638"/>
            <w:tcBorders>
              <w:top w:val="none" w:color="FFFFFF" w:sz="0"/>
              <w:left w:val="none" w:color="FFFFFF" w:sz="0"/>
              <w:bottom w:val="none" w:color="FFFFFF" w:sz="0"/>
              <w:right w:val="none" w:color="FFFFFF" w:sz="0"/>
            </w:tcBorders>
            <w:shd w:fill="1B4D2E" w:color="auto" w:val="clear"/>
            <w:tcMar>
              <w:top w:type="dxa" w:w="420"/>
              <w:left w:type="dxa" w:w="400"/>
              <w:bottom w:type="dxa" w:w="380"/>
              <w:right w:type="dxa" w:w="400"/>
            </w:tcMar>
            <w:vAlign w:val="center"/>
          </w:tcPr>
          <w:p>
            <w:pPr>
              <w:spacing w:after="60"/>
            </w:pPr>
            <w:r>
              <w:rPr>
                <w:rFonts w:ascii="Arial" w:cs="Arial" w:eastAsia="Arial" w:hAnsi="Arial"/>
                <w:b/>
                <w:bCs/>
                <w:color w:val="FFFFFF"/>
                <w:sz w:val="64"/>
                <w:szCs w:val="64"/>
              </w:rPr>
              <w:t xml:space="preserve">ANEXO N° 3</w:t>
            </w:r>
          </w:p>
          <w:p>
            <w:pPr>
              <w:spacing w:after="0"/>
            </w:pPr>
            <w:r>
              <w:rPr>
                <w:rFonts w:ascii="Arial" w:cs="Arial" w:eastAsia="Arial" w:hAnsi="Arial"/>
                <w:b/>
                <w:bCs/>
                <w:color w:val="D9C27A"/>
                <w:spacing w:val="20"/>
                <w:sz w:val="18"/>
                <w:szCs w:val="18"/>
              </w:rPr>
              <w:t xml:space="preserve">ACTIVIDAD d)  —  NUMERAL 5.1 DE LOS TÉRMINOS DE REFERENCIA</w:t>
            </w:r>
          </w:p>
        </w:tc>
      </w:tr>
    </w:tbl>
    <w:p>
      <w:pPr>
        <w:spacing w:after="440" w:before="0"/>
      </w:pPr>
      <w:r>
        <w:rPr>
          <w:rFonts w:ascii="Arial" w:cs="Arial" w:eastAsia="Arial" w:hAnsi="Arial"/>
          <w:sz w:val="2"/>
          <w:szCs w:val="2"/>
        </w:rPr>
        <w:t xml:space="preserve"/>
      </w:r>
    </w:p>
    <w:p>
      <w:pPr>
        <w:spacing w:after="120" w:line="300"/>
        <w:jc w:val="left"/>
      </w:pPr>
      <w:r>
        <w:rPr>
          <w:rFonts w:ascii="Arial" w:cs="Arial" w:eastAsia="Arial" w:hAnsi="Arial"/>
          <w:b/>
          <w:bCs/>
          <w:color w:val="1B4D2E"/>
          <w:sz w:val="34"/>
          <w:szCs w:val="34"/>
        </w:rPr>
        <w:t xml:space="preserve">SEGUIMIENTO DEL DIAGNÓSTICO DEL ESTADO DE LOS ECOSISTEMAS Y DEL ESTUDIO DE OFERTA DE MATERIAL VEGETAL DE PROPAGACIÓN</w:t>
      </w:r>
    </w:p>
    <w:p>
      <w:pPr>
        <w:spacing w:after="240" w:line="280"/>
        <w:jc w:val="left"/>
      </w:pPr>
      <w:r>
        <w:rPr>
          <w:rFonts w:ascii="Arial" w:cs="Arial" w:eastAsia="Arial" w:hAnsi="Arial"/>
          <w:color w:val="2E6B47"/>
          <w:sz w:val="22"/>
          <w:szCs w:val="22"/>
        </w:rPr>
        <w:t xml:space="preserve">Revisión y actualización de planes de trabajo, seguimiento de campo, revisión técnica de entregables y conformidades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
        <w:gridCol w:w="9548"/>
      </w:tblGrid>
      <w:tr>
        <w:tc>
          <w:tcPr>
            <w:tcW w:type="dxa" w:w="90"/>
            <w:tcBorders>
              <w:top w:val="none" w:color="FFFFFF" w:sz="0"/>
              <w:left w:val="none" w:color="FFFFFF" w:sz="0"/>
              <w:bottom w:val="none" w:color="FFFFFF" w:sz="0"/>
              <w:right w:val="none" w:color="FFFFFF" w:sz="0"/>
            </w:tcBorders>
            <w:shd w:fill="B8962E" w:color="auto" w:val="clear"/>
            <w:tcMar>
              <w:top w:type="dxa" w:w="0"/>
              <w:left w:type="dxa" w:w="0"/>
              <w:bottom w:type="dxa" w:w="0"/>
              <w:right w:type="dxa" w:w="0"/>
            </w:tcMar>
            <w:vAlign w:val="center"/>
          </w:tcPr>
          <w:p>
            <w:pPr>
              <w:spacing w:after="0"/>
            </w:pPr>
            <w:r>
              <w:rPr>
                <w:rFonts w:ascii="Arial" w:cs="Arial" w:eastAsia="Arial" w:hAnsi="Arial"/>
                <w:sz w:val="2"/>
                <w:szCs w:val="2"/>
              </w:rPr>
              <w:t xml:space="preserve"/>
            </w:r>
          </w:p>
        </w:tc>
        <w:tc>
          <w:tcPr>
            <w:tcW w:type="dxa" w:w="9548"/>
            <w:tcBorders>
              <w:top w:val="none" w:color="FFFFFF" w:sz="0"/>
              <w:left w:val="none" w:color="FFFFFF" w:sz="0"/>
              <w:bottom w:val="none" w:color="FFFFFF" w:sz="0"/>
              <w:right w:val="none" w:color="FFFFFF" w:sz="0"/>
            </w:tcBorders>
            <w:shd w:fill="F3F6F2" w:color="auto" w:val="clear"/>
            <w:tcMar>
              <w:top w:type="dxa" w:w="140"/>
              <w:left w:type="dxa" w:w="240"/>
              <w:bottom w:type="dxa" w:w="140"/>
              <w:right w:type="dxa" w:w="240"/>
            </w:tcMar>
            <w:vAlign w:val="center"/>
          </w:tcPr>
          <w:p>
            <w:pPr>
              <w:spacing w:after="60"/>
            </w:pPr>
            <w:r>
              <w:rPr>
                <w:rFonts w:ascii="Arial" w:cs="Arial" w:eastAsia="Arial" w:hAnsi="Arial"/>
                <w:b/>
                <w:bCs/>
                <w:color w:val="595959"/>
                <w:spacing w:val="20"/>
                <w:sz w:val="15"/>
                <w:szCs w:val="15"/>
              </w:rPr>
              <w:t xml:space="preserve">Literal del TdR — actividad d)</w:t>
            </w:r>
          </w:p>
          <w:p>
            <w:pPr>
              <w:spacing w:line="264"/>
              <w:jc w:val="both"/>
            </w:pPr>
            <w:r>
              <w:rPr>
                <w:rFonts w:ascii="Arial" w:cs="Arial" w:eastAsia="Arial" w:hAnsi="Arial"/>
                <w:i/>
                <w:iCs/>
                <w:color w:val="1F2D24"/>
                <w:sz w:val="18"/>
                <w:szCs w:val="18"/>
              </w:rPr>
              <w:t xml:space="preserve">«Realizar el seguimiento y reportar el avance, en coordinación con el Especialista en Intervenciones de Uso Sostenible, del Diagnóstico del Estado de los Ecosistemas y del Estudio de Oferta de Material Vegetal de Propagación, incluyendo la revisión y actualización de sus respectivos planes de trabajo, el seguimiento de las actividades de campo y la revisión técnica de los entregables, así como la formulación y el levantamiento de observaciones y la emisión de la conformidad, cuando corresponda.»</w:t>
            </w:r>
          </w:p>
        </w:tc>
      </w:tr>
    </w:tbl>
    <w:p>
      <w:pPr>
        <w:spacing w:after="320" w:before="0"/>
      </w:pPr>
      <w:r>
        <w:rPr>
          <w:rFonts w:ascii="Arial" w:cs="Arial" w:eastAsia="Arial" w:hAnsi="Arial"/>
          <w:sz w:val="2"/>
          <w:szCs w:val="2"/>
        </w:rPr>
        <w:t xml:space="preserve"/>
      </w:r>
    </w:p>
    <w:p>
      <w:pPr>
        <w:pBdr>
          <w:bottom w:val="single" w:color="1B4D2E" w:sz="6" w:space="3"/>
        </w:pBdr>
        <w:spacing w:after="100"/>
      </w:pPr>
      <w:r>
        <w:rPr>
          <w:rFonts w:ascii="Arial" w:cs="Arial" w:eastAsia="Arial" w:hAnsi="Arial"/>
          <w:b/>
          <w:bCs/>
          <w:color w:val="1B4D2E"/>
          <w:spacing w:val="30"/>
          <w:sz w:val="17"/>
          <w:szCs w:val="17"/>
        </w:rPr>
        <w:t xml:space="preserve">CONTENIDO DEL ANEXO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8738"/>
      </w:tblGrid>
      <w:tr>
        <w:tc>
          <w:tcPr>
            <w:tcW w:type="dxa" w:w="900"/>
            <w:tcBorders>
              <w:top w:val="none" w:color="FFFFFF" w:sz="0"/>
              <w:left w:val="none" w:color="FFFFFF" w:sz="0"/>
              <w:bottom w:val="none" w:color="FFFFFF" w:sz="0"/>
              <w:right w:val="none" w:color="FFFFFF" w:sz="0"/>
            </w:tcBorders>
            <w:tcMar>
              <w:top w:type="dxa" w:w="40"/>
              <w:left w:type="dxa" w:w="0"/>
              <w:bottom w:type="dxa" w:w="40"/>
              <w:right w:type="dxa" w:w="80"/>
            </w:tcMar>
            <w:vAlign w:val="top"/>
          </w:tcPr>
          <w:p>
            <w:pPr>
              <w:spacing w:after="0"/>
            </w:pPr>
            <w:r>
              <w:rPr>
                <w:rFonts w:ascii="Arial" w:cs="Arial" w:eastAsia="Arial" w:hAnsi="Arial"/>
                <w:b/>
                <w:bCs/>
                <w:color w:val="1B4D2E"/>
                <w:sz w:val="17"/>
                <w:szCs w:val="17"/>
              </w:rPr>
              <w:t xml:space="preserve">3</w:t>
            </w:r>
          </w:p>
        </w:tc>
        <w:tc>
          <w:tcPr>
            <w:tcW w:type="dxa" w:w="8738"/>
            <w:tcBorders>
              <w:top w:val="none" w:color="FFFFFF" w:sz="0"/>
              <w:left w:val="none" w:color="FFFFFF" w:sz="0"/>
              <w:bottom w:val="none" w:color="FFFFFF" w:sz="0"/>
              <w:right w:val="none" w:color="FFFFFF" w:sz="0"/>
            </w:tcBorders>
            <w:tcMar>
              <w:top w:type="dxa" w:w="40"/>
              <w:left w:type="dxa" w:w="80"/>
              <w:bottom w:type="dxa" w:w="40"/>
              <w:right w:type="dxa" w:w="0"/>
            </w:tcMar>
            <w:vAlign w:val="top"/>
          </w:tcPr>
          <w:p>
            <w:pPr>
              <w:spacing w:after="0"/>
              <w:jc w:val="both"/>
            </w:pPr>
            <w:r>
              <w:rPr>
                <w:rFonts w:ascii="Arial" w:cs="Arial" w:eastAsia="Arial" w:hAnsi="Arial"/>
                <w:color w:val="1F2D24"/>
                <w:sz w:val="18"/>
                <w:szCs w:val="18"/>
              </w:rPr>
              <w:t xml:space="preserve">Contexto del cambio de modalidad y revisión y actualización de los planes de trabajo (E6 v1.1 a v2.0 «In house» y Plan de Trabajo Detallado del Perfil).</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8738"/>
      </w:tblGrid>
      <w:tr>
        <w:tc>
          <w:tcPr>
            <w:tcW w:type="dxa" w:w="900"/>
            <w:tcBorders>
              <w:top w:val="none" w:color="FFFFFF" w:sz="0"/>
              <w:left w:val="none" w:color="FFFFFF" w:sz="0"/>
              <w:bottom w:val="none" w:color="FFFFFF" w:sz="0"/>
              <w:right w:val="none" w:color="FFFFFF" w:sz="0"/>
            </w:tcBorders>
            <w:tcMar>
              <w:top w:type="dxa" w:w="40"/>
              <w:left w:type="dxa" w:w="0"/>
              <w:bottom w:type="dxa" w:w="40"/>
              <w:right w:type="dxa" w:w="80"/>
            </w:tcMar>
            <w:vAlign w:val="top"/>
          </w:tcPr>
          <w:p>
            <w:pPr>
              <w:spacing w:after="0"/>
            </w:pPr>
            <w:r>
              <w:rPr>
                <w:rFonts w:ascii="Arial" w:cs="Arial" w:eastAsia="Arial" w:hAnsi="Arial"/>
                <w:b/>
                <w:bCs/>
                <w:color w:val="1B4D2E"/>
                <w:sz w:val="17"/>
                <w:szCs w:val="17"/>
              </w:rPr>
              <w:t xml:space="preserve">3-A</w:t>
            </w:r>
          </w:p>
        </w:tc>
        <w:tc>
          <w:tcPr>
            <w:tcW w:type="dxa" w:w="8738"/>
            <w:tcBorders>
              <w:top w:val="none" w:color="FFFFFF" w:sz="0"/>
              <w:left w:val="none" w:color="FFFFFF" w:sz="0"/>
              <w:bottom w:val="none" w:color="FFFFFF" w:sz="0"/>
              <w:right w:val="none" w:color="FFFFFF" w:sz="0"/>
            </w:tcBorders>
            <w:tcMar>
              <w:top w:type="dxa" w:w="40"/>
              <w:left w:type="dxa" w:w="80"/>
              <w:bottom w:type="dxa" w:w="40"/>
              <w:right w:type="dxa" w:w="0"/>
            </w:tcMar>
            <w:vAlign w:val="top"/>
          </w:tcPr>
          <w:p>
            <w:pPr>
              <w:spacing w:after="0"/>
              <w:jc w:val="both"/>
            </w:pPr>
            <w:r>
              <w:rPr>
                <w:rFonts w:ascii="Arial" w:cs="Arial" w:eastAsia="Arial" w:hAnsi="Arial"/>
                <w:color w:val="1F2D24"/>
                <w:sz w:val="18"/>
                <w:szCs w:val="18"/>
              </w:rPr>
              <w:t xml:space="preserve">Diagnóstico del Estado de los Ecosistemas: seguimiento de actividades, revisión de insumos (OS), Nota Técnica N° 002-2026 e Informe E6; observaciones OE-01 a OE-13 y conformidad.</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8738"/>
      </w:tblGrid>
      <w:tr>
        <w:tc>
          <w:tcPr>
            <w:tcW w:type="dxa" w:w="900"/>
            <w:tcBorders>
              <w:top w:val="none" w:color="FFFFFF" w:sz="0"/>
              <w:left w:val="none" w:color="FFFFFF" w:sz="0"/>
              <w:bottom w:val="none" w:color="FFFFFF" w:sz="0"/>
              <w:right w:val="none" w:color="FFFFFF" w:sz="0"/>
            </w:tcBorders>
            <w:tcMar>
              <w:top w:type="dxa" w:w="40"/>
              <w:left w:type="dxa" w:w="0"/>
              <w:bottom w:type="dxa" w:w="40"/>
              <w:right w:type="dxa" w:w="80"/>
            </w:tcMar>
            <w:vAlign w:val="top"/>
          </w:tcPr>
          <w:p>
            <w:pPr>
              <w:spacing w:after="0"/>
            </w:pPr>
            <w:r>
              <w:rPr>
                <w:rFonts w:ascii="Arial" w:cs="Arial" w:eastAsia="Arial" w:hAnsi="Arial"/>
                <w:b/>
                <w:bCs/>
                <w:color w:val="1B4D2E"/>
                <w:sz w:val="17"/>
                <w:szCs w:val="17"/>
              </w:rPr>
              <w:t xml:space="preserve">3-B</w:t>
            </w:r>
          </w:p>
        </w:tc>
        <w:tc>
          <w:tcPr>
            <w:tcW w:type="dxa" w:w="8738"/>
            <w:tcBorders>
              <w:top w:val="none" w:color="FFFFFF" w:sz="0"/>
              <w:left w:val="none" w:color="FFFFFF" w:sz="0"/>
              <w:bottom w:val="none" w:color="FFFFFF" w:sz="0"/>
              <w:right w:val="none" w:color="FFFFFF" w:sz="0"/>
            </w:tcBorders>
            <w:tcMar>
              <w:top w:type="dxa" w:w="40"/>
              <w:left w:type="dxa" w:w="80"/>
              <w:bottom w:type="dxa" w:w="40"/>
              <w:right w:type="dxa" w:w="0"/>
            </w:tcMar>
            <w:vAlign w:val="top"/>
          </w:tcPr>
          <w:p>
            <w:pPr>
              <w:spacing w:after="0"/>
              <w:jc w:val="both"/>
            </w:pPr>
            <w:r>
              <w:rPr>
                <w:rFonts w:ascii="Arial" w:cs="Arial" w:eastAsia="Arial" w:hAnsi="Arial"/>
                <w:color w:val="1F2D24"/>
                <w:sz w:val="18"/>
                <w:szCs w:val="18"/>
              </w:rPr>
              <w:t xml:space="preserve">Estudio de Oferta de Material Vegetal: plan del componente, revisión de insumos, viveros identificados, observaciones OM-01 a OM-08, conformidad y medios verificadores.</w:t>
            </w:r>
          </w:p>
        </w:tc>
      </w:tr>
    </w:tbl>
    <w:p>
      <w:pPr>
        <w:spacing w:after="400" w:before="0"/>
      </w:pPr>
      <w:r>
        <w:rPr>
          <w:rFonts w:ascii="Arial" w:cs="Arial" w:eastAsia="Arial" w:hAnsi="Arial"/>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7338"/>
      </w:tblGrid>
      <w:tr>
        <w:trPr>
          <w:cantSplit/>
        </w:trPr>
        <w:tc>
          <w:tcPr>
            <w:tcW w:type="dxa" w:w="2300"/>
            <w:tcBorders>
              <w:top w:val="single" w:color="B9C8BD" w:sz="4"/>
              <w:left w:val="none" w:color="FFFFFF" w:sz="0"/>
              <w:bottom w:val="single" w:color="B9C8BD" w:sz="4"/>
              <w:right w:val="none" w:color="FFFFFF" w:sz="0"/>
            </w:tcBorders>
            <w:shd w:fill="E8F0EA" w:color="auto" w:val="clear"/>
            <w:tcMar>
              <w:top w:type="dxa" w:w="70"/>
              <w:left w:type="dxa" w:w="140"/>
              <w:bottom w:type="dxa" w:w="70"/>
              <w:right w:type="dxa" w:w="100"/>
            </w:tcMar>
            <w:vAlign w:val="center"/>
          </w:tcPr>
          <w:p>
            <w:pPr>
              <w:spacing w:after="0"/>
            </w:pPr>
            <w:r>
              <w:rPr>
                <w:rFonts w:ascii="Arial" w:cs="Arial" w:eastAsia="Arial" w:hAnsi="Arial"/>
                <w:b/>
                <w:bCs/>
                <w:color w:val="1B4D2E"/>
                <w:spacing w:val="15"/>
                <w:sz w:val="14"/>
                <w:szCs w:val="14"/>
              </w:rPr>
              <w:t xml:space="preserve">SERVICIO</w:t>
            </w:r>
          </w:p>
        </w:tc>
        <w:tc>
          <w:tcPr>
            <w:tcW w:type="dxa" w:w="7338"/>
            <w:tcBorders>
              <w:top w:val="single" w:color="B9C8BD" w:sz="4"/>
              <w:left w:val="none" w:color="FFFFFF" w:sz="0"/>
              <w:bottom w:val="single" w:color="B9C8BD" w:sz="4"/>
              <w:right w:val="none" w:color="FFFFFF" w:sz="0"/>
            </w:tcBorders>
            <w:tcMar>
              <w:top w:type="dxa" w:w="70"/>
              <w:left w:type="dxa" w:w="160"/>
              <w:bottom w:type="dxa" w:w="70"/>
              <w:right w:type="dxa" w:w="100"/>
            </w:tcMar>
            <w:vAlign w:val="center"/>
          </w:tcPr>
          <w:p>
            <w:pPr>
              <w:spacing w:after="0"/>
              <w:jc w:val="left"/>
            </w:pPr>
            <w:r>
              <w:rPr>
                <w:rFonts w:ascii="Arial" w:cs="Arial" w:eastAsia="Arial" w:hAnsi="Arial"/>
                <w:color w:val="1F2D24"/>
                <w:sz w:val="17"/>
                <w:szCs w:val="17"/>
              </w:rPr>
              <w:t xml:space="preserve">Servicio especializado para la determinación de área geográfica para el componente de infraestructura verde del estudio de preinversión del proyecto de Infraestructura Natural Piura</w:t>
            </w:r>
          </w:p>
        </w:tc>
      </w:tr>
      <w:tr>
        <w:trPr>
          <w:cantSplit/>
        </w:trPr>
        <w:tc>
          <w:tcPr>
            <w:tcW w:type="dxa" w:w="2300"/>
            <w:tcBorders>
              <w:top w:val="single" w:color="B9C8BD" w:sz="4"/>
              <w:left w:val="none" w:color="FFFFFF" w:sz="0"/>
              <w:bottom w:val="single" w:color="B9C8BD" w:sz="4"/>
              <w:right w:val="none" w:color="FFFFFF" w:sz="0"/>
            </w:tcBorders>
            <w:shd w:fill="E8F0EA" w:color="auto" w:val="clear"/>
            <w:tcMar>
              <w:top w:type="dxa" w:w="70"/>
              <w:left w:type="dxa" w:w="140"/>
              <w:bottom w:type="dxa" w:w="70"/>
              <w:right w:type="dxa" w:w="100"/>
            </w:tcMar>
            <w:vAlign w:val="center"/>
          </w:tcPr>
          <w:p>
            <w:pPr>
              <w:spacing w:after="0"/>
            </w:pPr>
            <w:r>
              <w:rPr>
                <w:rFonts w:ascii="Arial" w:cs="Arial" w:eastAsia="Arial" w:hAnsi="Arial"/>
                <w:b/>
                <w:bCs/>
                <w:color w:val="1B4D2E"/>
                <w:spacing w:val="15"/>
                <w:sz w:val="14"/>
                <w:szCs w:val="14"/>
              </w:rPr>
              <w:t xml:space="preserve">ESTUDIO DE PREINVERSIÓN</w:t>
            </w:r>
          </w:p>
        </w:tc>
        <w:tc>
          <w:tcPr>
            <w:tcW w:type="dxa" w:w="7338"/>
            <w:tcBorders>
              <w:top w:val="single" w:color="B9C8BD" w:sz="4"/>
              <w:left w:val="none" w:color="FFFFFF" w:sz="0"/>
              <w:bottom w:val="single" w:color="B9C8BD" w:sz="4"/>
              <w:right w:val="none" w:color="FFFFFF" w:sz="0"/>
            </w:tcBorders>
            <w:tcMar>
              <w:top w:type="dxa" w:w="70"/>
              <w:left w:type="dxa" w:w="160"/>
              <w:bottom w:type="dxa" w:w="70"/>
              <w:right w:type="dxa" w:w="100"/>
            </w:tcMar>
            <w:vAlign w:val="center"/>
          </w:tcPr>
          <w:p>
            <w:pPr>
              <w:spacing w:after="0"/>
              <w:jc w:val="left"/>
            </w:pPr>
            <w:r>
              <w:rPr>
                <w:rFonts w:ascii="Arial" w:cs="Arial" w:eastAsia="Arial" w:hAnsi="Arial"/>
                <w:color w:val="1F2D24"/>
                <w:sz w:val="17"/>
                <w:szCs w:val="17"/>
              </w:rPr>
              <w:t xml:space="preserve">Recuperación del servicio de regulación de riesgos naturales y recuperación de ecosistemas degradados en la Cuenca Alta del Río Piura — CUI 2669244</w:t>
            </w:r>
          </w:p>
        </w:tc>
      </w:tr>
      <w:tr>
        <w:trPr>
          <w:cantSplit/>
        </w:trPr>
        <w:tc>
          <w:tcPr>
            <w:tcW w:type="dxa" w:w="2300"/>
            <w:tcBorders>
              <w:top w:val="single" w:color="B9C8BD" w:sz="4"/>
              <w:left w:val="none" w:color="FFFFFF" w:sz="0"/>
              <w:bottom w:val="single" w:color="B9C8BD" w:sz="4"/>
              <w:right w:val="none" w:color="FFFFFF" w:sz="0"/>
            </w:tcBorders>
            <w:shd w:fill="E8F0EA" w:color="auto" w:val="clear"/>
            <w:tcMar>
              <w:top w:type="dxa" w:w="70"/>
              <w:left w:type="dxa" w:w="140"/>
              <w:bottom w:type="dxa" w:w="70"/>
              <w:right w:type="dxa" w:w="100"/>
            </w:tcMar>
            <w:vAlign w:val="center"/>
          </w:tcPr>
          <w:p>
            <w:pPr>
              <w:spacing w:after="0"/>
            </w:pPr>
            <w:r>
              <w:rPr>
                <w:rFonts w:ascii="Arial" w:cs="Arial" w:eastAsia="Arial" w:hAnsi="Arial"/>
                <w:b/>
                <w:bCs/>
                <w:color w:val="1B4D2E"/>
                <w:spacing w:val="15"/>
                <w:sz w:val="14"/>
                <w:szCs w:val="14"/>
              </w:rPr>
              <w:t xml:space="preserve">EN COORDINACIÓN CON</w:t>
            </w:r>
          </w:p>
        </w:tc>
        <w:tc>
          <w:tcPr>
            <w:tcW w:type="dxa" w:w="7338"/>
            <w:tcBorders>
              <w:top w:val="single" w:color="B9C8BD" w:sz="4"/>
              <w:left w:val="none" w:color="FFFFFF" w:sz="0"/>
              <w:bottom w:val="single" w:color="B9C8BD" w:sz="4"/>
              <w:right w:val="none" w:color="FFFFFF" w:sz="0"/>
            </w:tcBorders>
            <w:tcMar>
              <w:top w:type="dxa" w:w="70"/>
              <w:left w:type="dxa" w:w="160"/>
              <w:bottom w:type="dxa" w:w="70"/>
              <w:right w:type="dxa" w:w="100"/>
            </w:tcMar>
            <w:vAlign w:val="center"/>
          </w:tcPr>
          <w:p>
            <w:pPr>
              <w:spacing w:after="0"/>
              <w:jc w:val="left"/>
            </w:pPr>
            <w:r>
              <w:rPr>
                <w:rFonts w:ascii="Arial" w:cs="Arial" w:eastAsia="Arial" w:hAnsi="Arial"/>
                <w:color w:val="1F2D24"/>
                <w:sz w:val="17"/>
                <w:szCs w:val="17"/>
              </w:rPr>
              <w:t xml:space="preserve">Especialista en Intervenciones de Uso Sostenible — Proyecto IN Piura</w:t>
            </w:r>
          </w:p>
        </w:tc>
      </w:tr>
      <w:tr>
        <w:trPr>
          <w:cantSplit/>
        </w:trPr>
        <w:tc>
          <w:tcPr>
            <w:tcW w:type="dxa" w:w="2300"/>
            <w:tcBorders>
              <w:top w:val="single" w:color="B9C8BD" w:sz="4"/>
              <w:left w:val="none" w:color="FFFFFF" w:sz="0"/>
              <w:bottom w:val="single" w:color="B9C8BD" w:sz="4"/>
              <w:right w:val="none" w:color="FFFFFF" w:sz="0"/>
            </w:tcBorders>
            <w:shd w:fill="E8F0EA" w:color="auto" w:val="clear"/>
            <w:tcMar>
              <w:top w:type="dxa" w:w="70"/>
              <w:left w:type="dxa" w:w="140"/>
              <w:bottom w:type="dxa" w:w="70"/>
              <w:right w:type="dxa" w:w="100"/>
            </w:tcMar>
            <w:vAlign w:val="center"/>
          </w:tcPr>
          <w:p>
            <w:pPr>
              <w:spacing w:after="0"/>
            </w:pPr>
            <w:r>
              <w:rPr>
                <w:rFonts w:ascii="Arial" w:cs="Arial" w:eastAsia="Arial" w:hAnsi="Arial"/>
                <w:b/>
                <w:bCs/>
                <w:color w:val="1B4D2E"/>
                <w:spacing w:val="15"/>
                <w:sz w:val="14"/>
                <w:szCs w:val="14"/>
              </w:rPr>
              <w:t xml:space="preserve">ELABORADO POR</w:t>
            </w:r>
          </w:p>
        </w:tc>
        <w:tc>
          <w:tcPr>
            <w:tcW w:type="dxa" w:w="7338"/>
            <w:tcBorders>
              <w:top w:val="single" w:color="B9C8BD" w:sz="4"/>
              <w:left w:val="none" w:color="FFFFFF" w:sz="0"/>
              <w:bottom w:val="single" w:color="B9C8BD" w:sz="4"/>
              <w:right w:val="none" w:color="FFFFFF" w:sz="0"/>
            </w:tcBorders>
            <w:tcMar>
              <w:top w:type="dxa" w:w="70"/>
              <w:left w:type="dxa" w:w="160"/>
              <w:bottom w:type="dxa" w:w="70"/>
              <w:right w:type="dxa" w:w="100"/>
            </w:tcMar>
            <w:vAlign w:val="center"/>
          </w:tcPr>
          <w:p>
            <w:pPr>
              <w:spacing w:after="0"/>
              <w:jc w:val="left"/>
            </w:pPr>
            <w:r>
              <w:rPr>
                <w:rFonts w:ascii="Arial" w:cs="Arial" w:eastAsia="Arial" w:hAnsi="Arial"/>
                <w:color w:val="1F2D24"/>
                <w:sz w:val="17"/>
                <w:szCs w:val="17"/>
              </w:rPr>
              <w:t xml:space="preserve">Ing. Héctor Salomón Cahuas Miller — Ingeniero Forestal, Especialista en Infraestructura Verde</w:t>
            </w:r>
          </w:p>
        </w:tc>
      </w:tr>
      <w:tr>
        <w:trPr>
          <w:cantSplit/>
        </w:trPr>
        <w:tc>
          <w:tcPr>
            <w:tcW w:type="dxa" w:w="2300"/>
            <w:tcBorders>
              <w:top w:val="single" w:color="B9C8BD" w:sz="4"/>
              <w:left w:val="none" w:color="FFFFFF" w:sz="0"/>
              <w:bottom w:val="single" w:color="B9C8BD" w:sz="4"/>
              <w:right w:val="none" w:color="FFFFFF" w:sz="0"/>
            </w:tcBorders>
            <w:shd w:fill="E8F0EA" w:color="auto" w:val="clear"/>
            <w:tcMar>
              <w:top w:type="dxa" w:w="70"/>
              <w:left w:type="dxa" w:w="140"/>
              <w:bottom w:type="dxa" w:w="70"/>
              <w:right w:type="dxa" w:w="100"/>
            </w:tcMar>
            <w:vAlign w:val="center"/>
          </w:tcPr>
          <w:p>
            <w:pPr>
              <w:spacing w:after="0"/>
            </w:pPr>
            <w:r>
              <w:rPr>
                <w:rFonts w:ascii="Arial" w:cs="Arial" w:eastAsia="Arial" w:hAnsi="Arial"/>
                <w:b/>
                <w:bCs/>
                <w:color w:val="1B4D2E"/>
                <w:spacing w:val="15"/>
                <w:sz w:val="14"/>
                <w:szCs w:val="14"/>
              </w:rPr>
              <w:t xml:space="preserve">PERIODO</w:t>
            </w:r>
          </w:p>
        </w:tc>
        <w:tc>
          <w:tcPr>
            <w:tcW w:type="dxa" w:w="7338"/>
            <w:tcBorders>
              <w:top w:val="single" w:color="B9C8BD" w:sz="4"/>
              <w:left w:val="none" w:color="FFFFFF" w:sz="0"/>
              <w:bottom w:val="single" w:color="B9C8BD" w:sz="4"/>
              <w:right w:val="none" w:color="FFFFFF" w:sz="0"/>
            </w:tcBorders>
            <w:tcMar>
              <w:top w:type="dxa" w:w="70"/>
              <w:left w:type="dxa" w:w="160"/>
              <w:bottom w:type="dxa" w:w="70"/>
              <w:right w:type="dxa" w:w="100"/>
            </w:tcMar>
            <w:vAlign w:val="center"/>
          </w:tcPr>
          <w:p>
            <w:pPr>
              <w:spacing w:after="0"/>
              <w:jc w:val="left"/>
            </w:pPr>
            <w:r>
              <w:rPr>
                <w:rFonts w:ascii="Arial" w:cs="Arial" w:eastAsia="Arial" w:hAnsi="Arial"/>
                <w:color w:val="1F2D24"/>
                <w:sz w:val="17"/>
                <w:szCs w:val="17"/>
              </w:rPr>
              <w:t xml:space="preserve">Segundo entregable — del 26 de septiembre al 27 de octubre de 2026 (días 31 a 60 de la Orden de Servicio)</w:t>
            </w:r>
          </w:p>
        </w:tc>
      </w:tr>
    </w:tbl>
    <w:p>
      <w:pPr>
        <w:spacing w:after="200" w:before="0"/>
      </w:pPr>
      <w:r>
        <w:rPr>
          <w:rFonts w:ascii="Arial" w:cs="Arial" w:eastAsia="Arial" w:hAnsi="Arial"/>
          <w:sz w:val="2"/>
          <w:szCs w:val="2"/>
        </w:rPr>
        <w:t xml:space="preserve"/>
      </w:r>
    </w:p>
    <w:p>
      <w:pPr>
        <w:spacing w:after="30"/>
        <w:jc w:val="center"/>
      </w:pPr>
      <w:r>
        <w:rPr>
          <w:rFonts w:ascii="Arial" w:cs="Arial" w:eastAsia="Arial" w:hAnsi="Arial"/>
          <w:b/>
          <w:bCs/>
          <w:color w:val="1B4D2E"/>
          <w:sz w:val="19"/>
          <w:szCs w:val="19"/>
        </w:rPr>
        <w:t xml:space="preserve">Lima, octubre de 2026</w:t>
      </w:r>
    </w:p>
    <w:p>
      <w:pPr>
        <w:spacing w:after="0"/>
        <w:jc w:val="center"/>
      </w:pPr>
      <w:r>
        <w:rPr>
          <w:rFonts w:ascii="Arial" w:cs="Arial" w:eastAsia="Arial" w:hAnsi="Arial"/>
          <w:color w:val="595959"/>
          <w:sz w:val="15"/>
          <w:szCs w:val="15"/>
        </w:rPr>
        <w:t xml:space="preserve">Autoridad Nacional de Infraestructura · DIME · SESDI · UTM WGS 84 Zona 17S (EPSG:32717)</w:t>
      </w:r>
    </w:p>
    <w:p>
      <w:pPr>
        <w:sectPr>
          <w:headerReference w:type="default" r:id="rId7"/>
          <w:footerReference w:type="default" r:id="rId8"/>
          <w:pgSz w:w="11906" w:h="16838" w:orient="portrait"/>
          <w:pgMar w:top="1560" w:right="1134" w:bottom="1200" w:left="1134" w:header="560" w:footer="500" w:gutter="0"/>
          <w:pgNumType/>
          <w:docGrid w:linePitch="360"/>
        </w:sectPr>
      </w:pPr>
    </w:p>
    <w:p>
      <w:pPr>
        <w:spacing w:after="60"/>
        <w:jc w:val="center"/>
      </w:pPr>
      <w:r>
        <w:rPr>
          <w:rFonts w:ascii="Arial" w:cs="Arial" w:eastAsia="Arial" w:hAnsi="Arial"/>
          <w:b/>
          <w:bCs/>
          <w:sz w:val="26"/>
          <w:szCs w:val="26"/>
        </w:rPr>
        <w:t xml:space="preserve">ANEXO N° 3</w:t>
      </w:r>
    </w:p>
    <w:p>
      <w:pPr>
        <w:spacing w:after="60"/>
        <w:jc w:val="center"/>
      </w:pPr>
      <w:r>
        <w:rPr>
          <w:rFonts w:ascii="Arial" w:cs="Arial" w:eastAsia="Arial" w:hAnsi="Arial"/>
          <w:b/>
          <w:bCs/>
          <w:sz w:val="22"/>
          <w:szCs w:val="22"/>
        </w:rPr>
        <w:t xml:space="preserve">SEGUIMIENTO DEL DIAGNÓSTICO DEL ESTADO DE LOS ECOSISTEMAS Y DEL ESTUDIO DE OFERTA DE MATERIAL VEGETAL DE PROPAGACIÓN</w:t>
      </w:r>
    </w:p>
    <w:p>
      <w:pPr>
        <w:spacing w:after="240"/>
        <w:jc w:val="center"/>
      </w:pPr>
      <w:r>
        <w:rPr>
          <w:rFonts w:ascii="Arial" w:cs="Arial" w:eastAsia="Arial" w:hAnsi="Arial"/>
          <w:i/>
          <w:iCs/>
          <w:sz w:val="19"/>
          <w:szCs w:val="19"/>
        </w:rPr>
        <w:t xml:space="preserve">Entregable 6 del Perfil (E6) — periodo del 26/09 al 27/10/2026</w:t>
      </w:r>
    </w:p>
    <w:p>
      <w:pPr>
        <w:pStyle w:val="Heading1"/>
        <w:keepNext/>
      </w:pPr>
      <w:r>
        <w:t xml:space="preserve">1. OBJETIVO Y ALCANCE</w:t>
      </w:r>
    </w:p>
    <w:p>
      <w:pPr>
        <w:spacing w:after="120" w:line="276"/>
        <w:jc w:val="both"/>
      </w:pPr>
      <w:r>
        <w:rPr>
          <w:rFonts w:ascii="Arial" w:cs="Arial" w:eastAsia="Arial" w:hAnsi="Arial"/>
          <w:sz w:val="21"/>
          <w:szCs w:val="21"/>
        </w:rPr>
        <w:t xml:space="preserve">El presente anexo desarrolla la actividad d) del numeral 5.1 de los Términos de Referencia durante el periodo del segundo entregable. Documenta el seguimiento, en coordinación con el Especialista en Intervenciones Vegetativas de Uso Sostenible, Blgo. Abel Aucasime Orihuela, del Diagnóstico del Estado de los Ecosistemas (parte 3-A) y del Estudio de Oferta de Material Vegetal de Propagación (parte 3-B): la revisión y actualización de sus planes de trabajo, el seguimiento de las actividades de campo, la revisión técnica de los entregables, la formulación y el levantamiento de observaciones y el estado de las conformidades.</w:t>
      </w:r>
    </w:p>
    <w:p>
      <w:pPr>
        <w:spacing w:after="120" w:line="276"/>
        <w:jc w:val="both"/>
      </w:pPr>
      <w:r>
        <w:rPr>
          <w:rFonts w:ascii="Arial" w:cs="Arial" w:eastAsia="Arial" w:hAnsi="Arial"/>
          <w:sz w:val="21"/>
          <w:szCs w:val="21"/>
        </w:rPr>
        <w:t xml:space="preserve">Ambos estudios forman un solo producto del Perfil, el Entregable 6 «Diagnóstico del estado del ecosistema y estudio de oferta de material vegetal», regido por el Índice de Contenidos Mínimos 999990-ANIN001-000-XX-SC-EN-000002-R00 (SESDI, mayo de 2025), con tres componentes: estado del ecosistema, flora nativa para la gestión del riesgo de desastres (GRD) y oferta de material vegetal.</w:t>
      </w:r>
    </w:p>
    <w:p>
      <w:pPr>
        <w:pStyle w:val="Heading1"/>
        <w:keepNext/>
      </w:pPr>
      <w:r>
        <w:t xml:space="preserve">2. CONTEXTO: CAMBIO DE MODALIDAD DEL ESTUDIO</w:t>
      </w:r>
    </w:p>
    <w:p>
      <w:pPr>
        <w:spacing w:after="120" w:line="276"/>
        <w:jc w:val="both"/>
      </w:pPr>
      <w:r>
        <w:rPr>
          <w:rFonts w:ascii="Arial" w:cs="Arial" w:eastAsia="Arial" w:hAnsi="Arial"/>
          <w:sz w:val="21"/>
          <w:szCs w:val="21"/>
        </w:rPr>
        <w:t xml:space="preserve">Tres hechos del periodo redefinieron el seguimiento de la actividad d):</w:t>
      </w:r>
    </w:p>
    <w:p>
      <w:pPr>
        <w:pStyle w:val="ListParagraph"/>
        <w:numPr>
          <w:ilvl w:val="0"/>
          <w:numId w:val="2"/>
        </w:numPr>
        <w:spacing w:after="80" w:line="276"/>
        <w:jc w:val="both"/>
      </w:pPr>
      <w:r>
        <w:rPr>
          <w:rFonts w:ascii="Arial" w:cs="Arial" w:eastAsia="Arial" w:hAnsi="Arial"/>
          <w:b/>
          <w:bCs/>
          <w:sz w:val="21"/>
          <w:szCs w:val="21"/>
        </w:rPr>
        <w:t xml:space="preserve">Procedimiento desierto. </w:t>
      </w:r>
      <w:r>
        <w:rPr>
          <w:rFonts w:ascii="Arial" w:cs="Arial" w:eastAsia="Arial" w:hAnsi="Arial"/>
          <w:sz w:val="21"/>
          <w:szCs w:val="21"/>
        </w:rPr>
        <w:t xml:space="preserve">El procedimiento CP-ABR-5-2026-ANIN/DAI-1 para el Diagnóstico del Ecosistema y Estudio de Oferta de Material Vegetal fue declarado desierto en septiembre de 2026; la Coordinación de Proyectos IN desistió de reconvocarlo y dispuso su ejecución por Administración Directa, con el equipo del proyecto y a nivel de perfil.</w:t>
      </w:r>
    </w:p>
    <w:p>
      <w:pPr>
        <w:pStyle w:val="ListParagraph"/>
        <w:numPr>
          <w:ilvl w:val="0"/>
          <w:numId w:val="2"/>
        </w:numPr>
        <w:spacing w:after="80" w:line="276"/>
        <w:jc w:val="both"/>
      </w:pPr>
      <w:r>
        <w:rPr>
          <w:rFonts w:ascii="Arial" w:cs="Arial" w:eastAsia="Arial" w:hAnsi="Arial"/>
          <w:b/>
          <w:bCs/>
          <w:sz w:val="21"/>
          <w:szCs w:val="21"/>
        </w:rPr>
        <w:t xml:space="preserve">Alerta de El Niño Costero. </w:t>
      </w:r>
      <w:r>
        <w:rPr>
          <w:rFonts w:ascii="Arial" w:cs="Arial" w:eastAsia="Arial" w:hAnsi="Arial"/>
          <w:sz w:val="21"/>
          <w:szCs w:val="21"/>
        </w:rPr>
        <w:t xml:space="preserve">Los Comunicados Oficiales ENFEN N° 16-2026 (14/09/2026: 48 % de probabilidad de magnitud extraordinaria y 45 % de fuerte para diciembre 2026–marzo 2027) y N° 17-2026 (28/09/2026: lluvias sobre lo normal en la costa norte desde octubre) hicieron inviable la campaña de 157 parcelas de campo, que caería en plena temporada de lluvias, cortes de vías y huaicos.</w:t>
      </w:r>
    </w:p>
    <w:p>
      <w:pPr>
        <w:pStyle w:val="ListParagraph"/>
        <w:numPr>
          <w:ilvl w:val="0"/>
          <w:numId w:val="2"/>
        </w:numPr>
        <w:spacing w:after="80" w:line="276"/>
        <w:jc w:val="both"/>
      </w:pPr>
      <w:r>
        <w:rPr>
          <w:rFonts w:ascii="Arial" w:cs="Arial" w:eastAsia="Arial" w:hAnsi="Arial"/>
          <w:b/>
          <w:bCs/>
          <w:sz w:val="21"/>
          <w:szCs w:val="21"/>
        </w:rPr>
        <w:t xml:space="preserve">Plaza de viveros desierta. </w:t>
      </w:r>
      <w:r>
        <w:rPr>
          <w:rFonts w:ascii="Arial" w:cs="Arial" w:eastAsia="Arial" w:hAnsi="Arial"/>
          <w:sz w:val="21"/>
          <w:szCs w:val="21"/>
        </w:rPr>
        <w:t xml:space="preserve">La plaza de Especialista en Infraestructura Rural para la Producción (viveros) quedó desierta (octubre de 2026); la oferta y brecha de viveros del E6, el E10.2 y el E12.2 requieren la reasignación formal de funciones entre los especialistas de Intervenciones Vegetativas de Uso Sostenible, Infraestructura Verde e Infraestructura Marrón.</w:t>
      </w:r>
    </w:p>
    <w:p>
      <w:pPr>
        <w:spacing w:after="120" w:line="276"/>
        <w:jc w:val="both"/>
      </w:pPr>
      <w:r>
        <w:rPr>
          <w:rFonts w:ascii="Arial" w:cs="Arial" w:eastAsia="Arial" w:hAnsi="Arial"/>
          <w:sz w:val="21"/>
          <w:szCs w:val="21"/>
        </w:rPr>
        <w:t xml:space="preserve">En consecuencia, el seguimiento se ejerció sobre (i) la reformulación del plan de trabajo, (ii) los insumos producidos por órdenes de servicio (OS 1147, 1148, 2357, 2726 y 2797), (iii) la Nota Técnica de resultados por firma espectral y (iv) el Informe E6 en versión para revisión de SESDI. El equipo del E6 lo integran el suscrito (responsable técnico), el Ing. Albert Flores Mendoza (teledetección y SIG; operador RPAS para el Plan B) y el Ing. Pedro Talledo Hernández (Especialista en Infraestructura Marrón, análisis), con el apoyo del Especialista en Intervenciones Vegetativas de Uso Sostenible para la flora de los Lotes SUS y la oferta de plantones.</w:t>
      </w:r>
    </w:p>
    <w:p>
      <w:pPr>
        <w:pStyle w:val="Heading1"/>
        <w:keepNext/>
      </w:pPr>
      <w:r>
        <w:t xml:space="preserve">3. REVISIÓN Y ACTUALIZACIÓN DE LOS PLANES DE TRABAJO</w:t>
      </w:r>
    </w:p>
    <w:p>
      <w:pPr>
        <w:pStyle w:val="Heading2"/>
        <w:keepNext/>
      </w:pPr>
      <w:r>
        <w:t xml:space="preserve">3.1 Del plan versión 1.1 a la versión 2.0 «In house»</w:t>
      </w:r>
    </w:p>
    <w:p>
      <w:pPr>
        <w:spacing w:after="120" w:line="276"/>
        <w:jc w:val="both"/>
      </w:pPr>
      <w:r>
        <w:rPr>
          <w:rFonts w:ascii="Arial" w:cs="Arial" w:eastAsia="Arial" w:hAnsi="Arial"/>
          <w:sz w:val="21"/>
          <w:szCs w:val="21"/>
        </w:rPr>
        <w:t xml:space="preserve">El plan del E6 se actualizó a la versión 2.0 «In house» (08/10/2026), que ejecuta el estudio en 10 semanas, íntegramente en gabinete, y atiende los 14 capítulos del índice de contenidos mínimos. El Cuadro N° A3.1 compara ambas versiones.</w:t>
      </w:r>
    </w:p>
    <w:p>
      <w:pPr>
        <w:keepNext/>
        <w:keepLines/>
        <w:spacing w:after="80" w:before="160"/>
      </w:pPr>
      <w:r>
        <w:rPr>
          <w:rFonts w:ascii="Arial" w:cs="Arial" w:eastAsia="Arial" w:hAnsi="Arial"/>
          <w:b/>
          <w:bCs/>
          <w:sz w:val="19"/>
          <w:szCs w:val="19"/>
        </w:rPr>
        <w:t xml:space="preserve">Cuadro N° A3.1. Cambios del plan de trabajo del E6: versión 1.1 frente a versión 2.0</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3300"/>
        <w:gridCol w:w="3938"/>
      </w:tblGrid>
      <w:tr>
        <w:trPr>
          <w:cantSplit/>
          <w:tblHeader/>
        </w:trPr>
        <w:tc>
          <w:tcPr>
            <w:tcW w:type="dxa" w:w="2400"/>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7"/>
                <w:szCs w:val="17"/>
              </w:rPr>
              <w:t xml:space="preserve">COMPONENTE</w:t>
            </w:r>
          </w:p>
        </w:tc>
        <w:tc>
          <w:tcPr>
            <w:tcW w:type="dxa" w:w="3300"/>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7"/>
                <w:szCs w:val="17"/>
              </w:rPr>
              <w:t xml:space="preserve">VERSIÓN 1.1</w:t>
            </w:r>
          </w:p>
        </w:tc>
        <w:tc>
          <w:tcPr>
            <w:tcW w:type="dxa" w:w="3938"/>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7"/>
                <w:szCs w:val="17"/>
              </w:rPr>
              <w:t xml:space="preserve">VERSIÓN 2.0 «IN HOUSE»</w:t>
            </w:r>
          </w:p>
        </w:tc>
      </w:tr>
      <w:tr>
        <w:trPr>
          <w:cantSplit/>
        </w:trPr>
        <w:tc>
          <w:tcPr>
            <w:tcW w:type="dxa" w:w="2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Estructura</w:t>
            </w:r>
          </w:p>
        </w:tc>
        <w:tc>
          <w:tcPr>
            <w:tcW w:type="dxa" w:w="33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Índice propio de 13 ítems</w:t>
            </w:r>
          </w:p>
        </w:tc>
        <w:tc>
          <w:tcPr>
            <w:tcW w:type="dxa" w:w="39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Índice de Contenidos Mínimos R00, 14 capítulos</w:t>
            </w:r>
          </w:p>
        </w:tc>
      </w:tr>
      <w:tr>
        <w:trPr>
          <w:cantSplit/>
        </w:trPr>
        <w:tc>
          <w:tcPr>
            <w:tcW w:type="dxa" w:w="24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Ejecución y plazo</w:t>
            </w:r>
          </w:p>
        </w:tc>
        <w:tc>
          <w:tcPr>
            <w:tcW w:type="dxa" w:w="33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Servicio externo, 16 semanas; S/ 526,900 referenciales</w:t>
            </w:r>
          </w:p>
        </w:tc>
        <w:tc>
          <w:tcPr>
            <w:tcW w:type="dxa" w:w="39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Equipo ANIN, 10 semanas (S1 = 12/10/2026, referencial)</w:t>
            </w:r>
          </w:p>
        </w:tc>
      </w:tr>
      <w:tr>
        <w:trPr>
          <w:cantSplit/>
        </w:trPr>
        <w:tc>
          <w:tcPr>
            <w:tcW w:type="dxa" w:w="2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Unidades de muestreo</w:t>
            </w:r>
          </w:p>
        </w:tc>
        <w:tc>
          <w:tcPr>
            <w:tcW w:type="dxa" w:w="33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157 parcelas de campo de 0.1 ha</w:t>
            </w:r>
          </w:p>
        </w:tc>
        <w:tc>
          <w:tcPr>
            <w:tcW w:type="dxa" w:w="39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 1,400–1,700 parcelas virtuales de 0.5 ha y ≈ 600 puntos de validación</w:t>
            </w:r>
          </w:p>
        </w:tc>
      </w:tr>
      <w:tr>
        <w:trPr>
          <w:cantSplit/>
        </w:trPr>
        <w:tc>
          <w:tcPr>
            <w:tcW w:type="dxa" w:w="24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Firma espectral</w:t>
            </w:r>
          </w:p>
        </w:tc>
        <w:tc>
          <w:tcPr>
            <w:tcW w:type="dxa" w:w="33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Campaña con espectrorradiómetro 350–2,500 nm</w:t>
            </w:r>
          </w:p>
        </w:tc>
        <w:tc>
          <w:tcPr>
            <w:tcW w:type="dxa" w:w="39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Firmas espectro-temporales extraídas de imagen; librería UNF como referencia; espectrorradiometría diferida al estudio definitivo</w:t>
            </w:r>
          </w:p>
        </w:tc>
      </w:tr>
      <w:tr>
        <w:trPr>
          <w:cantSplit/>
        </w:trPr>
        <w:tc>
          <w:tcPr>
            <w:tcW w:type="dxa" w:w="2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Dron</w:t>
            </w:r>
          </w:p>
        </w:tc>
        <w:tc>
          <w:tcPr>
            <w:tcW w:type="dxa" w:w="33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 30 vuelos nuevos</w:t>
            </w:r>
          </w:p>
        </w:tc>
        <w:tc>
          <w:tcPr>
            <w:tcW w:type="dxa" w:w="39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Ortofotos ya tomadas como control; vuelos nuevos solo en el Plan B</w:t>
            </w:r>
          </w:p>
        </w:tc>
      </w:tr>
      <w:tr>
        <w:trPr>
          <w:cantSplit/>
        </w:trPr>
        <w:tc>
          <w:tcPr>
            <w:tcW w:type="dxa" w:w="24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Composición florística</w:t>
            </w:r>
          </w:p>
        </w:tc>
        <w:tc>
          <w:tcPr>
            <w:tcW w:type="dxa" w:w="33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Medida en parcelas</w:t>
            </w:r>
          </w:p>
        </w:tc>
        <w:tc>
          <w:tcPr>
            <w:tcW w:type="dxa" w:w="39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Registros secundarios, especies declaradas en campo y validación de expertos (Delphi)</w:t>
            </w:r>
          </w:p>
        </w:tc>
      </w:tr>
      <w:tr>
        <w:trPr>
          <w:cantSplit/>
        </w:trPr>
        <w:tc>
          <w:tcPr>
            <w:tcW w:type="dxa" w:w="2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Estructura vertical</w:t>
            </w:r>
          </w:p>
        </w:tc>
        <w:tc>
          <w:tcPr>
            <w:tcW w:type="dxa" w:w="33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DAP y altura en parcelas</w:t>
            </w:r>
          </w:p>
        </w:tc>
        <w:tc>
          <w:tcPr>
            <w:tcW w:type="dxa" w:w="39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Modelos de altura de dosel (GEDI, ETH 10 m, Meta 1 m) y fotointerpretación</w:t>
            </w:r>
          </w:p>
        </w:tc>
      </w:tr>
      <w:tr>
        <w:trPr>
          <w:cantSplit/>
        </w:trPr>
        <w:tc>
          <w:tcPr>
            <w:tcW w:type="dxa" w:w="24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Ecosistemas de referencia</w:t>
            </w:r>
          </w:p>
        </w:tc>
        <w:tc>
          <w:tcPr>
            <w:tcW w:type="dxa" w:w="33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Percentil 90 de referencias conservadas</w:t>
            </w:r>
          </w:p>
        </w:tc>
        <w:tc>
          <w:tcPr>
            <w:tcW w:type="dxa" w:w="39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Identificados en imágenes de muy alta resolución y series 1985–2026</w:t>
            </w:r>
          </w:p>
        </w:tc>
      </w:tr>
      <w:tr>
        <w:trPr>
          <w:cantSplit/>
        </w:trPr>
        <w:tc>
          <w:tcPr>
            <w:tcW w:type="dxa" w:w="2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Degradación</w:t>
            </w:r>
          </w:p>
        </w:tc>
        <w:tc>
          <w:tcPr>
            <w:tcW w:type="dxa" w:w="33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Índice de condición en 4 clases</w:t>
            </w:r>
          </w:p>
        </w:tc>
        <w:tc>
          <w:tcPr>
            <w:tcW w:type="dxa" w:w="39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Se mantiene, más el % de superficie bajo el umbral MSAVI 0.4976</w:t>
            </w:r>
          </w:p>
        </w:tc>
      </w:tr>
      <w:tr>
        <w:trPr>
          <w:cantSplit/>
        </w:trPr>
        <w:tc>
          <w:tcPr>
            <w:tcW w:type="dxa" w:w="24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Oferta de material vegetal</w:t>
            </w:r>
          </w:p>
        </w:tc>
        <w:tc>
          <w:tcPr>
            <w:tcW w:type="dxa" w:w="33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No incluida</w:t>
            </w:r>
          </w:p>
        </w:tc>
        <w:tc>
          <w:tcPr>
            <w:tcW w:type="dxa" w:w="39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Directorio, encuesta remota a viveros, capacidad y brecha de viveros</w:t>
            </w:r>
          </w:p>
        </w:tc>
      </w:tr>
    </w:tbl>
    <w:p>
      <w:pPr>
        <w:spacing w:after="200" w:before="50"/>
        <w:jc w:val="both"/>
      </w:pPr>
      <w:r>
        <w:rPr>
          <w:rFonts w:ascii="Arial" w:cs="Arial" w:eastAsia="Arial" w:hAnsi="Arial"/>
          <w:i/>
          <w:iCs/>
          <w:color w:val="595959"/>
          <w:sz w:val="15"/>
          <w:szCs w:val="15"/>
        </w:rPr>
        <w:t xml:space="preserve">Fuente: E6 v2.0 «In house», sección «Cambios respecto a la v1.1» (08/10/2026).</w:t>
      </w:r>
    </w:p>
    <w:p>
      <w:pPr>
        <w:spacing w:after="120" w:line="276"/>
        <w:jc w:val="both"/>
      </w:pPr>
      <w:r>
        <w:rPr>
          <w:rFonts w:ascii="Arial" w:cs="Arial" w:eastAsia="Arial" w:hAnsi="Arial"/>
          <w:sz w:val="21"/>
          <w:szCs w:val="21"/>
        </w:rPr>
        <w:t xml:space="preserve">La versión 2.0 identifica cinco ítems del índice que requieren conformidad expresa de SESDI por su adecuación a la inspección remota (Cuadro N° A3.2).</w:t>
      </w:r>
    </w:p>
    <w:p>
      <w:pPr>
        <w:keepNext/>
        <w:keepLines/>
        <w:spacing w:after="80" w:before="160"/>
      </w:pPr>
      <w:r>
        <w:rPr>
          <w:rFonts w:ascii="Arial" w:cs="Arial" w:eastAsia="Arial" w:hAnsi="Arial"/>
          <w:b/>
          <w:bCs/>
          <w:sz w:val="19"/>
          <w:szCs w:val="19"/>
        </w:rPr>
        <w:t xml:space="preserve">Cuadro N° A3.2. Ítems del índice de contenidos mínimos adecuados que requieren conformidad de SESDI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3300"/>
        <w:gridCol w:w="5238"/>
      </w:tblGrid>
      <w:tr>
        <w:trPr>
          <w:cantSplit/>
          <w:tblHeader/>
        </w:trPr>
        <w:tc>
          <w:tcPr>
            <w:tcW w:type="dxa" w:w="1100"/>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7"/>
                <w:szCs w:val="17"/>
              </w:rPr>
              <w:t xml:space="preserve">ÍTEM</w:t>
            </w:r>
          </w:p>
        </w:tc>
        <w:tc>
          <w:tcPr>
            <w:tcW w:type="dxa" w:w="3300"/>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7"/>
                <w:szCs w:val="17"/>
              </w:rPr>
              <w:t xml:space="preserve">EXIGENCIA DEL ÍNDICE</w:t>
            </w:r>
          </w:p>
        </w:tc>
        <w:tc>
          <w:tcPr>
            <w:tcW w:type="dxa" w:w="5238"/>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7"/>
                <w:szCs w:val="17"/>
              </w:rPr>
              <w:t xml:space="preserve">ADECUACIÓN PROPUESTA</w:t>
            </w:r>
          </w:p>
        </w:tc>
      </w:tr>
      <w:tr>
        <w:trPr>
          <w:cantSplit/>
        </w:trPr>
        <w:tc>
          <w:tcPr>
            <w:tcW w:type="dxa" w:w="11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7.2</w:t>
            </w:r>
          </w:p>
        </w:tc>
        <w:tc>
          <w:tcPr>
            <w:tcW w:type="dxa" w:w="33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Razón social de la consultora</w:t>
            </w:r>
          </w:p>
        </w:tc>
        <w:tc>
          <w:tcPr>
            <w:tcW w:type="dxa" w:w="52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ANIN – DIME – SESDI, por Administración Directa</w:t>
            </w:r>
          </w:p>
        </w:tc>
      </w:tr>
      <w:tr>
        <w:trPr>
          <w:cantSplit/>
        </w:trPr>
        <w:tc>
          <w:tcPr>
            <w:tcW w:type="dxa" w:w="11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9.1</w:t>
            </w:r>
          </w:p>
        </w:tc>
        <w:tc>
          <w:tcPr>
            <w:tcW w:type="dxa" w:w="33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GPS y formatos de campo</w:t>
            </w:r>
          </w:p>
        </w:tc>
        <w:tc>
          <w:tcPr>
            <w:tcW w:type="dxa" w:w="52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Formatos de inspección remota; GPS solo en el Plan B</w:t>
            </w:r>
          </w:p>
        </w:tc>
      </w:tr>
      <w:tr>
        <w:trPr>
          <w:cantSplit/>
        </w:trPr>
        <w:tc>
          <w:tcPr>
            <w:tcW w:type="dxa" w:w="11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9.5 y 10.7</w:t>
            </w:r>
          </w:p>
        </w:tc>
        <w:tc>
          <w:tcPr>
            <w:tcW w:type="dxa" w:w="33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Número de unidades de muestreo para la inspección de campo</w:t>
            </w:r>
          </w:p>
        </w:tc>
        <w:tc>
          <w:tcPr>
            <w:tcW w:type="dxa" w:w="52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Parcelas virtuales con cálculo estadístico; la evidencia de campo existente actúa como control</w:t>
            </w:r>
          </w:p>
        </w:tc>
      </w:tr>
      <w:tr>
        <w:trPr>
          <w:cantSplit/>
        </w:trPr>
        <w:tc>
          <w:tcPr>
            <w:tcW w:type="dxa" w:w="11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9.6 y 10.8</w:t>
            </w:r>
          </w:p>
        </w:tc>
        <w:tc>
          <w:tcPr>
            <w:tcW w:type="dxa" w:w="33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Mapas con validación en campo</w:t>
            </w:r>
          </w:p>
        </w:tc>
        <w:tc>
          <w:tcPr>
            <w:tcW w:type="dxa" w:w="52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Validación con imágenes de muy alta resolución, ortofotos y fotos georreferenciadas ya tomadas</w:t>
            </w:r>
          </w:p>
        </w:tc>
      </w:tr>
      <w:tr>
        <w:trPr>
          <w:cantSplit/>
        </w:trPr>
        <w:tc>
          <w:tcPr>
            <w:tcW w:type="dxa" w:w="11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10.3</w:t>
            </w:r>
          </w:p>
        </w:tc>
        <w:tc>
          <w:tcPr>
            <w:tcW w:type="dxa" w:w="33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Levantamiento de información de campo</w:t>
            </w:r>
          </w:p>
        </w:tc>
        <w:tc>
          <w:tcPr>
            <w:tcW w:type="dxa" w:w="52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Se reporta la evidencia ya levantada; no hay levantamiento nuevo</w:t>
            </w:r>
          </w:p>
        </w:tc>
      </w:tr>
    </w:tbl>
    <w:p>
      <w:pPr>
        <w:spacing w:after="200" w:before="50"/>
        <w:jc w:val="both"/>
      </w:pPr>
      <w:r>
        <w:rPr>
          <w:rFonts w:ascii="Arial" w:cs="Arial" w:eastAsia="Arial" w:hAnsi="Arial"/>
          <w:i/>
          <w:iCs/>
          <w:color w:val="595959"/>
          <w:sz w:val="15"/>
          <w:szCs w:val="15"/>
        </w:rPr>
        <w:t xml:space="preserve">Fuente: E6 v2.0, sección «Ítems del índice que requieren conformidad de SESDI».</w:t>
      </w:r>
    </w:p>
    <w:p>
      <w:pPr>
        <w:pStyle w:val="Heading2"/>
        <w:keepNext/>
      </w:pPr>
      <w:r>
        <w:t xml:space="preserve">3.2 Revisión del plan por el suscrito</w:t>
      </w:r>
    </w:p>
    <w:p>
      <w:pPr>
        <w:spacing w:after="120" w:line="276"/>
        <w:jc w:val="both"/>
      </w:pPr>
      <w:r>
        <w:rPr>
          <w:rFonts w:ascii="Arial" w:cs="Arial" w:eastAsia="Arial" w:hAnsi="Arial"/>
          <w:sz w:val="21"/>
          <w:szCs w:val="21"/>
        </w:rPr>
        <w:t xml:space="preserve">La revisión del plan v2.0 (versión «rev_hscm») introdujo los ajustes del Cuadro N° A3.3, contrastados contra la versión original del mismo día.</w:t>
      </w:r>
    </w:p>
    <w:p>
      <w:pPr>
        <w:keepNext/>
        <w:keepLines/>
        <w:spacing w:after="80" w:before="160"/>
      </w:pPr>
      <w:r>
        <w:rPr>
          <w:rFonts w:ascii="Arial" w:cs="Arial" w:eastAsia="Arial" w:hAnsi="Arial"/>
          <w:b/>
          <w:bCs/>
          <w:sz w:val="19"/>
          <w:szCs w:val="19"/>
        </w:rPr>
        <w:t xml:space="preserve">Cuadro N° A3.3. Ajustes introducidos en la revisión del plan de trabajo del E6 v2.0</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3400"/>
        <w:gridCol w:w="3938"/>
      </w:tblGrid>
      <w:tr>
        <w:trPr>
          <w:cantSplit/>
          <w:tblHeader/>
        </w:trPr>
        <w:tc>
          <w:tcPr>
            <w:tcW w:type="dxa" w:w="2300"/>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7"/>
                <w:szCs w:val="17"/>
              </w:rPr>
              <w:t xml:space="preserve">ELEMENTO</w:t>
            </w:r>
          </w:p>
        </w:tc>
        <w:tc>
          <w:tcPr>
            <w:tcW w:type="dxa" w:w="3400"/>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7"/>
                <w:szCs w:val="17"/>
              </w:rPr>
              <w:t xml:space="preserve">VERSIÓN ORIGINAL</w:t>
            </w:r>
          </w:p>
        </w:tc>
        <w:tc>
          <w:tcPr>
            <w:tcW w:type="dxa" w:w="3938"/>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7"/>
                <w:szCs w:val="17"/>
              </w:rPr>
              <w:t xml:space="preserve">VERSIÓN REVISADA (rev_hscm)</w:t>
            </w:r>
          </w:p>
        </w:tc>
      </w:tr>
      <w:tr>
        <w:trPr>
          <w:cantSplit/>
        </w:trPr>
        <w:tc>
          <w:tcPr>
            <w:tcW w:type="dxa" w:w="23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Denominación de la modalidad</w:t>
            </w:r>
          </w:p>
        </w:tc>
        <w:tc>
          <w:tcPr>
            <w:tcW w:type="dxa" w:w="3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«Propuesta ajustada sin parcelas de campo»</w:t>
            </w:r>
          </w:p>
        </w:tc>
        <w:tc>
          <w:tcPr>
            <w:tcW w:type="dxa" w:w="39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«Propuesta ajustada (Modalidad In house)»: la ausencia de parcelas deja de ser el rasgo definitorio</w:t>
            </w:r>
          </w:p>
        </w:tc>
      </w:tr>
      <w:tr>
        <w:trPr>
          <w:cantSplit/>
        </w:trPr>
        <w:tc>
          <w:tcPr>
            <w:tcW w:type="dxa" w:w="23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Horizonte de registro del Perfil</w:t>
            </w:r>
          </w:p>
        </w:tc>
        <w:tc>
          <w:tcPr>
            <w:tcW w:type="dxa" w:w="34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Enero de 2027</w:t>
            </w:r>
          </w:p>
        </w:tc>
        <w:tc>
          <w:tcPr>
            <w:tcW w:type="dxa" w:w="39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Marzo de 2027, consistente con la reprogramación del Plan de Trabajo Detallado</w:t>
            </w:r>
          </w:p>
        </w:tc>
      </w:tr>
      <w:tr>
        <w:trPr>
          <w:cantSplit/>
        </w:trPr>
        <w:tc>
          <w:tcPr>
            <w:tcW w:type="dxa" w:w="23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Especialista en teledetección y SIG (P2)</w:t>
            </w:r>
          </w:p>
        </w:tc>
        <w:tc>
          <w:tcPr>
            <w:tcW w:type="dxa" w:w="3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Por designar</w:t>
            </w:r>
          </w:p>
        </w:tc>
        <w:tc>
          <w:tcPr>
            <w:tcW w:type="dxa" w:w="39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Ing. Albert Flores Mendoza</w:t>
            </w:r>
          </w:p>
        </w:tc>
      </w:tr>
      <w:tr>
        <w:trPr>
          <w:cantSplit/>
        </w:trPr>
        <w:tc>
          <w:tcPr>
            <w:tcW w:type="dxa" w:w="23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Operador RPAS, Plan B (P9)</w:t>
            </w:r>
          </w:p>
        </w:tc>
        <w:tc>
          <w:tcPr>
            <w:tcW w:type="dxa" w:w="34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Por designar</w:t>
            </w:r>
          </w:p>
        </w:tc>
        <w:tc>
          <w:tcPr>
            <w:tcW w:type="dxa" w:w="39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Ing. Albert Flores Mendoza</w:t>
            </w:r>
          </w:p>
        </w:tc>
      </w:tr>
      <w:tr>
        <w:trPr>
          <w:cantSplit/>
        </w:trPr>
        <w:tc>
          <w:tcPr>
            <w:tcW w:type="dxa" w:w="23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Especialista en viveros y propagación (P4)</w:t>
            </w:r>
          </w:p>
        </w:tc>
        <w:tc>
          <w:tcPr>
            <w:tcW w:type="dxa" w:w="3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Ing. Forestal o Agrónomo</w:t>
            </w:r>
          </w:p>
        </w:tc>
        <w:tc>
          <w:tcPr>
            <w:tcW w:type="dxa" w:w="39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Ing. Forestal, Agrónomo o Biólogo con experiencia en viveros y propagación</w:t>
            </w:r>
          </w:p>
        </w:tc>
      </w:tr>
      <w:tr>
        <w:trPr>
          <w:cantSplit/>
        </w:trPr>
        <w:tc>
          <w:tcPr>
            <w:tcW w:type="dxa" w:w="23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Solicitudes de información</w:t>
            </w:r>
          </w:p>
        </w:tc>
        <w:tc>
          <w:tcPr>
            <w:tcW w:type="dxa" w:w="34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Documentos del ACR al Gobierno Regional Piura</w:t>
            </w:r>
          </w:p>
        </w:tc>
        <w:tc>
          <w:tcPr>
            <w:tcW w:type="dxa" w:w="39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Documentos de inventario florístico de las ACR al Gobierno Regional Piura</w:t>
            </w:r>
          </w:p>
        </w:tc>
      </w:tr>
      <w:tr>
        <w:trPr>
          <w:cantSplit/>
        </w:trPr>
        <w:tc>
          <w:tcPr>
            <w:tcW w:type="dxa" w:w="23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Activación de la brigada de campo</w:t>
            </w:r>
          </w:p>
        </w:tc>
        <w:tc>
          <w:tcPr>
            <w:tcW w:type="dxa" w:w="3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Brigada D (dron y permisos); próximo comunicado ENFEN 15/10/2026</w:t>
            </w:r>
          </w:p>
        </w:tc>
        <w:tc>
          <w:tcPr>
            <w:tcW w:type="dxa" w:w="39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Brigada D (dron), activación como medida de seguridad; próxima evaluación 19/10/2026</w:t>
            </w:r>
          </w:p>
        </w:tc>
      </w:tr>
      <w:tr>
        <w:trPr>
          <w:cantSplit/>
        </w:trPr>
        <w:tc>
          <w:tcPr>
            <w:tcW w:type="dxa" w:w="23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Índice del documento</w:t>
            </w:r>
          </w:p>
        </w:tc>
        <w:tc>
          <w:tcPr>
            <w:tcW w:type="dxa" w:w="34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Campo sin actualizar</w:t>
            </w:r>
          </w:p>
        </w:tc>
        <w:tc>
          <w:tcPr>
            <w:tcW w:type="dxa" w:w="39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Índice con paginación de los 14 capítulos y secciones previas</w:t>
            </w:r>
          </w:p>
        </w:tc>
      </w:tr>
    </w:tbl>
    <w:p>
      <w:pPr>
        <w:spacing w:after="200" w:before="50"/>
        <w:jc w:val="both"/>
      </w:pPr>
      <w:r>
        <w:rPr>
          <w:rFonts w:ascii="Arial" w:cs="Arial" w:eastAsia="Arial" w:hAnsi="Arial"/>
          <w:i/>
          <w:iCs/>
          <w:color w:val="595959"/>
          <w:sz w:val="15"/>
          <w:szCs w:val="15"/>
        </w:rPr>
        <w:t xml:space="preserve">Fuente: comparación de «E6_v2.0_sin_parcelas_ANIN.docx» y «E6_v2.0_sin_parcelas_ANIN_rev_hscm.docx» (08/10/2026).</w:t>
      </w:r>
    </w:p>
    <w:p>
      <w:pPr>
        <w:pStyle w:val="Heading2"/>
        <w:keepNext/>
      </w:pPr>
      <w:r>
        <w:t xml:space="preserve">3.3 Actualización del Plan de Trabajo Detallado del Perfil</w:t>
      </w:r>
    </w:p>
    <w:p>
      <w:pPr>
        <w:spacing w:after="120" w:line="276"/>
        <w:jc w:val="both"/>
      </w:pPr>
      <w:r>
        <w:rPr>
          <w:rFonts w:ascii="Arial" w:cs="Arial" w:eastAsia="Arial" w:hAnsi="Arial"/>
          <w:sz w:val="21"/>
          <w:szCs w:val="21"/>
        </w:rPr>
        <w:t xml:space="preserve">La Actualización N° 01 (11/10/2026) y la Actualización N° 02 (16/10/2026) del Plan de Trabajo Detallado del Perfil, elaboradas por el suscrito para revisión de la Coordinación de Proyectos IN y conformidad de SESDI, formalizan para el E6: el descarte de la reconvocatoria y la ejecución por Administración Directa con la metodología de firma espectral, sin servicio externo ni contratación de personal; el avance de 39 % con estado «con retraso»; la redacción final del informe al 18/11/2026, con las especies priorizadas y la brecha de viveros por escenarios como entregas parciales al E10; y la reasignación de las funciones de la plaza de viveros antes del 23/10/2026.</w:t>
      </w:r>
    </w:p>
    <w:p>
      <w:pPr>
        <w:keepNext/>
        <w:keepLines/>
        <w:spacing w:after="80" w:before="160"/>
      </w:pPr>
      <w:r>
        <w:rPr>
          <w:rFonts w:ascii="Arial" w:cs="Arial" w:eastAsia="Arial" w:hAnsi="Arial"/>
          <w:b/>
          <w:bCs/>
          <w:sz w:val="19"/>
          <w:szCs w:val="19"/>
        </w:rPr>
        <w:t xml:space="preserve">Cuadro N° A3.4. Hitos del E6 según el plan v2.0 y el Plan de Trabajo Detallado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4400"/>
        <w:gridCol w:w="2100"/>
        <w:gridCol w:w="2138"/>
      </w:tblGrid>
      <w:tr>
        <w:trPr>
          <w:cantSplit/>
          <w:tblHeader/>
        </w:trPr>
        <w:tc>
          <w:tcPr>
            <w:tcW w:type="dxa" w:w="1000"/>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7"/>
                <w:szCs w:val="17"/>
              </w:rPr>
              <w:t xml:space="preserve">HITO</w:t>
            </w:r>
          </w:p>
        </w:tc>
        <w:tc>
          <w:tcPr>
            <w:tcW w:type="dxa" w:w="4400"/>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7"/>
                <w:szCs w:val="17"/>
              </w:rPr>
              <w:t xml:space="preserve">DESCRIPCIÓN</w:t>
            </w:r>
          </w:p>
        </w:tc>
        <w:tc>
          <w:tcPr>
            <w:tcW w:type="dxa" w:w="2100"/>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7"/>
                <w:szCs w:val="17"/>
              </w:rPr>
              <w:t xml:space="preserve">PLAN E6 v2.0 (S1 = 12/10)</w:t>
            </w:r>
          </w:p>
        </w:tc>
        <w:tc>
          <w:tcPr>
            <w:tcW w:type="dxa" w:w="2138"/>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7"/>
                <w:szCs w:val="17"/>
              </w:rPr>
              <w:t xml:space="preserve">PLAN DETALLADO (ACT. 02)</w:t>
            </w:r>
          </w:p>
        </w:tc>
      </w:tr>
      <w:tr>
        <w:trPr>
          <w:cantSplit/>
        </w:trPr>
        <w:tc>
          <w:tcPr>
            <w:tcW w:type="dxa" w:w="10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H1</w:t>
            </w:r>
          </w:p>
        </w:tc>
        <w:tc>
          <w:tcPr>
            <w:tcW w:type="dxa" w:w="4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Diseño muestral aprobado (piloto de 30 parcelas por estrato)</w:t>
            </w:r>
          </w:p>
        </w:tc>
        <w:tc>
          <w:tcPr>
            <w:tcW w:type="dxa" w:w="21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Fin de S4</w:t>
            </w:r>
          </w:p>
        </w:tc>
        <w:tc>
          <w:tcPr>
            <w:tcW w:type="dxa" w:w="21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w:t>
            </w:r>
          </w:p>
        </w:tc>
      </w:tr>
      <w:tr>
        <w:trPr>
          <w:cantSplit/>
        </w:trPr>
        <w:tc>
          <w:tcPr>
            <w:tcW w:type="dxa" w:w="10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H2</w:t>
            </w:r>
          </w:p>
        </w:tc>
        <w:tc>
          <w:tcPr>
            <w:tcW w:type="dxa" w:w="44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Especies priorizadas provisionales para el E10</w:t>
            </w:r>
          </w:p>
        </w:tc>
        <w:tc>
          <w:tcPr>
            <w:tcW w:type="dxa" w:w="21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Fin de S6 (ratificadas en S7)</w:t>
            </w:r>
          </w:p>
        </w:tc>
        <w:tc>
          <w:tcPr>
            <w:tcW w:type="dxa" w:w="21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18/11/2026 (H7c)</w:t>
            </w:r>
          </w:p>
        </w:tc>
      </w:tr>
      <w:tr>
        <w:trPr>
          <w:cantSplit/>
        </w:trPr>
        <w:tc>
          <w:tcPr>
            <w:tcW w:type="dxa" w:w="10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H3</w:t>
            </w:r>
          </w:p>
        </w:tc>
        <w:tc>
          <w:tcPr>
            <w:tcW w:type="dxa" w:w="4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Brecha de viveros por escenarios para el E10</w:t>
            </w:r>
          </w:p>
        </w:tc>
        <w:tc>
          <w:tcPr>
            <w:tcW w:type="dxa" w:w="21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Fin de S8</w:t>
            </w:r>
          </w:p>
        </w:tc>
        <w:tc>
          <w:tcPr>
            <w:tcW w:type="dxa" w:w="21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18/11/2026 (H7c)</w:t>
            </w:r>
          </w:p>
        </w:tc>
      </w:tr>
      <w:tr>
        <w:trPr>
          <w:cantSplit/>
        </w:trPr>
        <w:tc>
          <w:tcPr>
            <w:tcW w:type="dxa" w:w="10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H4</w:t>
            </w:r>
          </w:p>
        </w:tc>
        <w:tc>
          <w:tcPr>
            <w:tcW w:type="dxa" w:w="44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Borrador para revisión de SESDI</w:t>
            </w:r>
          </w:p>
        </w:tc>
        <w:tc>
          <w:tcPr>
            <w:tcW w:type="dxa" w:w="21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Fin de S9</w:t>
            </w:r>
          </w:p>
        </w:tc>
        <w:tc>
          <w:tcPr>
            <w:tcW w:type="dxa" w:w="21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Versión para revisión emitida (10/2026)</w:t>
            </w:r>
          </w:p>
        </w:tc>
      </w:tr>
      <w:tr>
        <w:trPr>
          <w:cantSplit/>
        </w:trPr>
        <w:tc>
          <w:tcPr>
            <w:tcW w:type="dxa" w:w="10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H5</w:t>
            </w:r>
          </w:p>
        </w:tc>
        <w:tc>
          <w:tcPr>
            <w:tcW w:type="dxa" w:w="4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Informe final con observaciones levantadas</w:t>
            </w:r>
          </w:p>
        </w:tc>
        <w:tc>
          <w:tcPr>
            <w:tcW w:type="dxa" w:w="21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Fin de S10 (18/12/2026)</w:t>
            </w:r>
          </w:p>
        </w:tc>
        <w:tc>
          <w:tcPr>
            <w:tcW w:type="dxa" w:w="21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18/11/2026 (redacción final)</w:t>
            </w:r>
          </w:p>
        </w:tc>
      </w:tr>
      <w:tr>
        <w:trPr>
          <w:cantSplit/>
        </w:trPr>
        <w:tc>
          <w:tcPr>
            <w:tcW w:type="dxa" w:w="10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H6g</w:t>
            </w:r>
          </w:p>
        </w:tc>
        <w:tc>
          <w:tcPr>
            <w:tcW w:type="dxa" w:w="44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Clasificación de 92 tomas S2DR4</w:t>
            </w:r>
          </w:p>
        </w:tc>
        <w:tc>
          <w:tcPr>
            <w:tcW w:type="dxa" w:w="21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w:t>
            </w:r>
          </w:p>
        </w:tc>
        <w:tc>
          <w:tcPr>
            <w:tcW w:type="dxa" w:w="21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Cumplido (13/10/2026)</w:t>
            </w:r>
          </w:p>
        </w:tc>
      </w:tr>
      <w:tr>
        <w:trPr>
          <w:cantSplit/>
        </w:trPr>
        <w:tc>
          <w:tcPr>
            <w:tcW w:type="dxa" w:w="10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H7b</w:t>
            </w:r>
          </w:p>
        </w:tc>
        <w:tc>
          <w:tcPr>
            <w:tcW w:type="dxa" w:w="4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Conformidad de SESDI / Coordinación IN sobre la metodología de firma espectral</w:t>
            </w:r>
          </w:p>
        </w:tc>
        <w:tc>
          <w:tcPr>
            <w:tcW w:type="dxa" w:w="21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Semana 1 (memorando)</w:t>
            </w:r>
          </w:p>
        </w:tc>
        <w:tc>
          <w:tcPr>
            <w:tcW w:type="dxa" w:w="21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Pendiente</w:t>
            </w:r>
          </w:p>
        </w:tc>
      </w:tr>
    </w:tbl>
    <w:p>
      <w:pPr>
        <w:spacing w:after="200" w:before="50"/>
        <w:jc w:val="both"/>
      </w:pPr>
      <w:r>
        <w:rPr>
          <w:rFonts w:ascii="Arial" w:cs="Arial" w:eastAsia="Arial" w:hAnsi="Arial"/>
          <w:i/>
          <w:iCs/>
          <w:color w:val="595959"/>
          <w:sz w:val="15"/>
          <w:szCs w:val="15"/>
        </w:rPr>
        <w:t xml:space="preserve">Fuente: E6 v2.0, numeral 10.1; Plan de Trabajo Detallado del Perfil, Actualización N° 02, cuadro de hitos.</w:t>
      </w:r>
    </w:p>
    <w:p>
      <w:pPr>
        <w:sectPr>
          <w:headerReference w:type="default" r:id="rId9"/>
          <w:footerReference w:type="default" r:id="rId10"/>
          <w:pgSz w:w="11906" w:h="16838" w:orient="portrait"/>
          <w:pgMar w:top="1560" w:right="1134" w:bottom="1200" w:left="1134" w:header="560" w:footer="500" w:gutter="0"/>
          <w:pgNumType/>
          <w:docGrid w:linePitch="360"/>
        </w:sectPr>
      </w:pPr>
    </w:p>
    <w:p>
      <w:pPr>
        <w:spacing w:after="3000" w:before="0"/>
      </w:pPr>
      <w:r>
        <w:rPr>
          <w:rFonts w:ascii="Arial" w:cs="Arial" w:eastAsia="Arial" w:hAnsi="Arial"/>
          <w:sz w:val="2"/>
          <w:szCs w:val="2"/>
        </w:rPr>
        <w:t xml:space="preserve"/>
      </w:r>
    </w:p>
    <w:p>
      <w:pPr>
        <w:spacing w:after="0"/>
        <w:jc w:val="left"/>
      </w:pPr>
      <w:r>
        <w:rPr>
          <w:rFonts w:ascii="Arial" w:cs="Arial" w:eastAsia="Arial" w:hAnsi="Arial"/>
          <w:b/>
          <w:bCs/>
          <w:color w:val="B8962E"/>
          <w:spacing w:val="30"/>
          <w:sz w:val="16"/>
          <w:szCs w:val="16"/>
        </w:rPr>
        <w:t xml:space="preserve">PROYECTO IN PIURA  ·  CUI 2669244  ·  CÓDIGO DE IDEA 337830</w:t>
      </w:r>
    </w:p>
    <w:p>
      <w:pPr>
        <w:spacing w:after="160"/>
        <w:jc w:val="left"/>
      </w:pPr>
      <w:r>
        <w:rPr>
          <w:rFonts w:ascii="Arial" w:cs="Arial" w:eastAsia="Arial" w:hAnsi="Arial"/>
          <w:color w:val="595959"/>
          <w:sz w:val="16"/>
          <w:szCs w:val="16"/>
        </w:rPr>
        <w:t xml:space="preserve">Segundo Entregable  ·  Orden de Servicio N° 4062-2026  ·  Informe N° 008-2026-HSCM</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trHeight w:val="70" w:hRule="exact"/>
        </w:trPr>
        <w:tc>
          <w:tcPr>
            <w:tcW w:type="dxa" w:w="9638"/>
            <w:tcBorders>
              <w:top w:val="none" w:color="FFFFFF" w:sz="0"/>
              <w:left w:val="none" w:color="FFFFFF" w:sz="0"/>
              <w:bottom w:val="none" w:color="FFFFFF" w:sz="0"/>
              <w:right w:val="none" w:color="FFFFFF" w:sz="0"/>
            </w:tcBorders>
            <w:shd w:fill="B8962E" w:color="auto" w:val="clear"/>
            <w:tcMar>
              <w:top w:type="dxa" w:w="0"/>
              <w:left w:type="dxa" w:w="0"/>
              <w:bottom w:type="dxa" w:w="0"/>
              <w:right w:type="dxa" w:w="0"/>
            </w:tcMar>
            <w:vAlign w:val="center"/>
          </w:tcPr>
          <w:p>
            <w:pPr>
              <w:spacing w:after="0"/>
            </w:pPr>
            <w:r>
              <w:rPr>
                <w:rFonts w:ascii="Arial" w:cs="Arial" w:eastAsia="Arial" w:hAnsi="Arial"/>
                <w:sz w:val="2"/>
                <w:szCs w:val="2"/>
              </w:rPr>
              <w:t xml:space="preserve"/>
            </w:r>
          </w:p>
        </w:tc>
      </w:tr>
      <w:tr>
        <w:tc>
          <w:tcPr>
            <w:tcW w:type="dxa" w:w="9638"/>
            <w:tcBorders>
              <w:top w:val="none" w:color="FFFFFF" w:sz="0"/>
              <w:left w:val="none" w:color="FFFFFF" w:sz="0"/>
              <w:bottom w:val="none" w:color="FFFFFF" w:sz="0"/>
              <w:right w:val="none" w:color="FFFFFF" w:sz="0"/>
            </w:tcBorders>
            <w:shd w:fill="1B4D2E" w:color="auto" w:val="clear"/>
            <w:tcMar>
              <w:top w:type="dxa" w:w="260"/>
              <w:left w:type="dxa" w:w="400"/>
              <w:bottom w:type="dxa" w:w="240"/>
              <w:right w:type="dxa" w:w="400"/>
            </w:tcMar>
            <w:vAlign w:val="center"/>
          </w:tcPr>
          <w:p>
            <w:pPr>
              <w:spacing w:after="60"/>
            </w:pPr>
            <w:r>
              <w:rPr>
                <w:rFonts w:ascii="Arial" w:cs="Arial" w:eastAsia="Arial" w:hAnsi="Arial"/>
                <w:b/>
                <w:bCs/>
                <w:color w:val="FFFFFF"/>
                <w:sz w:val="44"/>
                <w:szCs w:val="44"/>
              </w:rPr>
              <w:t xml:space="preserve">ANEXO 3-A</w:t>
            </w:r>
          </w:p>
          <w:p>
            <w:pPr>
              <w:spacing w:after="0"/>
            </w:pPr>
            <w:r>
              <w:rPr>
                <w:rFonts w:ascii="Arial" w:cs="Arial" w:eastAsia="Arial" w:hAnsi="Arial"/>
                <w:b/>
                <w:bCs/>
                <w:color w:val="D9C27A"/>
                <w:spacing w:val="20"/>
                <w:sz w:val="18"/>
                <w:szCs w:val="18"/>
              </w:rPr>
              <w:t xml:space="preserve">ACTIVIDAD d)  —  NUMERAL 5.1 DE LOS TÉRMINOS DE REFERENCIA</w:t>
            </w:r>
          </w:p>
        </w:tc>
      </w:tr>
    </w:tbl>
    <w:p>
      <w:pPr>
        <w:spacing w:after="320" w:before="0"/>
      </w:pPr>
      <w:r>
        <w:rPr>
          <w:rFonts w:ascii="Arial" w:cs="Arial" w:eastAsia="Arial" w:hAnsi="Arial"/>
          <w:sz w:val="2"/>
          <w:szCs w:val="2"/>
        </w:rPr>
        <w:t xml:space="preserve"/>
      </w:r>
    </w:p>
    <w:p>
      <w:pPr>
        <w:spacing w:after="120" w:line="300"/>
        <w:jc w:val="left"/>
      </w:pPr>
      <w:r>
        <w:rPr>
          <w:rFonts w:ascii="Arial" w:cs="Arial" w:eastAsia="Arial" w:hAnsi="Arial"/>
          <w:b/>
          <w:bCs/>
          <w:color w:val="1B4D2E"/>
          <w:sz w:val="30"/>
          <w:szCs w:val="30"/>
        </w:rPr>
        <w:t xml:space="preserve">DIAGNÓSTICO DEL ESTADO DE LOS ECOSISTEMAS</w:t>
      </w:r>
    </w:p>
    <w:p>
      <w:pPr>
        <w:spacing w:after="240" w:line="280"/>
        <w:jc w:val="left"/>
      </w:pPr>
      <w:r>
        <w:rPr>
          <w:rFonts w:ascii="Arial" w:cs="Arial" w:eastAsia="Arial" w:hAnsi="Arial"/>
          <w:color w:val="2E6B47"/>
          <w:sz w:val="22"/>
          <w:szCs w:val="22"/>
        </w:rPr>
        <w:t xml:space="preserve">Seguimiento, revisión técnica, observaciones y conformidad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7338"/>
      </w:tblGrid>
      <w:tr>
        <w:trPr>
          <w:cantSplit/>
        </w:trPr>
        <w:tc>
          <w:tcPr>
            <w:tcW w:type="dxa" w:w="2300"/>
            <w:tcBorders>
              <w:top w:val="single" w:color="B9C8BD" w:sz="4"/>
              <w:left w:val="none" w:color="FFFFFF" w:sz="0"/>
              <w:bottom w:val="single" w:color="B9C8BD" w:sz="4"/>
              <w:right w:val="none" w:color="FFFFFF" w:sz="0"/>
            </w:tcBorders>
            <w:shd w:fill="E8F0EA" w:color="auto" w:val="clear"/>
            <w:tcMar>
              <w:top w:type="dxa" w:w="70"/>
              <w:left w:type="dxa" w:w="140"/>
              <w:bottom w:type="dxa" w:w="70"/>
              <w:right w:type="dxa" w:w="100"/>
            </w:tcMar>
            <w:vAlign w:val="center"/>
          </w:tcPr>
          <w:p>
            <w:pPr>
              <w:spacing w:after="0"/>
            </w:pPr>
            <w:r>
              <w:rPr>
                <w:rFonts w:ascii="Arial" w:cs="Arial" w:eastAsia="Arial" w:hAnsi="Arial"/>
                <w:b/>
                <w:bCs/>
                <w:color w:val="1B4D2E"/>
                <w:spacing w:val="15"/>
                <w:sz w:val="14"/>
                <w:szCs w:val="14"/>
              </w:rPr>
              <w:t xml:space="preserve">SERVICIO</w:t>
            </w:r>
          </w:p>
        </w:tc>
        <w:tc>
          <w:tcPr>
            <w:tcW w:type="dxa" w:w="7338"/>
            <w:tcBorders>
              <w:top w:val="single" w:color="B9C8BD" w:sz="4"/>
              <w:left w:val="none" w:color="FFFFFF" w:sz="0"/>
              <w:bottom w:val="single" w:color="B9C8BD" w:sz="4"/>
              <w:right w:val="none" w:color="FFFFFF" w:sz="0"/>
            </w:tcBorders>
            <w:tcMar>
              <w:top w:type="dxa" w:w="70"/>
              <w:left w:type="dxa" w:w="160"/>
              <w:bottom w:type="dxa" w:w="70"/>
              <w:right w:type="dxa" w:w="100"/>
            </w:tcMar>
            <w:vAlign w:val="center"/>
          </w:tcPr>
          <w:p>
            <w:pPr>
              <w:spacing w:after="0"/>
              <w:jc w:val="left"/>
            </w:pPr>
            <w:r>
              <w:rPr>
                <w:rFonts w:ascii="Arial" w:cs="Arial" w:eastAsia="Arial" w:hAnsi="Arial"/>
                <w:color w:val="1F2D24"/>
                <w:sz w:val="17"/>
                <w:szCs w:val="17"/>
              </w:rPr>
              <w:t xml:space="preserve">Servicio especializado para la determinación de área geográfica para el componente de infraestructura verde del estudio de preinversión del proyecto de Infraestructura Natural Piura</w:t>
            </w:r>
          </w:p>
        </w:tc>
      </w:tr>
      <w:tr>
        <w:trPr>
          <w:cantSplit/>
        </w:trPr>
        <w:tc>
          <w:tcPr>
            <w:tcW w:type="dxa" w:w="2300"/>
            <w:tcBorders>
              <w:top w:val="single" w:color="B9C8BD" w:sz="4"/>
              <w:left w:val="none" w:color="FFFFFF" w:sz="0"/>
              <w:bottom w:val="single" w:color="B9C8BD" w:sz="4"/>
              <w:right w:val="none" w:color="FFFFFF" w:sz="0"/>
            </w:tcBorders>
            <w:shd w:fill="E8F0EA" w:color="auto" w:val="clear"/>
            <w:tcMar>
              <w:top w:type="dxa" w:w="70"/>
              <w:left w:type="dxa" w:w="140"/>
              <w:bottom w:type="dxa" w:w="70"/>
              <w:right w:type="dxa" w:w="100"/>
            </w:tcMar>
            <w:vAlign w:val="center"/>
          </w:tcPr>
          <w:p>
            <w:pPr>
              <w:spacing w:after="0"/>
            </w:pPr>
            <w:r>
              <w:rPr>
                <w:rFonts w:ascii="Arial" w:cs="Arial" w:eastAsia="Arial" w:hAnsi="Arial"/>
                <w:b/>
                <w:bCs/>
                <w:color w:val="1B4D2E"/>
                <w:spacing w:val="15"/>
                <w:sz w:val="14"/>
                <w:szCs w:val="14"/>
              </w:rPr>
              <w:t xml:space="preserve">ESTUDIO DE PREINVERSIÓN</w:t>
            </w:r>
          </w:p>
        </w:tc>
        <w:tc>
          <w:tcPr>
            <w:tcW w:type="dxa" w:w="7338"/>
            <w:tcBorders>
              <w:top w:val="single" w:color="B9C8BD" w:sz="4"/>
              <w:left w:val="none" w:color="FFFFFF" w:sz="0"/>
              <w:bottom w:val="single" w:color="B9C8BD" w:sz="4"/>
              <w:right w:val="none" w:color="FFFFFF" w:sz="0"/>
            </w:tcBorders>
            <w:tcMar>
              <w:top w:type="dxa" w:w="70"/>
              <w:left w:type="dxa" w:w="160"/>
              <w:bottom w:type="dxa" w:w="70"/>
              <w:right w:type="dxa" w:w="100"/>
            </w:tcMar>
            <w:vAlign w:val="center"/>
          </w:tcPr>
          <w:p>
            <w:pPr>
              <w:spacing w:after="0"/>
              <w:jc w:val="left"/>
            </w:pPr>
            <w:r>
              <w:rPr>
                <w:rFonts w:ascii="Arial" w:cs="Arial" w:eastAsia="Arial" w:hAnsi="Arial"/>
                <w:color w:val="1F2D24"/>
                <w:sz w:val="17"/>
                <w:szCs w:val="17"/>
              </w:rPr>
              <w:t xml:space="preserve">Recuperación del servicio de regulación de riesgos naturales y recuperación de ecosistemas degradados en la Cuenca Alta del Río Piura — CUI 2669244</w:t>
            </w:r>
          </w:p>
        </w:tc>
      </w:tr>
      <w:tr>
        <w:trPr>
          <w:cantSplit/>
        </w:trPr>
        <w:tc>
          <w:tcPr>
            <w:tcW w:type="dxa" w:w="2300"/>
            <w:tcBorders>
              <w:top w:val="single" w:color="B9C8BD" w:sz="4"/>
              <w:left w:val="none" w:color="FFFFFF" w:sz="0"/>
              <w:bottom w:val="single" w:color="B9C8BD" w:sz="4"/>
              <w:right w:val="none" w:color="FFFFFF" w:sz="0"/>
            </w:tcBorders>
            <w:shd w:fill="E8F0EA" w:color="auto" w:val="clear"/>
            <w:tcMar>
              <w:top w:type="dxa" w:w="70"/>
              <w:left w:type="dxa" w:w="140"/>
              <w:bottom w:type="dxa" w:w="70"/>
              <w:right w:type="dxa" w:w="100"/>
            </w:tcMar>
            <w:vAlign w:val="center"/>
          </w:tcPr>
          <w:p>
            <w:pPr>
              <w:spacing w:after="0"/>
            </w:pPr>
            <w:r>
              <w:rPr>
                <w:rFonts w:ascii="Arial" w:cs="Arial" w:eastAsia="Arial" w:hAnsi="Arial"/>
                <w:b/>
                <w:bCs/>
                <w:color w:val="1B4D2E"/>
                <w:spacing w:val="15"/>
                <w:sz w:val="14"/>
                <w:szCs w:val="14"/>
              </w:rPr>
              <w:t xml:space="preserve">EN COORDINACIÓN CON</w:t>
            </w:r>
          </w:p>
        </w:tc>
        <w:tc>
          <w:tcPr>
            <w:tcW w:type="dxa" w:w="7338"/>
            <w:tcBorders>
              <w:top w:val="single" w:color="B9C8BD" w:sz="4"/>
              <w:left w:val="none" w:color="FFFFFF" w:sz="0"/>
              <w:bottom w:val="single" w:color="B9C8BD" w:sz="4"/>
              <w:right w:val="none" w:color="FFFFFF" w:sz="0"/>
            </w:tcBorders>
            <w:tcMar>
              <w:top w:type="dxa" w:w="70"/>
              <w:left w:type="dxa" w:w="160"/>
              <w:bottom w:type="dxa" w:w="70"/>
              <w:right w:type="dxa" w:w="100"/>
            </w:tcMar>
            <w:vAlign w:val="center"/>
          </w:tcPr>
          <w:p>
            <w:pPr>
              <w:spacing w:after="0"/>
              <w:jc w:val="left"/>
            </w:pPr>
            <w:r>
              <w:rPr>
                <w:rFonts w:ascii="Arial" w:cs="Arial" w:eastAsia="Arial" w:hAnsi="Arial"/>
                <w:color w:val="1F2D24"/>
                <w:sz w:val="17"/>
                <w:szCs w:val="17"/>
              </w:rPr>
              <w:t xml:space="preserve">Especialista en Intervenciones de Uso Sostenible — Proyecto IN Piura</w:t>
            </w:r>
          </w:p>
        </w:tc>
      </w:tr>
      <w:tr>
        <w:trPr>
          <w:cantSplit/>
        </w:trPr>
        <w:tc>
          <w:tcPr>
            <w:tcW w:type="dxa" w:w="2300"/>
            <w:tcBorders>
              <w:top w:val="single" w:color="B9C8BD" w:sz="4"/>
              <w:left w:val="none" w:color="FFFFFF" w:sz="0"/>
              <w:bottom w:val="single" w:color="B9C8BD" w:sz="4"/>
              <w:right w:val="none" w:color="FFFFFF" w:sz="0"/>
            </w:tcBorders>
            <w:shd w:fill="E8F0EA" w:color="auto" w:val="clear"/>
            <w:tcMar>
              <w:top w:type="dxa" w:w="70"/>
              <w:left w:type="dxa" w:w="140"/>
              <w:bottom w:type="dxa" w:w="70"/>
              <w:right w:type="dxa" w:w="100"/>
            </w:tcMar>
            <w:vAlign w:val="center"/>
          </w:tcPr>
          <w:p>
            <w:pPr>
              <w:spacing w:after="0"/>
            </w:pPr>
            <w:r>
              <w:rPr>
                <w:rFonts w:ascii="Arial" w:cs="Arial" w:eastAsia="Arial" w:hAnsi="Arial"/>
                <w:b/>
                <w:bCs/>
                <w:color w:val="1B4D2E"/>
                <w:spacing w:val="15"/>
                <w:sz w:val="14"/>
                <w:szCs w:val="14"/>
              </w:rPr>
              <w:t xml:space="preserve">ELABORADO POR</w:t>
            </w:r>
          </w:p>
        </w:tc>
        <w:tc>
          <w:tcPr>
            <w:tcW w:type="dxa" w:w="7338"/>
            <w:tcBorders>
              <w:top w:val="single" w:color="B9C8BD" w:sz="4"/>
              <w:left w:val="none" w:color="FFFFFF" w:sz="0"/>
              <w:bottom w:val="single" w:color="B9C8BD" w:sz="4"/>
              <w:right w:val="none" w:color="FFFFFF" w:sz="0"/>
            </w:tcBorders>
            <w:tcMar>
              <w:top w:type="dxa" w:w="70"/>
              <w:left w:type="dxa" w:w="160"/>
              <w:bottom w:type="dxa" w:w="70"/>
              <w:right w:type="dxa" w:w="100"/>
            </w:tcMar>
            <w:vAlign w:val="center"/>
          </w:tcPr>
          <w:p>
            <w:pPr>
              <w:spacing w:after="0"/>
              <w:jc w:val="left"/>
            </w:pPr>
            <w:r>
              <w:rPr>
                <w:rFonts w:ascii="Arial" w:cs="Arial" w:eastAsia="Arial" w:hAnsi="Arial"/>
                <w:color w:val="1F2D24"/>
                <w:sz w:val="17"/>
                <w:szCs w:val="17"/>
              </w:rPr>
              <w:t xml:space="preserve">Ing. Héctor Salomón Cahuas Miller — Ingeniero Forestal, Especialista en Infraestructura Verde</w:t>
            </w:r>
          </w:p>
        </w:tc>
      </w:tr>
      <w:tr>
        <w:trPr>
          <w:cantSplit/>
        </w:trPr>
        <w:tc>
          <w:tcPr>
            <w:tcW w:type="dxa" w:w="2300"/>
            <w:tcBorders>
              <w:top w:val="single" w:color="B9C8BD" w:sz="4"/>
              <w:left w:val="none" w:color="FFFFFF" w:sz="0"/>
              <w:bottom w:val="single" w:color="B9C8BD" w:sz="4"/>
              <w:right w:val="none" w:color="FFFFFF" w:sz="0"/>
            </w:tcBorders>
            <w:shd w:fill="E8F0EA" w:color="auto" w:val="clear"/>
            <w:tcMar>
              <w:top w:type="dxa" w:w="70"/>
              <w:left w:type="dxa" w:w="140"/>
              <w:bottom w:type="dxa" w:w="70"/>
              <w:right w:type="dxa" w:w="100"/>
            </w:tcMar>
            <w:vAlign w:val="center"/>
          </w:tcPr>
          <w:p>
            <w:pPr>
              <w:spacing w:after="0"/>
            </w:pPr>
            <w:r>
              <w:rPr>
                <w:rFonts w:ascii="Arial" w:cs="Arial" w:eastAsia="Arial" w:hAnsi="Arial"/>
                <w:b/>
                <w:bCs/>
                <w:color w:val="1B4D2E"/>
                <w:spacing w:val="15"/>
                <w:sz w:val="14"/>
                <w:szCs w:val="14"/>
              </w:rPr>
              <w:t xml:space="preserve">PERIODO</w:t>
            </w:r>
          </w:p>
        </w:tc>
        <w:tc>
          <w:tcPr>
            <w:tcW w:type="dxa" w:w="7338"/>
            <w:tcBorders>
              <w:top w:val="single" w:color="B9C8BD" w:sz="4"/>
              <w:left w:val="none" w:color="FFFFFF" w:sz="0"/>
              <w:bottom w:val="single" w:color="B9C8BD" w:sz="4"/>
              <w:right w:val="none" w:color="FFFFFF" w:sz="0"/>
            </w:tcBorders>
            <w:tcMar>
              <w:top w:type="dxa" w:w="70"/>
              <w:left w:type="dxa" w:w="160"/>
              <w:bottom w:type="dxa" w:w="70"/>
              <w:right w:type="dxa" w:w="100"/>
            </w:tcMar>
            <w:vAlign w:val="center"/>
          </w:tcPr>
          <w:p>
            <w:pPr>
              <w:spacing w:after="0"/>
              <w:jc w:val="left"/>
            </w:pPr>
            <w:r>
              <w:rPr>
                <w:rFonts w:ascii="Arial" w:cs="Arial" w:eastAsia="Arial" w:hAnsi="Arial"/>
                <w:color w:val="1F2D24"/>
                <w:sz w:val="17"/>
                <w:szCs w:val="17"/>
              </w:rPr>
              <w:t xml:space="preserve">Segundo entregable — del 26 de septiembre al 27 de octubre de 2026 (días 31 a 60 de la Orden de Servicio)</w:t>
            </w:r>
          </w:p>
        </w:tc>
      </w:tr>
    </w:tbl>
    <w:p>
      <w:pPr>
        <w:spacing w:after="1200" w:before="0"/>
      </w:pPr>
      <w:r>
        <w:rPr>
          <w:rFonts w:ascii="Arial" w:cs="Arial" w:eastAsia="Arial" w:hAnsi="Arial"/>
          <w:sz w:val="2"/>
          <w:szCs w:val="2"/>
        </w:rPr>
        <w:t xml:space="preserve"/>
      </w:r>
    </w:p>
    <w:p>
      <w:pPr>
        <w:spacing w:after="30"/>
        <w:jc w:val="center"/>
      </w:pPr>
      <w:r>
        <w:rPr>
          <w:rFonts w:ascii="Arial" w:cs="Arial" w:eastAsia="Arial" w:hAnsi="Arial"/>
          <w:b/>
          <w:bCs/>
          <w:color w:val="1B4D2E"/>
          <w:sz w:val="19"/>
          <w:szCs w:val="19"/>
        </w:rPr>
        <w:t xml:space="preserve">Lima, octubre de 2026</w:t>
      </w:r>
    </w:p>
    <w:p>
      <w:pPr>
        <w:spacing w:after="0"/>
        <w:jc w:val="center"/>
      </w:pPr>
      <w:r>
        <w:rPr>
          <w:rFonts w:ascii="Arial" w:cs="Arial" w:eastAsia="Arial" w:hAnsi="Arial"/>
          <w:color w:val="595959"/>
          <w:sz w:val="15"/>
          <w:szCs w:val="15"/>
        </w:rPr>
        <w:t xml:space="preserve">Autoridad Nacional de Infraestructura · DIME · SESDI · UTM WGS 84 Zona 17S (EPSG:32717)</w:t>
      </w:r>
    </w:p>
    <w:p>
      <w:pPr>
        <w:sectPr>
          <w:headerReference w:type="default" r:id="rId11"/>
          <w:footerReference w:type="default" r:id="rId12"/>
          <w:pgSz w:w="11906" w:h="16838" w:orient="portrait"/>
          <w:pgMar w:top="1560" w:right="1134" w:bottom="1200" w:left="1134" w:header="560" w:footer="500" w:gutter="0"/>
          <w:pgNumType/>
          <w:docGrid w:linePitch="360"/>
        </w:sectPr>
      </w:pPr>
    </w:p>
    <w:p>
      <w:pPr>
        <w:pStyle w:val="Heading1"/>
        <w:keepNext/>
      </w:pPr>
      <w:r>
        <w:t xml:space="preserve">3-A. DIAGNÓSTICO DEL ESTADO DE LOS ECOSISTEMAS</w:t>
      </w:r>
    </w:p>
    <w:p>
      <w:pPr>
        <w:pStyle w:val="Heading2"/>
        <w:keepNext/>
      </w:pPr>
      <w:r>
        <w:t xml:space="preserve">3-A.1 Seguimiento de las actividades</w:t>
      </w:r>
    </w:p>
    <w:p>
      <w:pPr>
        <w:spacing w:after="120" w:line="276"/>
        <w:jc w:val="both"/>
      </w:pPr>
      <w:r>
        <w:rPr>
          <w:rFonts w:ascii="Arial" w:cs="Arial" w:eastAsia="Arial" w:hAnsi="Arial"/>
          <w:sz w:val="21"/>
          <w:szCs w:val="21"/>
        </w:rPr>
        <w:t xml:space="preserve">Sin levantamiento nuevo de campo, el seguimiento de las actividades de campo se aplicó a la depuración y uso como control de la evidencia de 2026: fichas F-DT de los 117 bloques (evidencia A en 101, B en 12 y C en 4), 222 registros de calicatas y chequeos del E5 (34 sitios de referencia), 346 fichas sociales con 143 registros de especies y ortofotos de vuelos RPAS. El Plan B (inspección rápida de campo) no se activó por la vigencia de la alerta ENFEN. El avance por fase al 14/10/2026 se presenta en el Cuadro N° A3.5.</w:t>
      </w:r>
    </w:p>
    <w:p>
      <w:pPr>
        <w:keepNext/>
        <w:keepLines/>
        <w:spacing w:after="80" w:before="160"/>
      </w:pPr>
      <w:r>
        <w:rPr>
          <w:rFonts w:ascii="Arial" w:cs="Arial" w:eastAsia="Arial" w:hAnsi="Arial"/>
          <w:b/>
          <w:bCs/>
          <w:sz w:val="19"/>
          <w:szCs w:val="19"/>
        </w:rPr>
        <w:t xml:space="preserve">Cuadro N° A3.5. Avance de las fases del E6 al 14/10/2026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5000"/>
        <w:gridCol w:w="3738"/>
      </w:tblGrid>
      <w:tr>
        <w:trPr>
          <w:cantSplit/>
          <w:tblHeader/>
        </w:trPr>
        <w:tc>
          <w:tcPr>
            <w:tcW w:type="dxa" w:w="900"/>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7"/>
                <w:szCs w:val="17"/>
              </w:rPr>
              <w:t xml:space="preserve">FASE</w:t>
            </w:r>
          </w:p>
        </w:tc>
        <w:tc>
          <w:tcPr>
            <w:tcW w:type="dxa" w:w="5000"/>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7"/>
                <w:szCs w:val="17"/>
              </w:rPr>
              <w:t xml:space="preserve">ACTIVIDAD</w:t>
            </w:r>
          </w:p>
        </w:tc>
        <w:tc>
          <w:tcPr>
            <w:tcW w:type="dxa" w:w="3738"/>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7"/>
                <w:szCs w:val="17"/>
              </w:rPr>
              <w:t xml:space="preserve">ESTADO</w:t>
            </w:r>
          </w:p>
        </w:tc>
      </w:tr>
      <w:tr>
        <w:trPr>
          <w:cantSplit/>
        </w:trPr>
        <w:tc>
          <w:tcPr>
            <w:tcW w:type="dxa" w:w="9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1</w:t>
            </w:r>
          </w:p>
        </w:tc>
        <w:tc>
          <w:tcPr>
            <w:tcW w:type="dxa" w:w="50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Clasificación de 92 tomas S2DR4 y Nota Técnica N° 002-2026</w:t>
            </w:r>
          </w:p>
        </w:tc>
        <w:tc>
          <w:tcPr>
            <w:tcW w:type="dxa" w:w="37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Concluida</w:t>
            </w:r>
          </w:p>
        </w:tc>
      </w:tr>
      <w:tr>
        <w:trPr>
          <w:cantSplit/>
        </w:trPr>
        <w:tc>
          <w:tcPr>
            <w:tcW w:type="dxa" w:w="9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2</w:t>
            </w:r>
          </w:p>
        </w:tc>
        <w:tc>
          <w:tcPr>
            <w:tcW w:type="dxa" w:w="50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Regeneración y control de 30 ráster de cobertura</w:t>
            </w:r>
          </w:p>
        </w:tc>
        <w:tc>
          <w:tcPr>
            <w:tcW w:type="dxa" w:w="37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Concluida (acuerdo 100 % en toma de control)</w:t>
            </w:r>
          </w:p>
        </w:tc>
      </w:tr>
      <w:tr>
        <w:trPr>
          <w:cantSplit/>
        </w:trPr>
        <w:tc>
          <w:tcPr>
            <w:tcW w:type="dxa" w:w="9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3</w:t>
            </w:r>
          </w:p>
        </w:tc>
        <w:tc>
          <w:tcPr>
            <w:tcW w:type="dxa" w:w="50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Recorte a 117 bloques, parcelas virtuales y referencias</w:t>
            </w:r>
          </w:p>
        </w:tc>
        <w:tc>
          <w:tcPr>
            <w:tcW w:type="dxa" w:w="37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Concluida</w:t>
            </w:r>
          </w:p>
        </w:tc>
      </w:tr>
      <w:tr>
        <w:trPr>
          <w:cantSplit/>
        </w:trPr>
        <w:tc>
          <w:tcPr>
            <w:tcW w:type="dxa" w:w="9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4</w:t>
            </w:r>
          </w:p>
        </w:tc>
        <w:tc>
          <w:tcPr>
            <w:tcW w:type="dxa" w:w="50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Índice de condición, tipología MSAVI–NDVI y brecha</w:t>
            </w:r>
          </w:p>
        </w:tc>
        <w:tc>
          <w:tcPr>
            <w:tcW w:type="dxa" w:w="37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Concluida</w:t>
            </w:r>
          </w:p>
        </w:tc>
      </w:tr>
      <w:tr>
        <w:trPr>
          <w:cantSplit/>
        </w:trPr>
        <w:tc>
          <w:tcPr>
            <w:tcW w:type="dxa" w:w="9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5</w:t>
            </w:r>
          </w:p>
        </w:tc>
        <w:tc>
          <w:tcPr>
            <w:tcW w:type="dxa" w:w="50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Composición florística y matriz de atributos</w:t>
            </w:r>
          </w:p>
        </w:tc>
        <w:tc>
          <w:tcPr>
            <w:tcW w:type="dxa" w:w="37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Concluida con vacíos (consulta Delphi pendiente)</w:t>
            </w:r>
          </w:p>
        </w:tc>
      </w:tr>
      <w:tr>
        <w:trPr>
          <w:cantSplit/>
        </w:trPr>
        <w:tc>
          <w:tcPr>
            <w:tcW w:type="dxa" w:w="9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6</w:t>
            </w:r>
          </w:p>
        </w:tc>
        <w:tc>
          <w:tcPr>
            <w:tcW w:type="dxa" w:w="50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Censo remoto de viveros y brecha con parámetros del E10</w:t>
            </w:r>
          </w:p>
        </w:tc>
        <w:tc>
          <w:tcPr>
            <w:tcW w:type="dxa" w:w="37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Pendiente</w:t>
            </w:r>
          </w:p>
        </w:tc>
      </w:tr>
      <w:tr>
        <w:trPr>
          <w:cantSplit/>
        </w:trPr>
        <w:tc>
          <w:tcPr>
            <w:tcW w:type="dxa" w:w="9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7</w:t>
            </w:r>
          </w:p>
        </w:tc>
        <w:tc>
          <w:tcPr>
            <w:tcW w:type="dxa" w:w="50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Validación ciega (≈ 600 puntos) y TAU</w:t>
            </w:r>
          </w:p>
        </w:tc>
        <w:tc>
          <w:tcPr>
            <w:tcW w:type="dxa" w:w="37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Pendiente (estudio definitivo o adenda)</w:t>
            </w:r>
          </w:p>
        </w:tc>
      </w:tr>
    </w:tbl>
    <w:p>
      <w:pPr>
        <w:spacing w:after="200" w:before="50"/>
        <w:jc w:val="both"/>
      </w:pPr>
      <w:r>
        <w:rPr>
          <w:rFonts w:ascii="Arial" w:cs="Arial" w:eastAsia="Arial" w:hAnsi="Arial"/>
          <w:i/>
          <w:iCs/>
          <w:color w:val="595959"/>
          <w:sz w:val="15"/>
          <w:szCs w:val="15"/>
        </w:rPr>
        <w:t xml:space="preserve">Fuente: Informe E6, numeral 10.1.</w:t>
      </w:r>
    </w:p>
    <w:p>
      <w:pPr>
        <w:pStyle w:val="Heading2"/>
        <w:keepNext/>
      </w:pPr>
      <w:r>
        <w:t xml:space="preserve">3-A.2 Revisión técnica de los insumos producidos por órdenes de servicio</w:t>
      </w:r>
    </w:p>
    <w:p>
      <w:pPr>
        <w:spacing w:after="120" w:line="276"/>
        <w:jc w:val="both"/>
      </w:pPr>
      <w:r>
        <w:rPr>
          <w:rFonts w:ascii="Arial" w:cs="Arial" w:eastAsia="Arial" w:hAnsi="Arial"/>
          <w:sz w:val="21"/>
          <w:szCs w:val="21"/>
        </w:rPr>
        <w:t xml:space="preserve">El 03/10/2026 se revisaron las carpetas de entregables de las órdenes de servicio que produjeron insumos para el E6, con el resultado del Cuadro N° A3.6.</w:t>
      </w:r>
    </w:p>
    <w:p>
      <w:pPr>
        <w:keepNext/>
        <w:keepLines/>
        <w:spacing w:after="80" w:before="160"/>
      </w:pPr>
      <w:r>
        <w:rPr>
          <w:rFonts w:ascii="Arial" w:cs="Arial" w:eastAsia="Arial" w:hAnsi="Arial"/>
          <w:b/>
          <w:bCs/>
          <w:sz w:val="19"/>
          <w:szCs w:val="19"/>
        </w:rPr>
        <w:t xml:space="preserve">Cuadro N° A3.6. Revisión técnica de los entregables de las órdenes de servicio insumo del E6</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2500"/>
        <w:gridCol w:w="3138"/>
        <w:gridCol w:w="2400"/>
      </w:tblGrid>
      <w:tr>
        <w:trPr>
          <w:cantSplit/>
          <w:tblHeader/>
        </w:trPr>
        <w:tc>
          <w:tcPr>
            <w:tcW w:type="dxa" w:w="1600"/>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6"/>
                <w:szCs w:val="16"/>
              </w:rPr>
              <w:t xml:space="preserve">ORDEN DE SERVICIO</w:t>
            </w:r>
          </w:p>
        </w:tc>
        <w:tc>
          <w:tcPr>
            <w:tcW w:type="dxa" w:w="2500"/>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6"/>
                <w:szCs w:val="16"/>
              </w:rPr>
              <w:t xml:space="preserve">PRODUCTO</w:t>
            </w:r>
          </w:p>
        </w:tc>
        <w:tc>
          <w:tcPr>
            <w:tcW w:type="dxa" w:w="3138"/>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6"/>
                <w:szCs w:val="16"/>
              </w:rPr>
              <w:t xml:space="preserve">HALLAZGO DE LA REVISIÓN</w:t>
            </w:r>
          </w:p>
        </w:tc>
        <w:tc>
          <w:tcPr>
            <w:tcW w:type="dxa" w:w="2400"/>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6"/>
                <w:szCs w:val="16"/>
              </w:rPr>
              <w:t xml:space="preserve">TRATAMIENTO EN EL E6</w:t>
            </w:r>
          </w:p>
        </w:tc>
      </w:tr>
      <w:tr>
        <w:trPr>
          <w:cantSplit/>
        </w:trPr>
        <w:tc>
          <w:tcPr>
            <w:tcW w:type="dxa" w:w="16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6"/>
                <w:szCs w:val="16"/>
              </w:rPr>
              <w:t xml:space="preserve">OS 1148 y OS 2797</w:t>
            </w:r>
          </w:p>
        </w:tc>
        <w:tc>
          <w:tcPr>
            <w:tcW w:type="dxa" w:w="25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6"/>
                <w:szCs w:val="16"/>
              </w:rPr>
              <w:t xml:space="preserve">Flora y ecosistemas</w:t>
            </w:r>
          </w:p>
        </w:tc>
        <w:tc>
          <w:tcPr>
            <w:tcW w:type="dxa" w:w="31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6"/>
                <w:szCs w:val="16"/>
              </w:rPr>
              <w:t xml:space="preserve">≈ 90 taxones (OS 1148) en listas preliminares con errores taxonómicos y sin depurar</w:t>
            </w:r>
          </w:p>
        </w:tc>
        <w:tc>
          <w:tcPr>
            <w:tcW w:type="dxa" w:w="2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6"/>
                <w:szCs w:val="16"/>
              </w:rPr>
              <w:t xml:space="preserve">Depuración contra F-DT, F-DS y chequeos de suelos; matriz de 69 especies nativas</w:t>
            </w:r>
          </w:p>
        </w:tc>
      </w:tr>
      <w:tr>
        <w:trPr>
          <w:cantSplit/>
        </w:trPr>
        <w:tc>
          <w:tcPr>
            <w:tcW w:type="dxa" w:w="16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6"/>
                <w:szCs w:val="16"/>
              </w:rPr>
              <w:t xml:space="preserve">OS 1147</w:t>
            </w:r>
          </w:p>
        </w:tc>
        <w:tc>
          <w:tcPr>
            <w:tcW w:type="dxa" w:w="25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6"/>
                <w:szCs w:val="16"/>
              </w:rPr>
              <w:t xml:space="preserve">Oferta de material vegetal</w:t>
            </w:r>
          </w:p>
        </w:tc>
        <w:tc>
          <w:tcPr>
            <w:tcW w:type="dxa" w:w="31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6"/>
                <w:szCs w:val="16"/>
              </w:rPr>
              <w:t xml:space="preserve">≈ 77 nativas; priorización preliminar de 35 arbóreas y 34 arbustivas; demanda de 2.94 M plantones solo para Lotes SUS en 83 bloques</w:t>
            </w:r>
          </w:p>
        </w:tc>
        <w:tc>
          <w:tcPr>
            <w:tcW w:type="dxa" w:w="24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6"/>
                <w:szCs w:val="16"/>
              </w:rPr>
              <w:t xml:space="preserve">Lista recalculada por piso y ecosistema; demanda a recalcular para 117 bloques con parámetros del E10</w:t>
            </w:r>
          </w:p>
        </w:tc>
      </w:tr>
      <w:tr>
        <w:trPr>
          <w:cantSplit/>
        </w:trPr>
        <w:tc>
          <w:tcPr>
            <w:tcW w:type="dxa" w:w="16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6"/>
                <w:szCs w:val="16"/>
              </w:rPr>
              <w:t xml:space="preserve">OS 2726</w:t>
            </w:r>
          </w:p>
        </w:tc>
        <w:tc>
          <w:tcPr>
            <w:tcW w:type="dxa" w:w="25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6"/>
                <w:szCs w:val="16"/>
              </w:rPr>
              <w:t xml:space="preserve">Fitosanidad y presiones</w:t>
            </w:r>
          </w:p>
        </w:tc>
        <w:tc>
          <w:tcPr>
            <w:tcW w:type="dxa" w:w="31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6"/>
                <w:szCs w:val="16"/>
              </w:rPr>
              <w:t xml:space="preserve">Presiones en 58 bloques: sobrepastoreo 96.6 %, quemas 86.2 %, especies invasoras 67.2 %; propagación de 10 especies; protocolo de vivero limpio; costo paramétrico S/ 12 por plantón</w:t>
            </w:r>
          </w:p>
        </w:tc>
        <w:tc>
          <w:tcPr>
            <w:tcW w:type="dxa" w:w="2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6"/>
                <w:szCs w:val="16"/>
              </w:rPr>
              <w:t xml:space="preserve">Atributo «ausencia de amenazas» del IC con F-DT-04 de los 117 bloques; costo a sustentar en E10/E12</w:t>
            </w:r>
          </w:p>
        </w:tc>
      </w:tr>
      <w:tr>
        <w:trPr>
          <w:cantSplit/>
        </w:trPr>
        <w:tc>
          <w:tcPr>
            <w:tcW w:type="dxa" w:w="16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6"/>
                <w:szCs w:val="16"/>
              </w:rPr>
              <w:t xml:space="preserve">OS 2357</w:t>
            </w:r>
          </w:p>
        </w:tc>
        <w:tc>
          <w:tcPr>
            <w:tcW w:type="dxa" w:w="25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6"/>
                <w:szCs w:val="16"/>
              </w:rPr>
              <w:t xml:space="preserve">Sistematización de bloques</w:t>
            </w:r>
          </w:p>
        </w:tc>
        <w:tc>
          <w:tcPr>
            <w:tcW w:type="dxa" w:w="31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6"/>
                <w:szCs w:val="16"/>
              </w:rPr>
              <w:t xml:space="preserve">Sistematización de la evidencia de bloques</w:t>
            </w:r>
          </w:p>
        </w:tc>
        <w:tc>
          <w:tcPr>
            <w:tcW w:type="dxa" w:w="24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6"/>
                <w:szCs w:val="16"/>
              </w:rPr>
              <w:t xml:space="preserve">Insumo de la clasificación de evidencia A/B/C</w:t>
            </w:r>
          </w:p>
        </w:tc>
      </w:tr>
      <w:tr>
        <w:trPr>
          <w:cantSplit/>
        </w:trPr>
        <w:tc>
          <w:tcPr>
            <w:tcW w:type="dxa" w:w="16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6"/>
                <w:szCs w:val="16"/>
              </w:rPr>
              <w:t xml:space="preserve">Conjunto</w:t>
            </w:r>
          </w:p>
        </w:tc>
        <w:tc>
          <w:tcPr>
            <w:tcW w:type="dxa" w:w="25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6"/>
                <w:szCs w:val="16"/>
              </w:rPr>
              <w:t xml:space="preserve">Oferta</w:t>
            </w:r>
          </w:p>
        </w:tc>
        <w:tc>
          <w:tcPr>
            <w:tcW w:type="dxa" w:w="31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6"/>
                <w:szCs w:val="16"/>
              </w:rPr>
              <w:t xml:space="preserve">Cinco fuentes de gabinete, ninguna en los 15 distritos; 6,000 plantones confirmados (Suyo)</w:t>
            </w:r>
          </w:p>
        </w:tc>
        <w:tc>
          <w:tcPr>
            <w:tcW w:type="dxa" w:w="2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6"/>
                <w:szCs w:val="16"/>
              </w:rPr>
              <w:t xml:space="preserve">Directorio ampliado a 12 iniciativas (parte 3-B)</w:t>
            </w:r>
          </w:p>
        </w:tc>
      </w:tr>
    </w:tbl>
    <w:p>
      <w:pPr>
        <w:spacing w:after="200" w:before="50"/>
        <w:jc w:val="both"/>
      </w:pPr>
      <w:r>
        <w:rPr>
          <w:rFonts w:ascii="Arial" w:cs="Arial" w:eastAsia="Arial" w:hAnsi="Arial"/>
          <w:i/>
          <w:iCs/>
          <w:color w:val="595959"/>
          <w:sz w:val="15"/>
          <w:szCs w:val="15"/>
        </w:rPr>
        <w:t xml:space="preserve">Fuente: tablero de avance del Perfil al 03/10/2026 (componentes del E6 y vacíos de integración).</w:t>
      </w:r>
    </w:p>
    <w:p>
      <w:pPr>
        <w:pStyle w:val="Heading2"/>
        <w:keepNext/>
      </w:pPr>
      <w:r>
        <w:t xml:space="preserve">3-A.3 Revisión de la Nota Técnica N° 002-2026-ANIN/DIME/SESDI</w:t>
      </w:r>
    </w:p>
    <w:p>
      <w:pPr>
        <w:spacing w:after="120" w:line="276"/>
        <w:jc w:val="both"/>
      </w:pPr>
      <w:r>
        <w:rPr>
          <w:rFonts w:ascii="Arial" w:cs="Arial" w:eastAsia="Arial" w:hAnsi="Arial"/>
          <w:sz w:val="21"/>
          <w:szCs w:val="21"/>
        </w:rPr>
        <w:t xml:space="preserve">La Nota Técnica (14/10/2026), dirigida a la Coordinación de Proyectos IN, informa la clasificación de la cobertura vegetal de 92 tomas S2DR4 de 1 m (≈ 1,681 ha cada una; compuesto del 02/09 al 09/10/2026) con un único modelo K-means de 16 clases sobre 8 variables, agrupadas en 9 coberturas, y la asignación de especies probables por piso altitudinal. Al final de la época seca, el 50.9 % de la superficie analizada conserva vegetación verde, el 27.5 % está seca o defoliada y el 13.9 % sin cobertura vegetal efectiva; el piso A (&lt; 1,000 msnm) concentra el suelo expuesto y el piso B (1,000–2,000 msnm) es el mejor conservado.</w:t>
      </w:r>
    </w:p>
    <w:p>
      <w:pPr>
        <w:spacing w:after="120" w:line="276"/>
        <w:jc w:val="both"/>
      </w:pPr>
      <w:r>
        <w:rPr>
          <w:rFonts w:ascii="Arial" w:cs="Arial" w:eastAsia="Arial" w:hAnsi="Arial"/>
          <w:sz w:val="21"/>
          <w:szCs w:val="21"/>
        </w:rPr>
        <w:t xml:space="preserve">La revisión precisó el texto respecto de la versión del 13/10/2026: numeración de la nota, ampliación de los ecosistemas a bosque montano relicto y páramos, y vínculo de las coberturas con los metrados. Se mantienen como limitaciones declaradas que las coberturas 4 y 5 incluyen bosque caducifolio sano sin hojas y que las superficies por toma incluyen traslapes; dos expresiones de la versión revisada requieren corrección (observaciones OE-04 y OE-05).</w:t>
      </w:r>
    </w:p>
    <w:p>
      <w:pPr>
        <w:pStyle w:val="Heading2"/>
        <w:keepNext/>
      </w:pPr>
      <w:r>
        <w:t xml:space="preserve">3-A.4 Revisión técnica del Informe E6 (versión para revisión de SESDI)</w:t>
      </w:r>
    </w:p>
    <w:p>
      <w:pPr>
        <w:spacing w:after="120" w:line="276"/>
        <w:jc w:val="both"/>
      </w:pPr>
      <w:r>
        <w:rPr>
          <w:rFonts w:ascii="Arial" w:cs="Arial" w:eastAsia="Arial" w:hAnsi="Arial"/>
          <w:sz w:val="21"/>
          <w:szCs w:val="21"/>
        </w:rPr>
        <w:t xml:space="preserve">El Informe E6 cubre los 14 capítulos del índice con tres líneas de evidencia —firma espectral de 92 tomas S2DR4, evidencia de campo 2026 e información secundaria— y declara su adecuación metodológica. Sus resultados principales por provincia se presentan en el Cuadro N° A3.7.</w:t>
      </w:r>
    </w:p>
    <w:p>
      <w:pPr>
        <w:keepNext/>
        <w:keepLines/>
        <w:spacing w:after="80" w:before="160"/>
      </w:pPr>
      <w:r>
        <w:rPr>
          <w:rFonts w:ascii="Arial" w:cs="Arial" w:eastAsia="Arial" w:hAnsi="Arial"/>
          <w:b/>
          <w:bCs/>
          <w:sz w:val="19"/>
          <w:szCs w:val="19"/>
        </w:rPr>
        <w:t xml:space="preserve">Cuadro N° A3.7. Síntesis del estado de los ecosistemas por provincia (E6)</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800"/>
        <w:gridCol w:w="1200"/>
        <w:gridCol w:w="1000"/>
        <w:gridCol w:w="1300"/>
        <w:gridCol w:w="1000"/>
        <w:gridCol w:w="1638"/>
        <w:gridCol w:w="1200"/>
      </w:tblGrid>
      <w:tr>
        <w:trPr>
          <w:cantSplit/>
          <w:tblHeader/>
        </w:trPr>
        <w:tc>
          <w:tcPr>
            <w:tcW w:type="dxa" w:w="1500"/>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7"/>
                <w:szCs w:val="17"/>
              </w:rPr>
              <w:t xml:space="preserve">PROVINCIA</w:t>
            </w:r>
          </w:p>
        </w:tc>
        <w:tc>
          <w:tcPr>
            <w:tcW w:type="dxa" w:w="800"/>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7"/>
                <w:szCs w:val="17"/>
              </w:rPr>
              <w:t xml:space="preserve">BLOQ.</w:t>
            </w:r>
          </w:p>
        </w:tc>
        <w:tc>
          <w:tcPr>
            <w:tcW w:type="dxa" w:w="1200"/>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7"/>
                <w:szCs w:val="17"/>
              </w:rPr>
              <w:t xml:space="preserve">ÁREA (ha)</w:t>
            </w:r>
          </w:p>
        </w:tc>
        <w:tc>
          <w:tcPr>
            <w:tcW w:type="dxa" w:w="1000"/>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7"/>
                <w:szCs w:val="17"/>
              </w:rPr>
              <w:t xml:space="preserve">MSAVI POND.</w:t>
            </w:r>
          </w:p>
        </w:tc>
        <w:tc>
          <w:tcPr>
            <w:tcW w:type="dxa" w:w="1300"/>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7"/>
                <w:szCs w:val="17"/>
              </w:rPr>
              <w:t xml:space="preserve">BAJO 0.4976 (ha)</w:t>
            </w:r>
          </w:p>
        </w:tc>
        <w:tc>
          <w:tcPr>
            <w:tcW w:type="dxa" w:w="1000"/>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7"/>
                <w:szCs w:val="17"/>
              </w:rPr>
              <w:t xml:space="preserve">% BAJO UMBRAL</w:t>
            </w:r>
          </w:p>
        </w:tc>
        <w:tc>
          <w:tcPr>
            <w:tcW w:type="dxa" w:w="1638"/>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7"/>
                <w:szCs w:val="17"/>
              </w:rPr>
              <w:t xml:space="preserve">RESTAURACIÓN ACTIVA ≤ 0.3813 (ha)</w:t>
            </w:r>
          </w:p>
        </w:tc>
        <w:tc>
          <w:tcPr>
            <w:tcW w:type="dxa" w:w="1200"/>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7"/>
                <w:szCs w:val="17"/>
              </w:rPr>
              <w:t xml:space="preserve">IC POND.</w:t>
            </w:r>
          </w:p>
        </w:tc>
      </w:tr>
      <w:tr>
        <w:trPr>
          <w:cantSplit/>
        </w:trPr>
        <w:tc>
          <w:tcPr>
            <w:tcW w:type="dxa" w:w="15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Ayabaca</w:t>
            </w:r>
          </w:p>
        </w:tc>
        <w:tc>
          <w:tcPr>
            <w:tcW w:type="dxa" w:w="8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10</w:t>
            </w:r>
          </w:p>
        </w:tc>
        <w:tc>
          <w:tcPr>
            <w:tcW w:type="dxa" w:w="12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1,391.70</w:t>
            </w:r>
          </w:p>
        </w:tc>
        <w:tc>
          <w:tcPr>
            <w:tcW w:type="dxa" w:w="10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0.548</w:t>
            </w:r>
          </w:p>
        </w:tc>
        <w:tc>
          <w:tcPr>
            <w:tcW w:type="dxa" w:w="13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525.21</w:t>
            </w:r>
          </w:p>
        </w:tc>
        <w:tc>
          <w:tcPr>
            <w:tcW w:type="dxa" w:w="10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37.7 %</w:t>
            </w:r>
          </w:p>
        </w:tc>
        <w:tc>
          <w:tcPr>
            <w:tcW w:type="dxa" w:w="16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42.28</w:t>
            </w:r>
          </w:p>
        </w:tc>
        <w:tc>
          <w:tcPr>
            <w:tcW w:type="dxa" w:w="12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0.851</w:t>
            </w:r>
          </w:p>
        </w:tc>
      </w:tr>
      <w:tr>
        <w:trPr>
          <w:cantSplit/>
        </w:trPr>
        <w:tc>
          <w:tcPr>
            <w:tcW w:type="dxa" w:w="15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Huancabamba</w:t>
            </w:r>
          </w:p>
        </w:tc>
        <w:tc>
          <w:tcPr>
            <w:tcW w:type="dxa" w:w="8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48</w:t>
            </w:r>
          </w:p>
        </w:tc>
        <w:tc>
          <w:tcPr>
            <w:tcW w:type="dxa" w:w="12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3,551.16</w:t>
            </w:r>
          </w:p>
        </w:tc>
        <w:tc>
          <w:tcPr>
            <w:tcW w:type="dxa" w:w="10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0.509</w:t>
            </w:r>
          </w:p>
        </w:tc>
        <w:tc>
          <w:tcPr>
            <w:tcW w:type="dxa" w:w="13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1,599.99</w:t>
            </w:r>
          </w:p>
        </w:tc>
        <w:tc>
          <w:tcPr>
            <w:tcW w:type="dxa" w:w="10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45.1 %</w:t>
            </w:r>
          </w:p>
        </w:tc>
        <w:tc>
          <w:tcPr>
            <w:tcW w:type="dxa" w:w="16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925.51</w:t>
            </w:r>
          </w:p>
        </w:tc>
        <w:tc>
          <w:tcPr>
            <w:tcW w:type="dxa" w:w="12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0.733</w:t>
            </w:r>
          </w:p>
        </w:tc>
      </w:tr>
      <w:tr>
        <w:trPr>
          <w:cantSplit/>
        </w:trPr>
        <w:tc>
          <w:tcPr>
            <w:tcW w:type="dxa" w:w="15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Morropón</w:t>
            </w:r>
          </w:p>
        </w:tc>
        <w:tc>
          <w:tcPr>
            <w:tcW w:type="dxa" w:w="8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59</w:t>
            </w:r>
          </w:p>
        </w:tc>
        <w:tc>
          <w:tcPr>
            <w:tcW w:type="dxa" w:w="12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7,327.37</w:t>
            </w:r>
          </w:p>
        </w:tc>
        <w:tc>
          <w:tcPr>
            <w:tcW w:type="dxa" w:w="10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0.379</w:t>
            </w:r>
          </w:p>
        </w:tc>
        <w:tc>
          <w:tcPr>
            <w:tcW w:type="dxa" w:w="13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6,216.63</w:t>
            </w:r>
          </w:p>
        </w:tc>
        <w:tc>
          <w:tcPr>
            <w:tcW w:type="dxa" w:w="10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84.8 %</w:t>
            </w:r>
          </w:p>
        </w:tc>
        <w:tc>
          <w:tcPr>
            <w:tcW w:type="dxa" w:w="16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4,535.62</w:t>
            </w:r>
          </w:p>
        </w:tc>
        <w:tc>
          <w:tcPr>
            <w:tcW w:type="dxa" w:w="12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0.706</w:t>
            </w:r>
          </w:p>
        </w:tc>
      </w:tr>
      <w:tr>
        <w:trPr>
          <w:cantSplit/>
        </w:trPr>
        <w:tc>
          <w:tcPr>
            <w:tcW w:type="dxa" w:w="1500"/>
            <w:tcBorders>
              <w:top w:val="single" w:color="8C8C8C" w:sz="4"/>
              <w:left w:val="single" w:color="8C8C8C" w:sz="4"/>
              <w:bottom w:val="single" w:color="8C8C8C" w:sz="4"/>
              <w:right w:val="single" w:color="8C8C8C" w:sz="4"/>
            </w:tcBorders>
            <w:shd w:fill="D9E6DD" w:color="auto" w:val="clear"/>
            <w:tcMar>
              <w:top w:type="dxa" w:w="45"/>
              <w:left w:type="dxa" w:w="80"/>
              <w:bottom w:type="dxa" w:w="45"/>
              <w:right w:type="dxa" w:w="80"/>
            </w:tcMar>
            <w:vAlign w:val="center"/>
          </w:tcPr>
          <w:p>
            <w:pPr>
              <w:spacing w:after="0"/>
              <w:jc w:val="left"/>
            </w:pPr>
            <w:r>
              <w:rPr>
                <w:rFonts w:ascii="Arial" w:cs="Arial" w:eastAsia="Arial" w:hAnsi="Arial"/>
                <w:b/>
                <w:bCs/>
                <w:i w:val="false"/>
                <w:iCs w:val="false"/>
                <w:sz w:val="17"/>
                <w:szCs w:val="17"/>
              </w:rPr>
              <w:t xml:space="preserve">TOTAL</w:t>
            </w:r>
          </w:p>
        </w:tc>
        <w:tc>
          <w:tcPr>
            <w:tcW w:type="dxa" w:w="800"/>
            <w:tcBorders>
              <w:top w:val="single" w:color="8C8C8C" w:sz="4"/>
              <w:left w:val="single" w:color="8C8C8C" w:sz="4"/>
              <w:bottom w:val="single" w:color="8C8C8C" w:sz="4"/>
              <w:right w:val="single" w:color="8C8C8C" w:sz="4"/>
            </w:tcBorders>
            <w:shd w:fill="D9E6DD"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sz w:val="17"/>
                <w:szCs w:val="17"/>
              </w:rPr>
              <w:t xml:space="preserve">117</w:t>
            </w:r>
          </w:p>
        </w:tc>
        <w:tc>
          <w:tcPr>
            <w:tcW w:type="dxa" w:w="1200"/>
            <w:tcBorders>
              <w:top w:val="single" w:color="8C8C8C" w:sz="4"/>
              <w:left w:val="single" w:color="8C8C8C" w:sz="4"/>
              <w:bottom w:val="single" w:color="8C8C8C" w:sz="4"/>
              <w:right w:val="single" w:color="8C8C8C" w:sz="4"/>
            </w:tcBorders>
            <w:shd w:fill="D9E6DD" w:color="auto" w:val="clear"/>
            <w:tcMar>
              <w:top w:type="dxa" w:w="45"/>
              <w:left w:type="dxa" w:w="80"/>
              <w:bottom w:type="dxa" w:w="45"/>
              <w:right w:type="dxa" w:w="80"/>
            </w:tcMar>
            <w:vAlign w:val="center"/>
          </w:tcPr>
          <w:p>
            <w:pPr>
              <w:spacing w:after="0"/>
              <w:jc w:val="right"/>
            </w:pPr>
            <w:r>
              <w:rPr>
                <w:rFonts w:ascii="Arial" w:cs="Arial" w:eastAsia="Arial" w:hAnsi="Arial"/>
                <w:b/>
                <w:bCs/>
                <w:i w:val="false"/>
                <w:iCs w:val="false"/>
                <w:sz w:val="17"/>
                <w:szCs w:val="17"/>
              </w:rPr>
              <w:t xml:space="preserve">12,270.24</w:t>
            </w:r>
          </w:p>
        </w:tc>
        <w:tc>
          <w:tcPr>
            <w:tcW w:type="dxa" w:w="1000"/>
            <w:tcBorders>
              <w:top w:val="single" w:color="8C8C8C" w:sz="4"/>
              <w:left w:val="single" w:color="8C8C8C" w:sz="4"/>
              <w:bottom w:val="single" w:color="8C8C8C" w:sz="4"/>
              <w:right w:val="single" w:color="8C8C8C" w:sz="4"/>
            </w:tcBorders>
            <w:shd w:fill="D9E6DD" w:color="auto" w:val="clear"/>
            <w:tcMar>
              <w:top w:type="dxa" w:w="45"/>
              <w:left w:type="dxa" w:w="80"/>
              <w:bottom w:type="dxa" w:w="45"/>
              <w:right w:type="dxa" w:w="80"/>
            </w:tcMar>
            <w:vAlign w:val="center"/>
          </w:tcPr>
          <w:p>
            <w:pPr>
              <w:spacing w:after="0"/>
              <w:jc w:val="right"/>
            </w:pPr>
            <w:r>
              <w:rPr>
                <w:rFonts w:ascii="Arial" w:cs="Arial" w:eastAsia="Arial" w:hAnsi="Arial"/>
                <w:b/>
                <w:bCs/>
                <w:i w:val="false"/>
                <w:iCs w:val="false"/>
                <w:sz w:val="17"/>
                <w:szCs w:val="17"/>
              </w:rPr>
              <w:t xml:space="preserve">0.436</w:t>
            </w:r>
          </w:p>
        </w:tc>
        <w:tc>
          <w:tcPr>
            <w:tcW w:type="dxa" w:w="1300"/>
            <w:tcBorders>
              <w:top w:val="single" w:color="8C8C8C" w:sz="4"/>
              <w:left w:val="single" w:color="8C8C8C" w:sz="4"/>
              <w:bottom w:val="single" w:color="8C8C8C" w:sz="4"/>
              <w:right w:val="single" w:color="8C8C8C" w:sz="4"/>
            </w:tcBorders>
            <w:shd w:fill="D9E6DD" w:color="auto" w:val="clear"/>
            <w:tcMar>
              <w:top w:type="dxa" w:w="45"/>
              <w:left w:type="dxa" w:w="80"/>
              <w:bottom w:type="dxa" w:w="45"/>
              <w:right w:type="dxa" w:w="80"/>
            </w:tcMar>
            <w:vAlign w:val="center"/>
          </w:tcPr>
          <w:p>
            <w:pPr>
              <w:spacing w:after="0"/>
              <w:jc w:val="right"/>
            </w:pPr>
            <w:r>
              <w:rPr>
                <w:rFonts w:ascii="Arial" w:cs="Arial" w:eastAsia="Arial" w:hAnsi="Arial"/>
                <w:b/>
                <w:bCs/>
                <w:i w:val="false"/>
                <w:iCs w:val="false"/>
                <w:sz w:val="17"/>
                <w:szCs w:val="17"/>
              </w:rPr>
              <w:t xml:space="preserve">8,341.82</w:t>
            </w:r>
          </w:p>
        </w:tc>
        <w:tc>
          <w:tcPr>
            <w:tcW w:type="dxa" w:w="1000"/>
            <w:tcBorders>
              <w:top w:val="single" w:color="8C8C8C" w:sz="4"/>
              <w:left w:val="single" w:color="8C8C8C" w:sz="4"/>
              <w:bottom w:val="single" w:color="8C8C8C" w:sz="4"/>
              <w:right w:val="single" w:color="8C8C8C" w:sz="4"/>
            </w:tcBorders>
            <w:shd w:fill="D9E6DD" w:color="auto" w:val="clear"/>
            <w:tcMar>
              <w:top w:type="dxa" w:w="45"/>
              <w:left w:type="dxa" w:w="80"/>
              <w:bottom w:type="dxa" w:w="45"/>
              <w:right w:type="dxa" w:w="80"/>
            </w:tcMar>
            <w:vAlign w:val="center"/>
          </w:tcPr>
          <w:p>
            <w:pPr>
              <w:spacing w:after="0"/>
              <w:jc w:val="right"/>
            </w:pPr>
            <w:r>
              <w:rPr>
                <w:rFonts w:ascii="Arial" w:cs="Arial" w:eastAsia="Arial" w:hAnsi="Arial"/>
                <w:b/>
                <w:bCs/>
                <w:i w:val="false"/>
                <w:iCs w:val="false"/>
                <w:sz w:val="17"/>
                <w:szCs w:val="17"/>
              </w:rPr>
              <w:t xml:space="preserve">68.0 %</w:t>
            </w:r>
          </w:p>
        </w:tc>
        <w:tc>
          <w:tcPr>
            <w:tcW w:type="dxa" w:w="1638"/>
            <w:tcBorders>
              <w:top w:val="single" w:color="8C8C8C" w:sz="4"/>
              <w:left w:val="single" w:color="8C8C8C" w:sz="4"/>
              <w:bottom w:val="single" w:color="8C8C8C" w:sz="4"/>
              <w:right w:val="single" w:color="8C8C8C" w:sz="4"/>
            </w:tcBorders>
            <w:shd w:fill="D9E6DD" w:color="auto" w:val="clear"/>
            <w:tcMar>
              <w:top w:type="dxa" w:w="45"/>
              <w:left w:type="dxa" w:w="80"/>
              <w:bottom w:type="dxa" w:w="45"/>
              <w:right w:type="dxa" w:w="80"/>
            </w:tcMar>
            <w:vAlign w:val="center"/>
          </w:tcPr>
          <w:p>
            <w:pPr>
              <w:spacing w:after="0"/>
              <w:jc w:val="right"/>
            </w:pPr>
            <w:r>
              <w:rPr>
                <w:rFonts w:ascii="Arial" w:cs="Arial" w:eastAsia="Arial" w:hAnsi="Arial"/>
                <w:b/>
                <w:bCs/>
                <w:i w:val="false"/>
                <w:iCs w:val="false"/>
                <w:sz w:val="17"/>
                <w:szCs w:val="17"/>
              </w:rPr>
              <w:t xml:space="preserve">5,503.41</w:t>
            </w:r>
          </w:p>
        </w:tc>
        <w:tc>
          <w:tcPr>
            <w:tcW w:type="dxa" w:w="1200"/>
            <w:tcBorders>
              <w:top w:val="single" w:color="8C8C8C" w:sz="4"/>
              <w:left w:val="single" w:color="8C8C8C" w:sz="4"/>
              <w:bottom w:val="single" w:color="8C8C8C" w:sz="4"/>
              <w:right w:val="single" w:color="8C8C8C" w:sz="4"/>
            </w:tcBorders>
            <w:shd w:fill="D9E6DD" w:color="auto" w:val="clear"/>
            <w:tcMar>
              <w:top w:type="dxa" w:w="45"/>
              <w:left w:type="dxa" w:w="80"/>
              <w:bottom w:type="dxa" w:w="45"/>
              <w:right w:type="dxa" w:w="80"/>
            </w:tcMar>
            <w:vAlign w:val="center"/>
          </w:tcPr>
          <w:p>
            <w:pPr>
              <w:spacing w:after="0"/>
              <w:jc w:val="right"/>
            </w:pPr>
            <w:r>
              <w:rPr>
                <w:rFonts w:ascii="Arial" w:cs="Arial" w:eastAsia="Arial" w:hAnsi="Arial"/>
                <w:b/>
                <w:bCs/>
                <w:i w:val="false"/>
                <w:iCs w:val="false"/>
                <w:sz w:val="17"/>
                <w:szCs w:val="17"/>
              </w:rPr>
              <w:t xml:space="preserve">0.730</w:t>
            </w:r>
          </w:p>
        </w:tc>
      </w:tr>
    </w:tbl>
    <w:p>
      <w:pPr>
        <w:spacing w:after="200" w:before="50"/>
        <w:jc w:val="both"/>
      </w:pPr>
      <w:r>
        <w:rPr>
          <w:rFonts w:ascii="Arial" w:cs="Arial" w:eastAsia="Arial" w:hAnsi="Arial"/>
          <w:i/>
          <w:iCs/>
          <w:color w:val="595959"/>
          <w:sz w:val="15"/>
          <w:szCs w:val="15"/>
        </w:rPr>
        <w:t xml:space="preserve">Fuente: Informe E6, Tabla 1.</w:t>
      </w:r>
    </w:p>
    <w:p>
      <w:pPr>
        <w:keepNext/>
        <w:keepLines/>
        <w:spacing w:after="80" w:before="160"/>
      </w:pPr>
      <w:r>
        <w:rPr>
          <w:rFonts w:ascii="Arial" w:cs="Arial" w:eastAsia="Arial" w:hAnsi="Arial"/>
          <w:b/>
          <w:bCs/>
          <w:sz w:val="19"/>
          <w:szCs w:val="19"/>
        </w:rPr>
        <w:t xml:space="preserve">Cuadro N° A3.8. Clases de estado del ecosistema e intersección con el umbral MSAVI (117 bloques)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8"/>
        <w:gridCol w:w="1500"/>
        <w:gridCol w:w="1900"/>
        <w:gridCol w:w="1500"/>
        <w:gridCol w:w="2100"/>
      </w:tblGrid>
      <w:tr>
        <w:trPr>
          <w:cantSplit/>
          <w:tblHeader/>
        </w:trPr>
        <w:tc>
          <w:tcPr>
            <w:tcW w:type="dxa" w:w="2638"/>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7"/>
                <w:szCs w:val="17"/>
              </w:rPr>
              <w:t xml:space="preserve">CLASE DE ESTADO (IC)</w:t>
            </w:r>
          </w:p>
        </w:tc>
        <w:tc>
          <w:tcPr>
            <w:tcW w:type="dxa" w:w="1500"/>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7"/>
                <w:szCs w:val="17"/>
              </w:rPr>
              <w:t xml:space="preserve">BLOQUES</w:t>
            </w:r>
          </w:p>
        </w:tc>
        <w:tc>
          <w:tcPr>
            <w:tcW w:type="dxa" w:w="1900"/>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7"/>
                <w:szCs w:val="17"/>
              </w:rPr>
              <w:t xml:space="preserve">ÁREA (ha)</w:t>
            </w:r>
          </w:p>
        </w:tc>
        <w:tc>
          <w:tcPr>
            <w:tcW w:type="dxa" w:w="1500"/>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7"/>
                <w:szCs w:val="17"/>
              </w:rPr>
              <w:t xml:space="preserve">% ÁREA</w:t>
            </w:r>
          </w:p>
        </w:tc>
        <w:tc>
          <w:tcPr>
            <w:tcW w:type="dxa" w:w="2100"/>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7"/>
                <w:szCs w:val="17"/>
              </w:rPr>
              <w:t xml:space="preserve">BAJO UMBRAL (ha)</w:t>
            </w:r>
          </w:p>
        </w:tc>
      </w:tr>
      <w:tr>
        <w:trPr>
          <w:cantSplit/>
        </w:trPr>
        <w:tc>
          <w:tcPr>
            <w:tcW w:type="dxa" w:w="26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No degradado</w:t>
            </w:r>
          </w:p>
        </w:tc>
        <w:tc>
          <w:tcPr>
            <w:tcW w:type="dxa" w:w="15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53</w:t>
            </w:r>
          </w:p>
        </w:tc>
        <w:tc>
          <w:tcPr>
            <w:tcW w:type="dxa" w:w="19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3,949.76</w:t>
            </w:r>
          </w:p>
        </w:tc>
        <w:tc>
          <w:tcPr>
            <w:tcW w:type="dxa" w:w="15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32.2 %</w:t>
            </w:r>
          </w:p>
        </w:tc>
        <w:tc>
          <w:tcPr>
            <w:tcW w:type="dxa" w:w="21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1,070.34</w:t>
            </w:r>
          </w:p>
        </w:tc>
      </w:tr>
      <w:tr>
        <w:trPr>
          <w:cantSplit/>
        </w:trPr>
        <w:tc>
          <w:tcPr>
            <w:tcW w:type="dxa" w:w="26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Leve</w:t>
            </w:r>
          </w:p>
        </w:tc>
        <w:tc>
          <w:tcPr>
            <w:tcW w:type="dxa" w:w="15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44</w:t>
            </w:r>
          </w:p>
        </w:tc>
        <w:tc>
          <w:tcPr>
            <w:tcW w:type="dxa" w:w="19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6,675.47</w:t>
            </w:r>
          </w:p>
        </w:tc>
        <w:tc>
          <w:tcPr>
            <w:tcW w:type="dxa" w:w="15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54.4 %</w:t>
            </w:r>
          </w:p>
        </w:tc>
        <w:tc>
          <w:tcPr>
            <w:tcW w:type="dxa" w:w="21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5,669.78</w:t>
            </w:r>
          </w:p>
        </w:tc>
      </w:tr>
      <w:tr>
        <w:trPr>
          <w:cantSplit/>
        </w:trPr>
        <w:tc>
          <w:tcPr>
            <w:tcW w:type="dxa" w:w="26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Moderado</w:t>
            </w:r>
          </w:p>
        </w:tc>
        <w:tc>
          <w:tcPr>
            <w:tcW w:type="dxa" w:w="15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14</w:t>
            </w:r>
          </w:p>
        </w:tc>
        <w:tc>
          <w:tcPr>
            <w:tcW w:type="dxa" w:w="19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1,493.62</w:t>
            </w:r>
          </w:p>
        </w:tc>
        <w:tc>
          <w:tcPr>
            <w:tcW w:type="dxa" w:w="15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12.2 %</w:t>
            </w:r>
          </w:p>
        </w:tc>
        <w:tc>
          <w:tcPr>
            <w:tcW w:type="dxa" w:w="21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1,450.79</w:t>
            </w:r>
          </w:p>
        </w:tc>
      </w:tr>
      <w:tr>
        <w:trPr>
          <w:cantSplit/>
        </w:trPr>
        <w:tc>
          <w:tcPr>
            <w:tcW w:type="dxa" w:w="26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Severo</w:t>
            </w:r>
          </w:p>
        </w:tc>
        <w:tc>
          <w:tcPr>
            <w:tcW w:type="dxa" w:w="15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6</w:t>
            </w:r>
          </w:p>
        </w:tc>
        <w:tc>
          <w:tcPr>
            <w:tcW w:type="dxa" w:w="19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151.39</w:t>
            </w:r>
          </w:p>
        </w:tc>
        <w:tc>
          <w:tcPr>
            <w:tcW w:type="dxa" w:w="15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1.2 %</w:t>
            </w:r>
          </w:p>
        </w:tc>
        <w:tc>
          <w:tcPr>
            <w:tcW w:type="dxa" w:w="21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150.91</w:t>
            </w:r>
          </w:p>
        </w:tc>
      </w:tr>
      <w:tr>
        <w:trPr>
          <w:cantSplit/>
        </w:trPr>
        <w:tc>
          <w:tcPr>
            <w:tcW w:type="dxa" w:w="2638"/>
            <w:tcBorders>
              <w:top w:val="single" w:color="8C8C8C" w:sz="4"/>
              <w:left w:val="single" w:color="8C8C8C" w:sz="4"/>
              <w:bottom w:val="single" w:color="8C8C8C" w:sz="4"/>
              <w:right w:val="single" w:color="8C8C8C" w:sz="4"/>
            </w:tcBorders>
            <w:shd w:fill="D9E6DD" w:color="auto" w:val="clear"/>
            <w:tcMar>
              <w:top w:type="dxa" w:w="45"/>
              <w:left w:type="dxa" w:w="80"/>
              <w:bottom w:type="dxa" w:w="45"/>
              <w:right w:type="dxa" w:w="80"/>
            </w:tcMar>
            <w:vAlign w:val="center"/>
          </w:tcPr>
          <w:p>
            <w:pPr>
              <w:spacing w:after="0"/>
              <w:jc w:val="left"/>
            </w:pPr>
            <w:r>
              <w:rPr>
                <w:rFonts w:ascii="Arial" w:cs="Arial" w:eastAsia="Arial" w:hAnsi="Arial"/>
                <w:b/>
                <w:bCs/>
                <w:i w:val="false"/>
                <w:iCs w:val="false"/>
                <w:sz w:val="17"/>
                <w:szCs w:val="17"/>
              </w:rPr>
              <w:t xml:space="preserve">TOTAL</w:t>
            </w:r>
          </w:p>
        </w:tc>
        <w:tc>
          <w:tcPr>
            <w:tcW w:type="dxa" w:w="1500"/>
            <w:tcBorders>
              <w:top w:val="single" w:color="8C8C8C" w:sz="4"/>
              <w:left w:val="single" w:color="8C8C8C" w:sz="4"/>
              <w:bottom w:val="single" w:color="8C8C8C" w:sz="4"/>
              <w:right w:val="single" w:color="8C8C8C" w:sz="4"/>
            </w:tcBorders>
            <w:shd w:fill="D9E6DD"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sz w:val="17"/>
                <w:szCs w:val="17"/>
              </w:rPr>
              <w:t xml:space="preserve">117</w:t>
            </w:r>
          </w:p>
        </w:tc>
        <w:tc>
          <w:tcPr>
            <w:tcW w:type="dxa" w:w="1900"/>
            <w:tcBorders>
              <w:top w:val="single" w:color="8C8C8C" w:sz="4"/>
              <w:left w:val="single" w:color="8C8C8C" w:sz="4"/>
              <w:bottom w:val="single" w:color="8C8C8C" w:sz="4"/>
              <w:right w:val="single" w:color="8C8C8C" w:sz="4"/>
            </w:tcBorders>
            <w:shd w:fill="D9E6DD" w:color="auto" w:val="clear"/>
            <w:tcMar>
              <w:top w:type="dxa" w:w="45"/>
              <w:left w:type="dxa" w:w="80"/>
              <w:bottom w:type="dxa" w:w="45"/>
              <w:right w:type="dxa" w:w="80"/>
            </w:tcMar>
            <w:vAlign w:val="center"/>
          </w:tcPr>
          <w:p>
            <w:pPr>
              <w:spacing w:after="0"/>
              <w:jc w:val="right"/>
            </w:pPr>
            <w:r>
              <w:rPr>
                <w:rFonts w:ascii="Arial" w:cs="Arial" w:eastAsia="Arial" w:hAnsi="Arial"/>
                <w:b/>
                <w:bCs/>
                <w:i w:val="false"/>
                <w:iCs w:val="false"/>
                <w:sz w:val="17"/>
                <w:szCs w:val="17"/>
              </w:rPr>
              <w:t xml:space="preserve">12,270.24</w:t>
            </w:r>
          </w:p>
        </w:tc>
        <w:tc>
          <w:tcPr>
            <w:tcW w:type="dxa" w:w="1500"/>
            <w:tcBorders>
              <w:top w:val="single" w:color="8C8C8C" w:sz="4"/>
              <w:left w:val="single" w:color="8C8C8C" w:sz="4"/>
              <w:bottom w:val="single" w:color="8C8C8C" w:sz="4"/>
              <w:right w:val="single" w:color="8C8C8C" w:sz="4"/>
            </w:tcBorders>
            <w:shd w:fill="D9E6DD" w:color="auto" w:val="clear"/>
            <w:tcMar>
              <w:top w:type="dxa" w:w="45"/>
              <w:left w:type="dxa" w:w="80"/>
              <w:bottom w:type="dxa" w:w="45"/>
              <w:right w:type="dxa" w:w="80"/>
            </w:tcMar>
            <w:vAlign w:val="center"/>
          </w:tcPr>
          <w:p>
            <w:pPr>
              <w:spacing w:after="0"/>
              <w:jc w:val="right"/>
            </w:pPr>
            <w:r>
              <w:rPr>
                <w:rFonts w:ascii="Arial" w:cs="Arial" w:eastAsia="Arial" w:hAnsi="Arial"/>
                <w:b/>
                <w:bCs/>
                <w:i w:val="false"/>
                <w:iCs w:val="false"/>
                <w:sz w:val="17"/>
                <w:szCs w:val="17"/>
              </w:rPr>
              <w:t xml:space="preserve">100.0 %</w:t>
            </w:r>
          </w:p>
        </w:tc>
        <w:tc>
          <w:tcPr>
            <w:tcW w:type="dxa" w:w="2100"/>
            <w:tcBorders>
              <w:top w:val="single" w:color="8C8C8C" w:sz="4"/>
              <w:left w:val="single" w:color="8C8C8C" w:sz="4"/>
              <w:bottom w:val="single" w:color="8C8C8C" w:sz="4"/>
              <w:right w:val="single" w:color="8C8C8C" w:sz="4"/>
            </w:tcBorders>
            <w:shd w:fill="D9E6DD" w:color="auto" w:val="clear"/>
            <w:tcMar>
              <w:top w:type="dxa" w:w="45"/>
              <w:left w:type="dxa" w:w="80"/>
              <w:bottom w:type="dxa" w:w="45"/>
              <w:right w:type="dxa" w:w="80"/>
            </w:tcMar>
            <w:vAlign w:val="center"/>
          </w:tcPr>
          <w:p>
            <w:pPr>
              <w:spacing w:after="0"/>
              <w:jc w:val="right"/>
            </w:pPr>
            <w:r>
              <w:rPr>
                <w:rFonts w:ascii="Arial" w:cs="Arial" w:eastAsia="Arial" w:hAnsi="Arial"/>
                <w:b/>
                <w:bCs/>
                <w:i w:val="false"/>
                <w:iCs w:val="false"/>
                <w:sz w:val="17"/>
                <w:szCs w:val="17"/>
              </w:rPr>
              <w:t xml:space="preserve">8,341.82</w:t>
            </w:r>
          </w:p>
        </w:tc>
      </w:tr>
    </w:tbl>
    <w:p>
      <w:pPr>
        <w:spacing w:after="200" w:before="50"/>
        <w:jc w:val="both"/>
      </w:pPr>
      <w:r>
        <w:rPr>
          <w:rFonts w:ascii="Arial" w:cs="Arial" w:eastAsia="Arial" w:hAnsi="Arial"/>
          <w:i/>
          <w:iCs/>
          <w:color w:val="595959"/>
          <w:sz w:val="15"/>
          <w:szCs w:val="15"/>
        </w:rPr>
        <w:t xml:space="preserve">Fuente: Informe E6, Tabla 12. Los seis bloques severos son 77 y 83 a 87 (San Juan de Bigote).</w:t>
      </w:r>
    </w:p>
    <w:p>
      <w:pPr>
        <w:keepNext/>
        <w:keepLines/>
        <w:spacing w:after="80" w:before="160"/>
      </w:pPr>
      <w:r>
        <w:rPr>
          <w:rFonts w:ascii="Arial" w:cs="Arial" w:eastAsia="Arial" w:hAnsi="Arial"/>
          <w:b/>
          <w:bCs/>
          <w:sz w:val="19"/>
          <w:szCs w:val="19"/>
        </w:rPr>
        <w:t xml:space="preserve">Cuadro N° A3.9. Índice de condición por atributo y valores de referencia por piso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1500"/>
        <w:gridCol w:w="5338"/>
      </w:tblGrid>
      <w:tr>
        <w:trPr>
          <w:cantSplit/>
          <w:tblHeader/>
        </w:trPr>
        <w:tc>
          <w:tcPr>
            <w:tcW w:type="dxa" w:w="2800"/>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7"/>
                <w:szCs w:val="17"/>
              </w:rPr>
              <w:t xml:space="preserve">ATRIBUTO</w:t>
            </w:r>
          </w:p>
        </w:tc>
        <w:tc>
          <w:tcPr>
            <w:tcW w:type="dxa" w:w="1500"/>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7"/>
                <w:szCs w:val="17"/>
              </w:rPr>
              <w:t xml:space="preserve">IC PONDERADO</w:t>
            </w:r>
          </w:p>
        </w:tc>
        <w:tc>
          <w:tcPr>
            <w:tcW w:type="dxa" w:w="5338"/>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7"/>
                <w:szCs w:val="17"/>
              </w:rPr>
              <w:t xml:space="preserve">LECTURA</w:t>
            </w:r>
          </w:p>
        </w:tc>
      </w:tr>
      <w:tr>
        <w:trPr>
          <w:cantSplit/>
        </w:trPr>
        <w:tc>
          <w:tcPr>
            <w:tcW w:type="dxa" w:w="28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Ausencia de amenazas</w:t>
            </w:r>
          </w:p>
        </w:tc>
        <w:tc>
          <w:tcPr>
            <w:tcW w:type="dxa" w:w="15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0.51</w:t>
            </w:r>
          </w:p>
        </w:tc>
        <w:tc>
          <w:tcPr>
            <w:tcW w:type="dxa" w:w="53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Presión más baja del conjunto: 103 registros de sobrepastoreo y 83 de cambio de uso a pastoreo en F-DT-04</w:t>
            </w:r>
          </w:p>
        </w:tc>
      </w:tr>
      <w:tr>
        <w:trPr>
          <w:cantSplit/>
        </w:trPr>
        <w:tc>
          <w:tcPr>
            <w:tcW w:type="dxa" w:w="28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Condiciones físicas</w:t>
            </w:r>
          </w:p>
        </w:tc>
        <w:tc>
          <w:tcPr>
            <w:tcW w:type="dxa" w:w="15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0.94</w:t>
            </w:r>
          </w:p>
        </w:tc>
        <w:tc>
          <w:tcPr>
            <w:tcW w:type="dxa" w:w="53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El suelo desnudo se concentra en pocos bloques del piso A</w:t>
            </w:r>
          </w:p>
        </w:tc>
      </w:tr>
      <w:tr>
        <w:trPr>
          <w:cantSplit/>
        </w:trPr>
        <w:tc>
          <w:tcPr>
            <w:tcW w:type="dxa" w:w="28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Diversidad estructural</w:t>
            </w:r>
          </w:p>
        </w:tc>
        <w:tc>
          <w:tcPr>
            <w:tcW w:type="dxa" w:w="15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0.76</w:t>
            </w:r>
          </w:p>
        </w:tc>
        <w:tc>
          <w:tcPr>
            <w:tcW w:type="dxa" w:w="53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Dosel leñoso abierto frente a la referencia</w:t>
            </w:r>
          </w:p>
        </w:tc>
      </w:tr>
      <w:tr>
        <w:trPr>
          <w:cantSplit/>
        </w:trPr>
        <w:tc>
          <w:tcPr>
            <w:tcW w:type="dxa" w:w="28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Funciones (MSAVI)</w:t>
            </w:r>
          </w:p>
        </w:tc>
        <w:tc>
          <w:tcPr>
            <w:tcW w:type="dxa" w:w="15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0.81</w:t>
            </w:r>
          </w:p>
        </w:tc>
        <w:tc>
          <w:tcPr>
            <w:tcW w:type="dxa" w:w="53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Vigor relativo al P90 del piso</w:t>
            </w:r>
          </w:p>
        </w:tc>
      </w:tr>
      <w:tr>
        <w:trPr>
          <w:cantSplit/>
        </w:trPr>
        <w:tc>
          <w:tcPr>
            <w:tcW w:type="dxa" w:w="28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Intercambios externos</w:t>
            </w:r>
          </w:p>
        </w:tc>
        <w:tc>
          <w:tcPr>
            <w:tcW w:type="dxa" w:w="15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0.62</w:t>
            </w:r>
          </w:p>
        </w:tc>
        <w:tc>
          <w:tcPr>
            <w:tcW w:type="dxa" w:w="53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Paisaje circundante fragmentado en el piso bajo</w:t>
            </w:r>
          </w:p>
        </w:tc>
      </w:tr>
      <w:tr>
        <w:trPr>
          <w:cantSplit/>
        </w:trPr>
        <w:tc>
          <w:tcPr>
            <w:tcW w:type="dxa" w:w="28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Referencia piso A (46 parcelas)</w:t>
            </w:r>
          </w:p>
        </w:tc>
        <w:tc>
          <w:tcPr>
            <w:tcW w:type="dxa" w:w="15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w:t>
            </w:r>
          </w:p>
        </w:tc>
        <w:tc>
          <w:tcPr>
            <w:tcW w:type="dxa" w:w="53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55.6 % leñosa, 16.7 % suelo desnudo, MSAVI P90 0.446; confianza media</w:t>
            </w:r>
          </w:p>
        </w:tc>
      </w:tr>
      <w:tr>
        <w:trPr>
          <w:cantSplit/>
        </w:trPr>
        <w:tc>
          <w:tcPr>
            <w:tcW w:type="dxa" w:w="28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Referencia piso B (25 parcelas)</w:t>
            </w:r>
          </w:p>
        </w:tc>
        <w:tc>
          <w:tcPr>
            <w:tcW w:type="dxa" w:w="15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w:t>
            </w:r>
          </w:p>
        </w:tc>
        <w:tc>
          <w:tcPr>
            <w:tcW w:type="dxa" w:w="53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75.8 % leñosa, 6.4 % suelo desnudo, MSAVI P90 0.674; confianza media-baja</w:t>
            </w:r>
          </w:p>
        </w:tc>
      </w:tr>
      <w:tr>
        <w:trPr>
          <w:cantSplit/>
        </w:trPr>
        <w:tc>
          <w:tcPr>
            <w:tcW w:type="dxa" w:w="28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Referencia pisos C–D (16 parcelas)</w:t>
            </w:r>
          </w:p>
        </w:tc>
        <w:tc>
          <w:tcPr>
            <w:tcW w:type="dxa" w:w="15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w:t>
            </w:r>
          </w:p>
        </w:tc>
        <w:tc>
          <w:tcPr>
            <w:tcW w:type="dxa" w:w="53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68.8 % leñosa, 3.8 % suelo desnudo, MSAVI P90 0.679; confianza baja</w:t>
            </w:r>
          </w:p>
        </w:tc>
      </w:tr>
    </w:tbl>
    <w:p>
      <w:pPr>
        <w:spacing w:after="200" w:before="50"/>
        <w:jc w:val="both"/>
      </w:pPr>
      <w:r>
        <w:rPr>
          <w:rFonts w:ascii="Arial" w:cs="Arial" w:eastAsia="Arial" w:hAnsi="Arial"/>
          <w:i/>
          <w:iCs/>
          <w:color w:val="595959"/>
          <w:sz w:val="15"/>
          <w:szCs w:val="15"/>
        </w:rPr>
        <w:t xml:space="preserve">Fuente: Informe E6, Tablas 5 y 6.</w:t>
      </w:r>
    </w:p>
    <w:p>
      <w:pPr>
        <w:keepNext/>
        <w:spacing w:after="60" w:before="80"/>
        <w:jc w:val="center"/>
      </w:pPr>
      <w:r>
        <w:drawing>
          <wp:inline distT="0" distB="0" distL="0" distR="0">
            <wp:extent cx="558165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81650" cy="2095500"/>
                    </a:xfrm>
                    <a:prstGeom prst="rect">
                      <a:avLst/>
                    </a:prstGeom>
                  </pic:spPr>
                </pic:pic>
              </a:graphicData>
            </a:graphic>
          </wp:inline>
        </w:drawing>
      </w:r>
    </w:p>
    <w:p>
      <w:pPr>
        <w:keepNext/>
        <w:keepLines/>
        <w:spacing w:after="80" w:before="160"/>
      </w:pPr>
      <w:r>
        <w:rPr>
          <w:rFonts w:ascii="Arial" w:cs="Arial" w:eastAsia="Arial" w:hAnsi="Arial"/>
          <w:b/>
          <w:bCs/>
          <w:sz w:val="19"/>
          <w:szCs w:val="19"/>
        </w:rPr>
        <w:t xml:space="preserve">Figura N° A3.1. Cobertura al final de la época seca en los 117 bloques (mosaico S2DR4 de 1 m)</w:t>
      </w:r>
    </w:p>
    <w:p>
      <w:pPr>
        <w:spacing w:after="200" w:before="50"/>
        <w:jc w:val="both"/>
      </w:pPr>
      <w:r>
        <w:rPr>
          <w:rFonts w:ascii="Arial" w:cs="Arial" w:eastAsia="Arial" w:hAnsi="Arial"/>
          <w:i/>
          <w:iCs/>
          <w:color w:val="595959"/>
          <w:sz w:val="15"/>
          <w:szCs w:val="15"/>
        </w:rPr>
        <w:t xml:space="preserve">Fuente: Informe E6, Tabla 7. Estratos aparentes: arbóreo 28.4 %, arbustivo 18.4 %, herbáceo 33.5 %, suelo desnudo 12.8 %, sin lectura 6.9 %.</w:t>
      </w:r>
    </w:p>
    <w:p>
      <w:pPr>
        <w:keepNext/>
        <w:keepLines/>
        <w:spacing w:after="80" w:before="160"/>
      </w:pPr>
      <w:r>
        <w:rPr>
          <w:rFonts w:ascii="Arial" w:cs="Arial" w:eastAsia="Arial" w:hAnsi="Arial"/>
          <w:b/>
          <w:bCs/>
          <w:sz w:val="19"/>
          <w:szCs w:val="19"/>
        </w:rPr>
        <w:t xml:space="preserve">Cuadro N° A3.10. Inspección remota: parcelas virtuales por estrato y precisión alcanzada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0"/>
        <w:gridCol w:w="1300"/>
        <w:gridCol w:w="1000"/>
        <w:gridCol w:w="1300"/>
        <w:gridCol w:w="900"/>
        <w:gridCol w:w="1100"/>
        <w:gridCol w:w="1338"/>
      </w:tblGrid>
      <w:tr>
        <w:trPr>
          <w:cantSplit/>
          <w:tblHeader/>
        </w:trPr>
        <w:tc>
          <w:tcPr>
            <w:tcW w:type="dxa" w:w="2700"/>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7"/>
                <w:szCs w:val="17"/>
              </w:rPr>
              <w:t xml:space="preserve">ECOSISTEMA</w:t>
            </w:r>
          </w:p>
        </w:tc>
        <w:tc>
          <w:tcPr>
            <w:tcW w:type="dxa" w:w="1300"/>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7"/>
                <w:szCs w:val="17"/>
              </w:rPr>
              <w:t xml:space="preserve">CONDICIÓN MSAVI</w:t>
            </w:r>
          </w:p>
        </w:tc>
        <w:tc>
          <w:tcPr>
            <w:tcW w:type="dxa" w:w="1000"/>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7"/>
                <w:szCs w:val="17"/>
              </w:rPr>
              <w:t xml:space="preserve">PARCELAS</w:t>
            </w:r>
          </w:p>
        </w:tc>
        <w:tc>
          <w:tcPr>
            <w:tcW w:type="dxa" w:w="1300"/>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7"/>
                <w:szCs w:val="17"/>
              </w:rPr>
              <w:t xml:space="preserve">% COB. VEG.</w:t>
            </w:r>
          </w:p>
        </w:tc>
        <w:tc>
          <w:tcPr>
            <w:tcW w:type="dxa" w:w="900"/>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7"/>
                <w:szCs w:val="17"/>
              </w:rPr>
              <w:t xml:space="preserve">CV (%)</w:t>
            </w:r>
          </w:p>
        </w:tc>
        <w:tc>
          <w:tcPr>
            <w:tcW w:type="dxa" w:w="1100"/>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7"/>
                <w:szCs w:val="17"/>
              </w:rPr>
              <w:t xml:space="preserve">ERROR (%)</w:t>
            </w:r>
          </w:p>
        </w:tc>
        <w:tc>
          <w:tcPr>
            <w:tcW w:type="dxa" w:w="1338"/>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7"/>
                <w:szCs w:val="17"/>
              </w:rPr>
              <w:t xml:space="preserve">¿CUMPLE 15 %?</w:t>
            </w:r>
          </w:p>
        </w:tc>
      </w:tr>
      <w:tr>
        <w:trPr>
          <w:cantSplit/>
        </w:trPr>
        <w:tc>
          <w:tcPr>
            <w:tcW w:type="dxa" w:w="27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Bosque estacionalmente seco (Bes-cm)</w:t>
            </w:r>
          </w:p>
        </w:tc>
        <w:tc>
          <w:tcPr>
            <w:tcW w:type="dxa" w:w="13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Bajo umbral</w:t>
            </w:r>
          </w:p>
        </w:tc>
        <w:tc>
          <w:tcPr>
            <w:tcW w:type="dxa" w:w="10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789</w:t>
            </w:r>
          </w:p>
        </w:tc>
        <w:tc>
          <w:tcPr>
            <w:tcW w:type="dxa" w:w="13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79.4</w:t>
            </w:r>
          </w:p>
        </w:tc>
        <w:tc>
          <w:tcPr>
            <w:tcW w:type="dxa" w:w="9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38.0</w:t>
            </w:r>
          </w:p>
        </w:tc>
        <w:tc>
          <w:tcPr>
            <w:tcW w:type="dxa" w:w="11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2.7</w:t>
            </w:r>
          </w:p>
        </w:tc>
        <w:tc>
          <w:tcPr>
            <w:tcW w:type="dxa" w:w="13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Sí</w:t>
            </w:r>
          </w:p>
        </w:tc>
      </w:tr>
      <w:tr>
        <w:trPr>
          <w:cantSplit/>
        </w:trPr>
        <w:tc>
          <w:tcPr>
            <w:tcW w:type="dxa" w:w="27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Bosque estacionalmente seco (Bes-cm)</w:t>
            </w:r>
          </w:p>
        </w:tc>
        <w:tc>
          <w:tcPr>
            <w:tcW w:type="dxa" w:w="13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Sobre umbral</w:t>
            </w:r>
          </w:p>
        </w:tc>
        <w:tc>
          <w:tcPr>
            <w:tcW w:type="dxa" w:w="10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142</w:t>
            </w:r>
          </w:p>
        </w:tc>
        <w:tc>
          <w:tcPr>
            <w:tcW w:type="dxa" w:w="13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96.9</w:t>
            </w:r>
          </w:p>
        </w:tc>
        <w:tc>
          <w:tcPr>
            <w:tcW w:type="dxa" w:w="9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7.6</w:t>
            </w:r>
          </w:p>
        </w:tc>
        <w:tc>
          <w:tcPr>
            <w:tcW w:type="dxa" w:w="11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1.2</w:t>
            </w:r>
          </w:p>
        </w:tc>
        <w:tc>
          <w:tcPr>
            <w:tcW w:type="dxa" w:w="13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Sí</w:t>
            </w:r>
          </w:p>
        </w:tc>
      </w:tr>
      <w:tr>
        <w:trPr>
          <w:cantSplit/>
        </w:trPr>
        <w:tc>
          <w:tcPr>
            <w:tcW w:type="dxa" w:w="27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Bosque relicto montano (Br-mvoc)</w:t>
            </w:r>
          </w:p>
        </w:tc>
        <w:tc>
          <w:tcPr>
            <w:tcW w:type="dxa" w:w="13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Sobre umbral</w:t>
            </w:r>
          </w:p>
        </w:tc>
        <w:tc>
          <w:tcPr>
            <w:tcW w:type="dxa" w:w="10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27</w:t>
            </w:r>
          </w:p>
        </w:tc>
        <w:tc>
          <w:tcPr>
            <w:tcW w:type="dxa" w:w="13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96.4</w:t>
            </w:r>
          </w:p>
        </w:tc>
        <w:tc>
          <w:tcPr>
            <w:tcW w:type="dxa" w:w="9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10.6</w:t>
            </w:r>
          </w:p>
        </w:tc>
        <w:tc>
          <w:tcPr>
            <w:tcW w:type="dxa" w:w="11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4.0</w:t>
            </w:r>
          </w:p>
        </w:tc>
        <w:tc>
          <w:tcPr>
            <w:tcW w:type="dxa" w:w="13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Sí</w:t>
            </w:r>
          </w:p>
        </w:tc>
      </w:tr>
      <w:tr>
        <w:trPr>
          <w:cantSplit/>
        </w:trPr>
        <w:tc>
          <w:tcPr>
            <w:tcW w:type="dxa" w:w="27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Matorral andino (Ma)</w:t>
            </w:r>
          </w:p>
        </w:tc>
        <w:tc>
          <w:tcPr>
            <w:tcW w:type="dxa" w:w="13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Bajo umbral</w:t>
            </w:r>
          </w:p>
        </w:tc>
        <w:tc>
          <w:tcPr>
            <w:tcW w:type="dxa" w:w="10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10</w:t>
            </w:r>
          </w:p>
        </w:tc>
        <w:tc>
          <w:tcPr>
            <w:tcW w:type="dxa" w:w="13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67.9</w:t>
            </w:r>
          </w:p>
        </w:tc>
        <w:tc>
          <w:tcPr>
            <w:tcW w:type="dxa" w:w="9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34.0</w:t>
            </w:r>
          </w:p>
        </w:tc>
        <w:tc>
          <w:tcPr>
            <w:tcW w:type="dxa" w:w="11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21.1</w:t>
            </w:r>
          </w:p>
        </w:tc>
        <w:tc>
          <w:tcPr>
            <w:tcW w:type="dxa" w:w="13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No</w:t>
            </w:r>
          </w:p>
        </w:tc>
      </w:tr>
      <w:tr>
        <w:trPr>
          <w:cantSplit/>
        </w:trPr>
        <w:tc>
          <w:tcPr>
            <w:tcW w:type="dxa" w:w="27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Matorral andino (Ma)</w:t>
            </w:r>
          </w:p>
        </w:tc>
        <w:tc>
          <w:tcPr>
            <w:tcW w:type="dxa" w:w="13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Sobre umbral</w:t>
            </w:r>
          </w:p>
        </w:tc>
        <w:tc>
          <w:tcPr>
            <w:tcW w:type="dxa" w:w="10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152</w:t>
            </w:r>
          </w:p>
        </w:tc>
        <w:tc>
          <w:tcPr>
            <w:tcW w:type="dxa" w:w="13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96.2</w:t>
            </w:r>
          </w:p>
        </w:tc>
        <w:tc>
          <w:tcPr>
            <w:tcW w:type="dxa" w:w="9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9.1</w:t>
            </w:r>
          </w:p>
        </w:tc>
        <w:tc>
          <w:tcPr>
            <w:tcW w:type="dxa" w:w="11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1.4</w:t>
            </w:r>
          </w:p>
        </w:tc>
        <w:tc>
          <w:tcPr>
            <w:tcW w:type="dxa" w:w="13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Sí</w:t>
            </w:r>
          </w:p>
        </w:tc>
      </w:tr>
      <w:tr>
        <w:trPr>
          <w:cantSplit/>
        </w:trPr>
        <w:tc>
          <w:tcPr>
            <w:tcW w:type="dxa" w:w="27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Páramo (Pa)</w:t>
            </w:r>
          </w:p>
        </w:tc>
        <w:tc>
          <w:tcPr>
            <w:tcW w:type="dxa" w:w="13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Sobre umbral</w:t>
            </w:r>
          </w:p>
        </w:tc>
        <w:tc>
          <w:tcPr>
            <w:tcW w:type="dxa" w:w="10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12</w:t>
            </w:r>
          </w:p>
        </w:tc>
        <w:tc>
          <w:tcPr>
            <w:tcW w:type="dxa" w:w="13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96.3</w:t>
            </w:r>
          </w:p>
        </w:tc>
        <w:tc>
          <w:tcPr>
            <w:tcW w:type="dxa" w:w="9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8.2</w:t>
            </w:r>
          </w:p>
        </w:tc>
        <w:tc>
          <w:tcPr>
            <w:tcW w:type="dxa" w:w="11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4.6</w:t>
            </w:r>
          </w:p>
        </w:tc>
        <w:tc>
          <w:tcPr>
            <w:tcW w:type="dxa" w:w="13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Sí</w:t>
            </w:r>
          </w:p>
        </w:tc>
      </w:tr>
      <w:tr>
        <w:trPr>
          <w:cantSplit/>
        </w:trPr>
        <w:tc>
          <w:tcPr>
            <w:tcW w:type="dxa" w:w="27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Zona agrícola / mosaico agroforestal</w:t>
            </w:r>
          </w:p>
        </w:tc>
        <w:tc>
          <w:tcPr>
            <w:tcW w:type="dxa" w:w="13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7"/>
                <w:szCs w:val="17"/>
              </w:rPr>
              <w:t xml:space="preserve">Sobre umbral</w:t>
            </w:r>
          </w:p>
        </w:tc>
        <w:tc>
          <w:tcPr>
            <w:tcW w:type="dxa" w:w="10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233</w:t>
            </w:r>
          </w:p>
        </w:tc>
        <w:tc>
          <w:tcPr>
            <w:tcW w:type="dxa" w:w="13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97.7</w:t>
            </w:r>
          </w:p>
        </w:tc>
        <w:tc>
          <w:tcPr>
            <w:tcW w:type="dxa" w:w="9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6.4</w:t>
            </w:r>
          </w:p>
        </w:tc>
        <w:tc>
          <w:tcPr>
            <w:tcW w:type="dxa" w:w="11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7"/>
                <w:szCs w:val="17"/>
              </w:rPr>
              <w:t xml:space="preserve">0.8</w:t>
            </w:r>
          </w:p>
        </w:tc>
        <w:tc>
          <w:tcPr>
            <w:tcW w:type="dxa" w:w="13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7"/>
                <w:szCs w:val="17"/>
              </w:rPr>
              <w:t xml:space="preserve">Sí</w:t>
            </w:r>
          </w:p>
        </w:tc>
      </w:tr>
    </w:tbl>
    <w:p>
      <w:pPr>
        <w:spacing w:after="200" w:before="50"/>
        <w:jc w:val="both"/>
      </w:pPr>
      <w:r>
        <w:rPr>
          <w:rFonts w:ascii="Arial" w:cs="Arial" w:eastAsia="Arial" w:hAnsi="Arial"/>
          <w:i/>
          <w:iCs/>
          <w:color w:val="595959"/>
          <w:sz w:val="15"/>
          <w:szCs w:val="15"/>
        </w:rPr>
        <w:t xml:space="preserve">Fuente: Informe E6, Tabla 11. Se interpretaron 1,374 parcelas en bloques (1,365 con lectura válida) y 102 de referencia. Contraste con la cobertura de 82 fichas F-DT: r = 0.72; error absoluto medio 19.5 pp; sesgo +15.9 pp.</w:t>
      </w:r>
    </w:p>
    <w:p>
      <w:pPr>
        <w:keepNext/>
        <w:keepLines/>
        <w:spacing w:after="80" w:before="160"/>
      </w:pPr>
      <w:r>
        <w:rPr>
          <w:rFonts w:ascii="Arial" w:cs="Arial" w:eastAsia="Arial" w:hAnsi="Arial"/>
          <w:b/>
          <w:bCs/>
          <w:sz w:val="19"/>
          <w:szCs w:val="19"/>
        </w:rPr>
        <w:t xml:space="preserve">Cuadro N° A3.11. Quince bloques con menor índice de condición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1100"/>
        <w:gridCol w:w="900"/>
        <w:gridCol w:w="1100"/>
        <w:gridCol w:w="1000"/>
        <w:gridCol w:w="800"/>
        <w:gridCol w:w="1100"/>
        <w:gridCol w:w="838"/>
      </w:tblGrid>
      <w:tr>
        <w:trPr>
          <w:cantSplit/>
          <w:tblHeader/>
        </w:trPr>
        <w:tc>
          <w:tcPr>
            <w:tcW w:type="dxa" w:w="900"/>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5"/>
                <w:szCs w:val="15"/>
              </w:rPr>
              <w:t xml:space="preserve">BLOQUE</w:t>
            </w:r>
          </w:p>
        </w:tc>
        <w:tc>
          <w:tcPr>
            <w:tcW w:type="dxa" w:w="1900"/>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5"/>
                <w:szCs w:val="15"/>
              </w:rPr>
              <w:t xml:space="preserve">DISTRITO</w:t>
            </w:r>
          </w:p>
        </w:tc>
        <w:tc>
          <w:tcPr>
            <w:tcW w:type="dxa" w:w="1100"/>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5"/>
                <w:szCs w:val="15"/>
              </w:rPr>
              <w:t xml:space="preserve">ÁREA (ha)</w:t>
            </w:r>
          </w:p>
        </w:tc>
        <w:tc>
          <w:tcPr>
            <w:tcW w:type="dxa" w:w="900"/>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5"/>
                <w:szCs w:val="15"/>
              </w:rPr>
              <w:t xml:space="preserve">MSAVI</w:t>
            </w:r>
          </w:p>
        </w:tc>
        <w:tc>
          <w:tcPr>
            <w:tcW w:type="dxa" w:w="1100"/>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5"/>
                <w:szCs w:val="15"/>
              </w:rPr>
              <w:t xml:space="preserve">% BAJO UMBRAL</w:t>
            </w:r>
          </w:p>
        </w:tc>
        <w:tc>
          <w:tcPr>
            <w:tcW w:type="dxa" w:w="1000"/>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5"/>
                <w:szCs w:val="15"/>
              </w:rPr>
              <w:t xml:space="preserve">% SUELO</w:t>
            </w:r>
          </w:p>
        </w:tc>
        <w:tc>
          <w:tcPr>
            <w:tcW w:type="dxa" w:w="800"/>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5"/>
                <w:szCs w:val="15"/>
              </w:rPr>
              <w:t xml:space="preserve">IC</w:t>
            </w:r>
          </w:p>
        </w:tc>
        <w:tc>
          <w:tcPr>
            <w:tcW w:type="dxa" w:w="1100"/>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5"/>
                <w:szCs w:val="15"/>
              </w:rPr>
              <w:t xml:space="preserve">CLASE</w:t>
            </w:r>
          </w:p>
        </w:tc>
        <w:tc>
          <w:tcPr>
            <w:tcW w:type="dxa" w:w="838"/>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5"/>
                <w:szCs w:val="15"/>
              </w:rPr>
              <w:t xml:space="preserve">TIPOL.</w:t>
            </w:r>
          </w:p>
        </w:tc>
      </w:tr>
      <w:tr>
        <w:trPr>
          <w:cantSplit/>
        </w:trPr>
        <w:tc>
          <w:tcPr>
            <w:tcW w:type="dxa" w:w="9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5"/>
                <w:szCs w:val="15"/>
              </w:rPr>
              <w:t xml:space="preserve">85</w:t>
            </w:r>
          </w:p>
        </w:tc>
        <w:tc>
          <w:tcPr>
            <w:tcW w:type="dxa" w:w="19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San Juan de Bigote</w:t>
            </w:r>
          </w:p>
        </w:tc>
        <w:tc>
          <w:tcPr>
            <w:tcW w:type="dxa" w:w="11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5"/>
                <w:szCs w:val="15"/>
              </w:rPr>
              <w:t xml:space="preserve">11.91</w:t>
            </w:r>
          </w:p>
        </w:tc>
        <w:tc>
          <w:tcPr>
            <w:tcW w:type="dxa" w:w="9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5"/>
                <w:szCs w:val="15"/>
              </w:rPr>
              <w:t xml:space="preserve">0.229</w:t>
            </w:r>
          </w:p>
        </w:tc>
        <w:tc>
          <w:tcPr>
            <w:tcW w:type="dxa" w:w="11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5"/>
                <w:szCs w:val="15"/>
              </w:rPr>
              <w:t xml:space="preserve">100.0</w:t>
            </w:r>
          </w:p>
        </w:tc>
        <w:tc>
          <w:tcPr>
            <w:tcW w:type="dxa" w:w="10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5"/>
                <w:szCs w:val="15"/>
              </w:rPr>
              <w:t xml:space="preserve">99.0</w:t>
            </w:r>
          </w:p>
        </w:tc>
        <w:tc>
          <w:tcPr>
            <w:tcW w:type="dxa" w:w="8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5"/>
                <w:szCs w:val="15"/>
              </w:rPr>
              <w:t xml:space="preserve">0.22</w:t>
            </w:r>
          </w:p>
        </w:tc>
        <w:tc>
          <w:tcPr>
            <w:tcW w:type="dxa" w:w="11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5"/>
                <w:szCs w:val="15"/>
              </w:rPr>
              <w:t xml:space="preserve">Severo</w:t>
            </w:r>
          </w:p>
        </w:tc>
        <w:tc>
          <w:tcPr>
            <w:tcW w:type="dxa" w:w="8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5"/>
                <w:szCs w:val="15"/>
              </w:rPr>
              <w:t xml:space="preserve">A</w:t>
            </w:r>
          </w:p>
        </w:tc>
      </w:tr>
      <w:tr>
        <w:trPr>
          <w:cantSplit/>
        </w:trPr>
        <w:tc>
          <w:tcPr>
            <w:tcW w:type="dxa" w:w="9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5"/>
                <w:szCs w:val="15"/>
              </w:rPr>
              <w:t xml:space="preserve">84</w:t>
            </w:r>
          </w:p>
        </w:tc>
        <w:tc>
          <w:tcPr>
            <w:tcW w:type="dxa" w:w="19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San Juan de Bigote</w:t>
            </w:r>
          </w:p>
        </w:tc>
        <w:tc>
          <w:tcPr>
            <w:tcW w:type="dxa" w:w="11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5"/>
                <w:szCs w:val="15"/>
              </w:rPr>
              <w:t xml:space="preserve">5.10</w:t>
            </w:r>
          </w:p>
        </w:tc>
        <w:tc>
          <w:tcPr>
            <w:tcW w:type="dxa" w:w="9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5"/>
                <w:szCs w:val="15"/>
              </w:rPr>
              <w:t xml:space="preserve">0.252</w:t>
            </w:r>
          </w:p>
        </w:tc>
        <w:tc>
          <w:tcPr>
            <w:tcW w:type="dxa" w:w="11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5"/>
                <w:szCs w:val="15"/>
              </w:rPr>
              <w:t xml:space="preserve">100.0</w:t>
            </w:r>
          </w:p>
        </w:tc>
        <w:tc>
          <w:tcPr>
            <w:tcW w:type="dxa" w:w="10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5"/>
                <w:szCs w:val="15"/>
              </w:rPr>
              <w:t xml:space="preserve">96.6</w:t>
            </w:r>
          </w:p>
        </w:tc>
        <w:tc>
          <w:tcPr>
            <w:tcW w:type="dxa" w:w="8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5"/>
                <w:szCs w:val="15"/>
              </w:rPr>
              <w:t xml:space="preserve">0.24</w:t>
            </w:r>
          </w:p>
        </w:tc>
        <w:tc>
          <w:tcPr>
            <w:tcW w:type="dxa" w:w="11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5"/>
                <w:szCs w:val="15"/>
              </w:rPr>
              <w:t xml:space="preserve">Severo</w:t>
            </w:r>
          </w:p>
        </w:tc>
        <w:tc>
          <w:tcPr>
            <w:tcW w:type="dxa" w:w="8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5"/>
                <w:szCs w:val="15"/>
              </w:rPr>
              <w:t xml:space="preserve">A</w:t>
            </w:r>
          </w:p>
        </w:tc>
      </w:tr>
      <w:tr>
        <w:trPr>
          <w:cantSplit/>
        </w:trPr>
        <w:tc>
          <w:tcPr>
            <w:tcW w:type="dxa" w:w="9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5"/>
                <w:szCs w:val="15"/>
              </w:rPr>
              <w:t xml:space="preserve">87</w:t>
            </w:r>
          </w:p>
        </w:tc>
        <w:tc>
          <w:tcPr>
            <w:tcW w:type="dxa" w:w="19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San Juan de Bigote</w:t>
            </w:r>
          </w:p>
        </w:tc>
        <w:tc>
          <w:tcPr>
            <w:tcW w:type="dxa" w:w="11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5"/>
                <w:szCs w:val="15"/>
              </w:rPr>
              <w:t xml:space="preserve">62.22</w:t>
            </w:r>
          </w:p>
        </w:tc>
        <w:tc>
          <w:tcPr>
            <w:tcW w:type="dxa" w:w="9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5"/>
                <w:szCs w:val="15"/>
              </w:rPr>
              <w:t xml:space="preserve">0.249</w:t>
            </w:r>
          </w:p>
        </w:tc>
        <w:tc>
          <w:tcPr>
            <w:tcW w:type="dxa" w:w="11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5"/>
                <w:szCs w:val="15"/>
              </w:rPr>
              <w:t xml:space="preserve">99.7</w:t>
            </w:r>
          </w:p>
        </w:tc>
        <w:tc>
          <w:tcPr>
            <w:tcW w:type="dxa" w:w="10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5"/>
                <w:szCs w:val="15"/>
              </w:rPr>
              <w:t xml:space="preserve">92.6</w:t>
            </w:r>
          </w:p>
        </w:tc>
        <w:tc>
          <w:tcPr>
            <w:tcW w:type="dxa" w:w="8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5"/>
                <w:szCs w:val="15"/>
              </w:rPr>
              <w:t xml:space="preserve">0.26</w:t>
            </w:r>
          </w:p>
        </w:tc>
        <w:tc>
          <w:tcPr>
            <w:tcW w:type="dxa" w:w="11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5"/>
                <w:szCs w:val="15"/>
              </w:rPr>
              <w:t xml:space="preserve">Severo</w:t>
            </w:r>
          </w:p>
        </w:tc>
        <w:tc>
          <w:tcPr>
            <w:tcW w:type="dxa" w:w="8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5"/>
                <w:szCs w:val="15"/>
              </w:rPr>
              <w:t xml:space="preserve">A</w:t>
            </w:r>
          </w:p>
        </w:tc>
      </w:tr>
      <w:tr>
        <w:trPr>
          <w:cantSplit/>
        </w:trPr>
        <w:tc>
          <w:tcPr>
            <w:tcW w:type="dxa" w:w="9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5"/>
                <w:szCs w:val="15"/>
              </w:rPr>
              <w:t xml:space="preserve">86</w:t>
            </w:r>
          </w:p>
        </w:tc>
        <w:tc>
          <w:tcPr>
            <w:tcW w:type="dxa" w:w="19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San Juan de Bigote</w:t>
            </w:r>
          </w:p>
        </w:tc>
        <w:tc>
          <w:tcPr>
            <w:tcW w:type="dxa" w:w="11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5"/>
                <w:szCs w:val="15"/>
              </w:rPr>
              <w:t xml:space="preserve">30.00</w:t>
            </w:r>
          </w:p>
        </w:tc>
        <w:tc>
          <w:tcPr>
            <w:tcW w:type="dxa" w:w="9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5"/>
                <w:szCs w:val="15"/>
              </w:rPr>
              <w:t xml:space="preserve">0.273</w:t>
            </w:r>
          </w:p>
        </w:tc>
        <w:tc>
          <w:tcPr>
            <w:tcW w:type="dxa" w:w="11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5"/>
                <w:szCs w:val="15"/>
              </w:rPr>
              <w:t xml:space="preserve">99.6</w:t>
            </w:r>
          </w:p>
        </w:tc>
        <w:tc>
          <w:tcPr>
            <w:tcW w:type="dxa" w:w="10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5"/>
                <w:szCs w:val="15"/>
              </w:rPr>
              <w:t xml:space="preserve">90.9</w:t>
            </w:r>
          </w:p>
        </w:tc>
        <w:tc>
          <w:tcPr>
            <w:tcW w:type="dxa" w:w="8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5"/>
                <w:szCs w:val="15"/>
              </w:rPr>
              <w:t xml:space="preserve">0.27</w:t>
            </w:r>
          </w:p>
        </w:tc>
        <w:tc>
          <w:tcPr>
            <w:tcW w:type="dxa" w:w="11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5"/>
                <w:szCs w:val="15"/>
              </w:rPr>
              <w:t xml:space="preserve">Severo</w:t>
            </w:r>
          </w:p>
        </w:tc>
        <w:tc>
          <w:tcPr>
            <w:tcW w:type="dxa" w:w="8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5"/>
                <w:szCs w:val="15"/>
              </w:rPr>
              <w:t xml:space="preserve">A</w:t>
            </w:r>
          </w:p>
        </w:tc>
      </w:tr>
      <w:tr>
        <w:trPr>
          <w:cantSplit/>
        </w:trPr>
        <w:tc>
          <w:tcPr>
            <w:tcW w:type="dxa" w:w="9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5"/>
                <w:szCs w:val="15"/>
              </w:rPr>
              <w:t xml:space="preserve">77</w:t>
            </w:r>
          </w:p>
        </w:tc>
        <w:tc>
          <w:tcPr>
            <w:tcW w:type="dxa" w:w="19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San Juan de Bigote</w:t>
            </w:r>
          </w:p>
        </w:tc>
        <w:tc>
          <w:tcPr>
            <w:tcW w:type="dxa" w:w="11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5"/>
                <w:szCs w:val="15"/>
              </w:rPr>
              <w:t xml:space="preserve">17.82</w:t>
            </w:r>
          </w:p>
        </w:tc>
        <w:tc>
          <w:tcPr>
            <w:tcW w:type="dxa" w:w="9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5"/>
                <w:szCs w:val="15"/>
              </w:rPr>
              <w:t xml:space="preserve">0.272</w:t>
            </w:r>
          </w:p>
        </w:tc>
        <w:tc>
          <w:tcPr>
            <w:tcW w:type="dxa" w:w="11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5"/>
                <w:szCs w:val="15"/>
              </w:rPr>
              <w:t xml:space="preserve">99.8</w:t>
            </w:r>
          </w:p>
        </w:tc>
        <w:tc>
          <w:tcPr>
            <w:tcW w:type="dxa" w:w="10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5"/>
                <w:szCs w:val="15"/>
              </w:rPr>
              <w:t xml:space="preserve">75.8</w:t>
            </w:r>
          </w:p>
        </w:tc>
        <w:tc>
          <w:tcPr>
            <w:tcW w:type="dxa" w:w="8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5"/>
                <w:szCs w:val="15"/>
              </w:rPr>
              <w:t xml:space="preserve">0.30</w:t>
            </w:r>
          </w:p>
        </w:tc>
        <w:tc>
          <w:tcPr>
            <w:tcW w:type="dxa" w:w="11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5"/>
                <w:szCs w:val="15"/>
              </w:rPr>
              <w:t xml:space="preserve">Severo</w:t>
            </w:r>
          </w:p>
        </w:tc>
        <w:tc>
          <w:tcPr>
            <w:tcW w:type="dxa" w:w="8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5"/>
                <w:szCs w:val="15"/>
              </w:rPr>
              <w:t xml:space="preserve">A</w:t>
            </w:r>
          </w:p>
        </w:tc>
      </w:tr>
      <w:tr>
        <w:trPr>
          <w:cantSplit/>
        </w:trPr>
        <w:tc>
          <w:tcPr>
            <w:tcW w:type="dxa" w:w="9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5"/>
                <w:szCs w:val="15"/>
              </w:rPr>
              <w:t xml:space="preserve">83</w:t>
            </w:r>
          </w:p>
        </w:tc>
        <w:tc>
          <w:tcPr>
            <w:tcW w:type="dxa" w:w="19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San Juan de Bigote</w:t>
            </w:r>
          </w:p>
        </w:tc>
        <w:tc>
          <w:tcPr>
            <w:tcW w:type="dxa" w:w="11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5"/>
                <w:szCs w:val="15"/>
              </w:rPr>
              <w:t xml:space="preserve">24.34</w:t>
            </w:r>
          </w:p>
        </w:tc>
        <w:tc>
          <w:tcPr>
            <w:tcW w:type="dxa" w:w="9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5"/>
                <w:szCs w:val="15"/>
              </w:rPr>
              <w:t xml:space="preserve">0.305</w:t>
            </w:r>
          </w:p>
        </w:tc>
        <w:tc>
          <w:tcPr>
            <w:tcW w:type="dxa" w:w="11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5"/>
                <w:szCs w:val="15"/>
              </w:rPr>
              <w:t xml:space="preserve">99.4</w:t>
            </w:r>
          </w:p>
        </w:tc>
        <w:tc>
          <w:tcPr>
            <w:tcW w:type="dxa" w:w="10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5"/>
                <w:szCs w:val="15"/>
              </w:rPr>
              <w:t xml:space="preserve">66.3</w:t>
            </w:r>
          </w:p>
        </w:tc>
        <w:tc>
          <w:tcPr>
            <w:tcW w:type="dxa" w:w="8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5"/>
                <w:szCs w:val="15"/>
              </w:rPr>
              <w:t xml:space="preserve">0.40</w:t>
            </w:r>
          </w:p>
        </w:tc>
        <w:tc>
          <w:tcPr>
            <w:tcW w:type="dxa" w:w="11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5"/>
                <w:szCs w:val="15"/>
              </w:rPr>
              <w:t xml:space="preserve">Severo</w:t>
            </w:r>
          </w:p>
        </w:tc>
        <w:tc>
          <w:tcPr>
            <w:tcW w:type="dxa" w:w="8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5"/>
                <w:szCs w:val="15"/>
              </w:rPr>
              <w:t xml:space="preserve">A</w:t>
            </w:r>
          </w:p>
        </w:tc>
      </w:tr>
      <w:tr>
        <w:trPr>
          <w:cantSplit/>
        </w:trPr>
        <w:tc>
          <w:tcPr>
            <w:tcW w:type="dxa" w:w="9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5"/>
                <w:szCs w:val="15"/>
              </w:rPr>
              <w:t xml:space="preserve">81</w:t>
            </w:r>
          </w:p>
        </w:tc>
        <w:tc>
          <w:tcPr>
            <w:tcW w:type="dxa" w:w="19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Canchaque</w:t>
            </w:r>
          </w:p>
        </w:tc>
        <w:tc>
          <w:tcPr>
            <w:tcW w:type="dxa" w:w="11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5"/>
                <w:szCs w:val="15"/>
              </w:rPr>
              <w:t xml:space="preserve">8.93</w:t>
            </w:r>
          </w:p>
        </w:tc>
        <w:tc>
          <w:tcPr>
            <w:tcW w:type="dxa" w:w="9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5"/>
                <w:szCs w:val="15"/>
              </w:rPr>
              <w:t xml:space="preserve">0.275</w:t>
            </w:r>
          </w:p>
        </w:tc>
        <w:tc>
          <w:tcPr>
            <w:tcW w:type="dxa" w:w="11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5"/>
                <w:szCs w:val="15"/>
              </w:rPr>
              <w:t xml:space="preserve">100.0</w:t>
            </w:r>
          </w:p>
        </w:tc>
        <w:tc>
          <w:tcPr>
            <w:tcW w:type="dxa" w:w="10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5"/>
                <w:szCs w:val="15"/>
              </w:rPr>
              <w:t xml:space="preserve">76.4</w:t>
            </w:r>
          </w:p>
        </w:tc>
        <w:tc>
          <w:tcPr>
            <w:tcW w:type="dxa" w:w="8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5"/>
                <w:szCs w:val="15"/>
              </w:rPr>
              <w:t xml:space="preserve">0.41</w:t>
            </w:r>
          </w:p>
        </w:tc>
        <w:tc>
          <w:tcPr>
            <w:tcW w:type="dxa" w:w="11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5"/>
                <w:szCs w:val="15"/>
              </w:rPr>
              <w:t xml:space="preserve">Moderado</w:t>
            </w:r>
          </w:p>
        </w:tc>
        <w:tc>
          <w:tcPr>
            <w:tcW w:type="dxa" w:w="8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5"/>
                <w:szCs w:val="15"/>
              </w:rPr>
              <w:t xml:space="preserve">A</w:t>
            </w:r>
          </w:p>
        </w:tc>
      </w:tr>
      <w:tr>
        <w:trPr>
          <w:cantSplit/>
        </w:trPr>
        <w:tc>
          <w:tcPr>
            <w:tcW w:type="dxa" w:w="9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5"/>
                <w:szCs w:val="15"/>
              </w:rPr>
              <w:t xml:space="preserve">M3B5</w:t>
            </w:r>
          </w:p>
        </w:tc>
        <w:tc>
          <w:tcPr>
            <w:tcW w:type="dxa" w:w="19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San Juan de Bigote</w:t>
            </w:r>
          </w:p>
        </w:tc>
        <w:tc>
          <w:tcPr>
            <w:tcW w:type="dxa" w:w="11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5"/>
                <w:szCs w:val="15"/>
              </w:rPr>
              <w:t xml:space="preserve">52.74</w:t>
            </w:r>
          </w:p>
        </w:tc>
        <w:tc>
          <w:tcPr>
            <w:tcW w:type="dxa" w:w="9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5"/>
                <w:szCs w:val="15"/>
              </w:rPr>
              <w:t xml:space="preserve">0.283</w:t>
            </w:r>
          </w:p>
        </w:tc>
        <w:tc>
          <w:tcPr>
            <w:tcW w:type="dxa" w:w="11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5"/>
                <w:szCs w:val="15"/>
              </w:rPr>
              <w:t xml:space="preserve">99.9</w:t>
            </w:r>
          </w:p>
        </w:tc>
        <w:tc>
          <w:tcPr>
            <w:tcW w:type="dxa" w:w="10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5"/>
                <w:szCs w:val="15"/>
              </w:rPr>
              <w:t xml:space="preserve">48.1</w:t>
            </w:r>
          </w:p>
        </w:tc>
        <w:tc>
          <w:tcPr>
            <w:tcW w:type="dxa" w:w="8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5"/>
                <w:szCs w:val="15"/>
              </w:rPr>
              <w:t xml:space="preserve">0.43</w:t>
            </w:r>
          </w:p>
        </w:tc>
        <w:tc>
          <w:tcPr>
            <w:tcW w:type="dxa" w:w="11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5"/>
                <w:szCs w:val="15"/>
              </w:rPr>
              <w:t xml:space="preserve">Moderado</w:t>
            </w:r>
          </w:p>
        </w:tc>
        <w:tc>
          <w:tcPr>
            <w:tcW w:type="dxa" w:w="8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5"/>
                <w:szCs w:val="15"/>
              </w:rPr>
              <w:t xml:space="preserve">A</w:t>
            </w:r>
          </w:p>
        </w:tc>
      </w:tr>
      <w:tr>
        <w:trPr>
          <w:cantSplit/>
        </w:trPr>
        <w:tc>
          <w:tcPr>
            <w:tcW w:type="dxa" w:w="9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5"/>
                <w:szCs w:val="15"/>
              </w:rPr>
              <w:t xml:space="preserve">M2B5</w:t>
            </w:r>
          </w:p>
        </w:tc>
        <w:tc>
          <w:tcPr>
            <w:tcW w:type="dxa" w:w="19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Salitral</w:t>
            </w:r>
          </w:p>
        </w:tc>
        <w:tc>
          <w:tcPr>
            <w:tcW w:type="dxa" w:w="11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5"/>
                <w:szCs w:val="15"/>
              </w:rPr>
              <w:t xml:space="preserve">30.91</w:t>
            </w:r>
          </w:p>
        </w:tc>
        <w:tc>
          <w:tcPr>
            <w:tcW w:type="dxa" w:w="9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5"/>
                <w:szCs w:val="15"/>
              </w:rPr>
              <w:t xml:space="preserve">0.305</w:t>
            </w:r>
          </w:p>
        </w:tc>
        <w:tc>
          <w:tcPr>
            <w:tcW w:type="dxa" w:w="11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5"/>
                <w:szCs w:val="15"/>
              </w:rPr>
              <w:t xml:space="preserve">99.0</w:t>
            </w:r>
          </w:p>
        </w:tc>
        <w:tc>
          <w:tcPr>
            <w:tcW w:type="dxa" w:w="10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5"/>
                <w:szCs w:val="15"/>
              </w:rPr>
              <w:t xml:space="preserve">56.5</w:t>
            </w:r>
          </w:p>
        </w:tc>
        <w:tc>
          <w:tcPr>
            <w:tcW w:type="dxa" w:w="8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5"/>
                <w:szCs w:val="15"/>
              </w:rPr>
              <w:t xml:space="preserve">0.47</w:t>
            </w:r>
          </w:p>
        </w:tc>
        <w:tc>
          <w:tcPr>
            <w:tcW w:type="dxa" w:w="11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5"/>
                <w:szCs w:val="15"/>
              </w:rPr>
              <w:t xml:space="preserve">Moderado</w:t>
            </w:r>
          </w:p>
        </w:tc>
        <w:tc>
          <w:tcPr>
            <w:tcW w:type="dxa" w:w="8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5"/>
                <w:szCs w:val="15"/>
              </w:rPr>
              <w:t xml:space="preserve">A</w:t>
            </w:r>
          </w:p>
        </w:tc>
      </w:tr>
      <w:tr>
        <w:trPr>
          <w:cantSplit/>
        </w:trPr>
        <w:tc>
          <w:tcPr>
            <w:tcW w:type="dxa" w:w="9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5"/>
                <w:szCs w:val="15"/>
              </w:rPr>
              <w:t xml:space="preserve">M4B4</w:t>
            </w:r>
          </w:p>
        </w:tc>
        <w:tc>
          <w:tcPr>
            <w:tcW w:type="dxa" w:w="19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Huarmaca</w:t>
            </w:r>
          </w:p>
        </w:tc>
        <w:tc>
          <w:tcPr>
            <w:tcW w:type="dxa" w:w="11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5"/>
                <w:szCs w:val="15"/>
              </w:rPr>
              <w:t xml:space="preserve">289.91</w:t>
            </w:r>
          </w:p>
        </w:tc>
        <w:tc>
          <w:tcPr>
            <w:tcW w:type="dxa" w:w="9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5"/>
                <w:szCs w:val="15"/>
              </w:rPr>
              <w:t xml:space="preserve">0.320</w:t>
            </w:r>
          </w:p>
        </w:tc>
        <w:tc>
          <w:tcPr>
            <w:tcW w:type="dxa" w:w="11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5"/>
                <w:szCs w:val="15"/>
              </w:rPr>
              <w:t xml:space="preserve">99.2</w:t>
            </w:r>
          </w:p>
        </w:tc>
        <w:tc>
          <w:tcPr>
            <w:tcW w:type="dxa" w:w="10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5"/>
                <w:szCs w:val="15"/>
              </w:rPr>
              <w:t xml:space="preserve">56.5</w:t>
            </w:r>
          </w:p>
        </w:tc>
        <w:tc>
          <w:tcPr>
            <w:tcW w:type="dxa" w:w="8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5"/>
                <w:szCs w:val="15"/>
              </w:rPr>
              <w:t xml:space="preserve">0.50</w:t>
            </w:r>
          </w:p>
        </w:tc>
        <w:tc>
          <w:tcPr>
            <w:tcW w:type="dxa" w:w="11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5"/>
                <w:szCs w:val="15"/>
              </w:rPr>
              <w:t xml:space="preserve">Moderado</w:t>
            </w:r>
          </w:p>
        </w:tc>
        <w:tc>
          <w:tcPr>
            <w:tcW w:type="dxa" w:w="8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5"/>
                <w:szCs w:val="15"/>
              </w:rPr>
              <w:t xml:space="preserve">A</w:t>
            </w:r>
          </w:p>
        </w:tc>
      </w:tr>
      <w:tr>
        <w:trPr>
          <w:cantSplit/>
        </w:trPr>
        <w:tc>
          <w:tcPr>
            <w:tcW w:type="dxa" w:w="9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5"/>
                <w:szCs w:val="15"/>
              </w:rPr>
              <w:t xml:space="preserve">M17B1</w:t>
            </w:r>
          </w:p>
        </w:tc>
        <w:tc>
          <w:tcPr>
            <w:tcW w:type="dxa" w:w="19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Chulucanas</w:t>
            </w:r>
          </w:p>
        </w:tc>
        <w:tc>
          <w:tcPr>
            <w:tcW w:type="dxa" w:w="11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5"/>
                <w:szCs w:val="15"/>
              </w:rPr>
              <w:t xml:space="preserve">42.45</w:t>
            </w:r>
          </w:p>
        </w:tc>
        <w:tc>
          <w:tcPr>
            <w:tcW w:type="dxa" w:w="9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5"/>
                <w:szCs w:val="15"/>
              </w:rPr>
              <w:t xml:space="preserve">0.332</w:t>
            </w:r>
          </w:p>
        </w:tc>
        <w:tc>
          <w:tcPr>
            <w:tcW w:type="dxa" w:w="11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5"/>
                <w:szCs w:val="15"/>
              </w:rPr>
              <w:t xml:space="preserve">99.8</w:t>
            </w:r>
          </w:p>
        </w:tc>
        <w:tc>
          <w:tcPr>
            <w:tcW w:type="dxa" w:w="10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5"/>
                <w:szCs w:val="15"/>
              </w:rPr>
              <w:t xml:space="preserve">17.5</w:t>
            </w:r>
          </w:p>
        </w:tc>
        <w:tc>
          <w:tcPr>
            <w:tcW w:type="dxa" w:w="8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5"/>
                <w:szCs w:val="15"/>
              </w:rPr>
              <w:t xml:space="preserve">0.50</w:t>
            </w:r>
          </w:p>
        </w:tc>
        <w:tc>
          <w:tcPr>
            <w:tcW w:type="dxa" w:w="11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5"/>
                <w:szCs w:val="15"/>
              </w:rPr>
              <w:t xml:space="preserve">Moderado</w:t>
            </w:r>
          </w:p>
        </w:tc>
        <w:tc>
          <w:tcPr>
            <w:tcW w:type="dxa" w:w="8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5"/>
                <w:szCs w:val="15"/>
              </w:rPr>
              <w:t xml:space="preserve">A</w:t>
            </w:r>
          </w:p>
        </w:tc>
      </w:tr>
      <w:tr>
        <w:trPr>
          <w:cantSplit/>
        </w:trPr>
        <w:tc>
          <w:tcPr>
            <w:tcW w:type="dxa" w:w="9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5"/>
                <w:szCs w:val="15"/>
              </w:rPr>
              <w:t xml:space="preserve">31</w:t>
            </w:r>
          </w:p>
        </w:tc>
        <w:tc>
          <w:tcPr>
            <w:tcW w:type="dxa" w:w="19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Huarmaca</w:t>
            </w:r>
          </w:p>
        </w:tc>
        <w:tc>
          <w:tcPr>
            <w:tcW w:type="dxa" w:w="11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5"/>
                <w:szCs w:val="15"/>
              </w:rPr>
              <w:t xml:space="preserve">47.58</w:t>
            </w:r>
          </w:p>
        </w:tc>
        <w:tc>
          <w:tcPr>
            <w:tcW w:type="dxa" w:w="9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5"/>
                <w:szCs w:val="15"/>
              </w:rPr>
              <w:t xml:space="preserve">0.436</w:t>
            </w:r>
          </w:p>
        </w:tc>
        <w:tc>
          <w:tcPr>
            <w:tcW w:type="dxa" w:w="11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5"/>
                <w:szCs w:val="15"/>
              </w:rPr>
              <w:t xml:space="preserve">78.4</w:t>
            </w:r>
          </w:p>
        </w:tc>
        <w:tc>
          <w:tcPr>
            <w:tcW w:type="dxa" w:w="10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5"/>
                <w:szCs w:val="15"/>
              </w:rPr>
              <w:t xml:space="preserve">34.5</w:t>
            </w:r>
          </w:p>
        </w:tc>
        <w:tc>
          <w:tcPr>
            <w:tcW w:type="dxa" w:w="8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5"/>
                <w:szCs w:val="15"/>
              </w:rPr>
              <w:t xml:space="preserve">0.52</w:t>
            </w:r>
          </w:p>
        </w:tc>
        <w:tc>
          <w:tcPr>
            <w:tcW w:type="dxa" w:w="11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5"/>
                <w:szCs w:val="15"/>
              </w:rPr>
              <w:t xml:space="preserve">Moderado</w:t>
            </w:r>
          </w:p>
        </w:tc>
        <w:tc>
          <w:tcPr>
            <w:tcW w:type="dxa" w:w="8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5"/>
                <w:szCs w:val="15"/>
              </w:rPr>
              <w:t xml:space="preserve">C</w:t>
            </w:r>
          </w:p>
        </w:tc>
      </w:tr>
      <w:tr>
        <w:trPr>
          <w:cantSplit/>
        </w:trPr>
        <w:tc>
          <w:tcPr>
            <w:tcW w:type="dxa" w:w="9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5"/>
                <w:szCs w:val="15"/>
              </w:rPr>
              <w:t xml:space="preserve">M4B3</w:t>
            </w:r>
          </w:p>
        </w:tc>
        <w:tc>
          <w:tcPr>
            <w:tcW w:type="dxa" w:w="19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Huarmaca</w:t>
            </w:r>
          </w:p>
        </w:tc>
        <w:tc>
          <w:tcPr>
            <w:tcW w:type="dxa" w:w="11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5"/>
                <w:szCs w:val="15"/>
              </w:rPr>
              <w:t xml:space="preserve">234.07</w:t>
            </w:r>
          </w:p>
        </w:tc>
        <w:tc>
          <w:tcPr>
            <w:tcW w:type="dxa" w:w="9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5"/>
                <w:szCs w:val="15"/>
              </w:rPr>
              <w:t xml:space="preserve">0.322</w:t>
            </w:r>
          </w:p>
        </w:tc>
        <w:tc>
          <w:tcPr>
            <w:tcW w:type="dxa" w:w="11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5"/>
                <w:szCs w:val="15"/>
              </w:rPr>
              <w:t xml:space="preserve">98.6</w:t>
            </w:r>
          </w:p>
        </w:tc>
        <w:tc>
          <w:tcPr>
            <w:tcW w:type="dxa" w:w="10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5"/>
                <w:szCs w:val="15"/>
              </w:rPr>
              <w:t xml:space="preserve">46.4</w:t>
            </w:r>
          </w:p>
        </w:tc>
        <w:tc>
          <w:tcPr>
            <w:tcW w:type="dxa" w:w="8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5"/>
                <w:szCs w:val="15"/>
              </w:rPr>
              <w:t xml:space="preserve">0.52</w:t>
            </w:r>
          </w:p>
        </w:tc>
        <w:tc>
          <w:tcPr>
            <w:tcW w:type="dxa" w:w="11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5"/>
                <w:szCs w:val="15"/>
              </w:rPr>
              <w:t xml:space="preserve">Moderado</w:t>
            </w:r>
          </w:p>
        </w:tc>
        <w:tc>
          <w:tcPr>
            <w:tcW w:type="dxa" w:w="8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5"/>
                <w:szCs w:val="15"/>
              </w:rPr>
              <w:t xml:space="preserve">A</w:t>
            </w:r>
          </w:p>
        </w:tc>
      </w:tr>
      <w:tr>
        <w:trPr>
          <w:cantSplit/>
        </w:trPr>
        <w:tc>
          <w:tcPr>
            <w:tcW w:type="dxa" w:w="9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5"/>
                <w:szCs w:val="15"/>
              </w:rPr>
              <w:t xml:space="preserve">M7B3</w:t>
            </w:r>
          </w:p>
        </w:tc>
        <w:tc>
          <w:tcPr>
            <w:tcW w:type="dxa" w:w="19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Salitral</w:t>
            </w:r>
          </w:p>
        </w:tc>
        <w:tc>
          <w:tcPr>
            <w:tcW w:type="dxa" w:w="11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5"/>
                <w:szCs w:val="15"/>
              </w:rPr>
              <w:t xml:space="preserve">65.75</w:t>
            </w:r>
          </w:p>
        </w:tc>
        <w:tc>
          <w:tcPr>
            <w:tcW w:type="dxa" w:w="9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5"/>
                <w:szCs w:val="15"/>
              </w:rPr>
              <w:t xml:space="preserve">0.298</w:t>
            </w:r>
          </w:p>
        </w:tc>
        <w:tc>
          <w:tcPr>
            <w:tcW w:type="dxa" w:w="11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5"/>
                <w:szCs w:val="15"/>
              </w:rPr>
              <w:t xml:space="preserve">99.8</w:t>
            </w:r>
          </w:p>
        </w:tc>
        <w:tc>
          <w:tcPr>
            <w:tcW w:type="dxa" w:w="10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5"/>
                <w:szCs w:val="15"/>
              </w:rPr>
              <w:t xml:space="preserve">27.5</w:t>
            </w:r>
          </w:p>
        </w:tc>
        <w:tc>
          <w:tcPr>
            <w:tcW w:type="dxa" w:w="8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5"/>
                <w:szCs w:val="15"/>
              </w:rPr>
              <w:t xml:space="preserve">0.53</w:t>
            </w:r>
          </w:p>
        </w:tc>
        <w:tc>
          <w:tcPr>
            <w:tcW w:type="dxa" w:w="11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5"/>
                <w:szCs w:val="15"/>
              </w:rPr>
              <w:t xml:space="preserve">Moderado</w:t>
            </w:r>
          </w:p>
        </w:tc>
        <w:tc>
          <w:tcPr>
            <w:tcW w:type="dxa" w:w="8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5"/>
                <w:szCs w:val="15"/>
              </w:rPr>
              <w:t xml:space="preserve">A</w:t>
            </w:r>
          </w:p>
        </w:tc>
      </w:tr>
      <w:tr>
        <w:trPr>
          <w:cantSplit/>
        </w:trPr>
        <w:tc>
          <w:tcPr>
            <w:tcW w:type="dxa" w:w="9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5"/>
                <w:szCs w:val="15"/>
              </w:rPr>
              <w:t xml:space="preserve">M27B1</w:t>
            </w:r>
          </w:p>
        </w:tc>
        <w:tc>
          <w:tcPr>
            <w:tcW w:type="dxa" w:w="19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Chulucanas</w:t>
            </w:r>
          </w:p>
        </w:tc>
        <w:tc>
          <w:tcPr>
            <w:tcW w:type="dxa" w:w="11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5"/>
                <w:szCs w:val="15"/>
              </w:rPr>
              <w:t xml:space="preserve">448.80</w:t>
            </w:r>
          </w:p>
        </w:tc>
        <w:tc>
          <w:tcPr>
            <w:tcW w:type="dxa" w:w="9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5"/>
                <w:szCs w:val="15"/>
              </w:rPr>
              <w:t xml:space="preserve">0.363</w:t>
            </w:r>
          </w:p>
        </w:tc>
        <w:tc>
          <w:tcPr>
            <w:tcW w:type="dxa" w:w="11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5"/>
                <w:szCs w:val="15"/>
              </w:rPr>
              <w:t xml:space="preserve">96.9</w:t>
            </w:r>
          </w:p>
        </w:tc>
        <w:tc>
          <w:tcPr>
            <w:tcW w:type="dxa" w:w="10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5"/>
                <w:szCs w:val="15"/>
              </w:rPr>
              <w:t xml:space="preserve">22.4</w:t>
            </w:r>
          </w:p>
        </w:tc>
        <w:tc>
          <w:tcPr>
            <w:tcW w:type="dxa" w:w="8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right"/>
            </w:pPr>
            <w:r>
              <w:rPr>
                <w:rFonts w:ascii="Arial" w:cs="Arial" w:eastAsia="Arial" w:hAnsi="Arial"/>
                <w:b w:val="false"/>
                <w:bCs w:val="false"/>
                <w:i w:val="false"/>
                <w:iCs w:val="false"/>
                <w:sz w:val="15"/>
                <w:szCs w:val="15"/>
              </w:rPr>
              <w:t xml:space="preserve">0.57</w:t>
            </w:r>
          </w:p>
        </w:tc>
        <w:tc>
          <w:tcPr>
            <w:tcW w:type="dxa" w:w="11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5"/>
                <w:szCs w:val="15"/>
              </w:rPr>
              <w:t xml:space="preserve">Moderado</w:t>
            </w:r>
          </w:p>
        </w:tc>
        <w:tc>
          <w:tcPr>
            <w:tcW w:type="dxa" w:w="8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5"/>
                <w:szCs w:val="15"/>
              </w:rPr>
              <w:t xml:space="preserve">A</w:t>
            </w:r>
          </w:p>
        </w:tc>
      </w:tr>
    </w:tbl>
    <w:p>
      <w:pPr>
        <w:spacing w:after="200" w:before="50"/>
        <w:jc w:val="both"/>
      </w:pPr>
      <w:r>
        <w:rPr>
          <w:rFonts w:ascii="Arial" w:cs="Arial" w:eastAsia="Arial" w:hAnsi="Arial"/>
          <w:i/>
          <w:iCs/>
          <w:color w:val="595959"/>
          <w:sz w:val="15"/>
          <w:szCs w:val="15"/>
        </w:rPr>
        <w:t xml:space="preserve">Fuente: Informe E6, Tabla 14. Tipología MSAVI–NDVI: A degradación convergente; C núcleos degradados.</w:t>
      </w:r>
    </w:p>
    <w:p>
      <w:pPr>
        <w:spacing w:after="120" w:line="276"/>
        <w:jc w:val="both"/>
      </w:pPr>
      <w:r>
        <w:rPr>
          <w:rFonts w:ascii="Arial" w:cs="Arial" w:eastAsia="Arial" w:hAnsi="Arial"/>
          <w:sz w:val="21"/>
          <w:szCs w:val="21"/>
        </w:rPr>
        <w:t xml:space="preserve">La revisión confirma que el E6 aporta por primera vez una medida de condición por bloque y una delimitación interna cuantificada (restauración activa 5,566.89 ha; enriquecimiento 5,032.34 ha; conservación 1,207.99 ha; tamizaje agrícola 463.01 ha en los 117 bloques), y que la regla «MSAVI para jerarquizar, NDVI para delimitar» se valida en el ámbito: los 16 bloques de Morropón que el NDVI 2025 mostraba enmascarados por verdor pasan a degradación convergente al final de la época seca. Las observaciones de consistencia y de alcance se registran en el numeral 3-A.5.</w:t>
      </w:r>
    </w:p>
    <w:p>
      <w:pPr>
        <w:pStyle w:val="Heading2"/>
        <w:keepNext/>
      </w:pPr>
      <w:r>
        <w:t xml:space="preserve">3-A.5 Matriz de observaciones del Diagnóstico del Estado de los Ecosistemas</w:t>
      </w:r>
    </w:p>
    <w:p>
      <w:pPr>
        <w:keepNext/>
        <w:keepLines/>
        <w:spacing w:after="80" w:before="160"/>
      </w:pPr>
      <w:r>
        <w:rPr>
          <w:rFonts w:ascii="Arial" w:cs="Arial" w:eastAsia="Arial" w:hAnsi="Arial"/>
          <w:b/>
          <w:bCs/>
          <w:sz w:val="19"/>
          <w:szCs w:val="19"/>
        </w:rPr>
        <w:t xml:space="preserve">Cuadro N° A3.12. Observaciones formuladas al Diagnóstico del Estado de los Ecosistemas (E6) y a sus insumos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0"/>
        <w:gridCol w:w="1550"/>
        <w:gridCol w:w="2900"/>
        <w:gridCol w:w="2338"/>
        <w:gridCol w:w="2100"/>
      </w:tblGrid>
      <w:tr>
        <w:trPr>
          <w:cantSplit/>
          <w:tblHeader/>
        </w:trPr>
        <w:tc>
          <w:tcPr>
            <w:tcW w:type="dxa" w:w="750"/>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5"/>
                <w:szCs w:val="15"/>
              </w:rPr>
              <w:t xml:space="preserve">CÓD.</w:t>
            </w:r>
          </w:p>
        </w:tc>
        <w:tc>
          <w:tcPr>
            <w:tcW w:type="dxa" w:w="1550"/>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5"/>
                <w:szCs w:val="15"/>
              </w:rPr>
              <w:t xml:space="preserve">DOCUMENTO / SECCIÓN</w:t>
            </w:r>
          </w:p>
        </w:tc>
        <w:tc>
          <w:tcPr>
            <w:tcW w:type="dxa" w:w="2900"/>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5"/>
                <w:szCs w:val="15"/>
              </w:rPr>
              <w:t xml:space="preserve">OBSERVACIÓN</w:t>
            </w:r>
          </w:p>
        </w:tc>
        <w:tc>
          <w:tcPr>
            <w:tcW w:type="dxa" w:w="2338"/>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5"/>
                <w:szCs w:val="15"/>
              </w:rPr>
              <w:t xml:space="preserve">LEVANTAMIENTO REQUERIDO</w:t>
            </w:r>
          </w:p>
        </w:tc>
        <w:tc>
          <w:tcPr>
            <w:tcW w:type="dxa" w:w="2100"/>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5"/>
                <w:szCs w:val="15"/>
              </w:rPr>
              <w:t xml:space="preserve">ESTADO AL CORTE</w:t>
            </w:r>
          </w:p>
        </w:tc>
      </w:tr>
      <w:tr>
        <w:trPr>
          <w:cantSplit/>
        </w:trPr>
        <w:tc>
          <w:tcPr>
            <w:tcW w:type="dxa" w:w="75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5"/>
                <w:szCs w:val="15"/>
              </w:rPr>
              <w:t xml:space="preserve">OE-01</w:t>
            </w:r>
          </w:p>
        </w:tc>
        <w:tc>
          <w:tcPr>
            <w:tcW w:type="dxa" w:w="155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Insumos OS 1148 / 2797</w:t>
            </w:r>
          </w:p>
        </w:tc>
        <w:tc>
          <w:tcPr>
            <w:tcW w:type="dxa" w:w="29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Listas florísticas con errores taxonómicos y sin depurar.</w:t>
            </w:r>
          </w:p>
        </w:tc>
        <w:tc>
          <w:tcPr>
            <w:tcW w:type="dxa" w:w="23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Depurar contra F-DT, F-DS y chequeos de suelos.</w:t>
            </w:r>
          </w:p>
        </w:tc>
        <w:tc>
          <w:tcPr>
            <w:tcW w:type="dxa" w:w="21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Atendida parcialmente: matriz de 69 especies; 48 taxones confirmados en campo 2026</w:t>
            </w:r>
          </w:p>
        </w:tc>
      </w:tr>
      <w:tr>
        <w:trPr>
          <w:cantSplit/>
        </w:trPr>
        <w:tc>
          <w:tcPr>
            <w:tcW w:type="dxa" w:w="75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5"/>
                <w:szCs w:val="15"/>
              </w:rPr>
              <w:t xml:space="preserve">OE-02</w:t>
            </w:r>
          </w:p>
        </w:tc>
        <w:tc>
          <w:tcPr>
            <w:tcW w:type="dxa" w:w="155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Insumo OS 2726</w:t>
            </w:r>
          </w:p>
        </w:tc>
        <w:tc>
          <w:tcPr>
            <w:tcW w:type="dxa" w:w="29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Presiones evaluadas solo en 58 bloques.</w:t>
            </w:r>
          </w:p>
        </w:tc>
        <w:tc>
          <w:tcPr>
            <w:tcW w:type="dxa" w:w="23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Extender el atributo de amenazas a los 117 bloques.</w:t>
            </w:r>
          </w:p>
        </w:tc>
        <w:tc>
          <w:tcPr>
            <w:tcW w:type="dxa" w:w="21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Atendida: IC con F-DT-04 de los 117 bloques</w:t>
            </w:r>
          </w:p>
        </w:tc>
      </w:tr>
      <w:tr>
        <w:trPr>
          <w:cantSplit/>
        </w:trPr>
        <w:tc>
          <w:tcPr>
            <w:tcW w:type="dxa" w:w="75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5"/>
                <w:szCs w:val="15"/>
              </w:rPr>
              <w:t xml:space="preserve">OE-03</w:t>
            </w:r>
          </w:p>
        </w:tc>
        <w:tc>
          <w:tcPr>
            <w:tcW w:type="dxa" w:w="155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Plan v2.0, 10.1; Plan Detallado</w:t>
            </w:r>
          </w:p>
        </w:tc>
        <w:tc>
          <w:tcPr>
            <w:tcW w:type="dxa" w:w="29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El plan v2.0 cierra el E6 el 18/12/2026 y cita registro del Perfil en enero de 2027 (10.1) y en marzo de 2027 (sustento); el Plan Detallado fija la redacción final al 18/11/2026.</w:t>
            </w:r>
          </w:p>
        </w:tc>
        <w:tc>
          <w:tcPr>
            <w:tcW w:type="dxa" w:w="23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Homologar fechas y horizonte en ambos documentos.</w:t>
            </w:r>
          </w:p>
        </w:tc>
        <w:tc>
          <w:tcPr>
            <w:tcW w:type="dxa" w:w="21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Pendiente</w:t>
            </w:r>
          </w:p>
        </w:tc>
      </w:tr>
      <w:tr>
        <w:trPr>
          <w:cantSplit/>
        </w:trPr>
        <w:tc>
          <w:tcPr>
            <w:tcW w:type="dxa" w:w="75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5"/>
                <w:szCs w:val="15"/>
              </w:rPr>
              <w:t xml:space="preserve">OE-04</w:t>
            </w:r>
          </w:p>
        </w:tc>
        <w:tc>
          <w:tcPr>
            <w:tcW w:type="dxa" w:w="155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Nota Técnica 002-2026, numeral 1</w:t>
            </w:r>
          </w:p>
        </w:tc>
        <w:tc>
          <w:tcPr>
            <w:tcW w:type="dxa" w:w="29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La versión revisada cita el «catálogo V7»; el catálogo vigente es V6.</w:t>
            </w:r>
          </w:p>
        </w:tc>
        <w:tc>
          <w:tcPr>
            <w:tcW w:type="dxa" w:w="23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Corregir la referencia al catálogo V6.</w:t>
            </w:r>
          </w:p>
        </w:tc>
        <w:tc>
          <w:tcPr>
            <w:tcW w:type="dxa" w:w="21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Pendiente</w:t>
            </w:r>
          </w:p>
        </w:tc>
      </w:tr>
      <w:tr>
        <w:trPr>
          <w:cantSplit/>
        </w:trPr>
        <w:tc>
          <w:tcPr>
            <w:tcW w:type="dxa" w:w="75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5"/>
                <w:szCs w:val="15"/>
              </w:rPr>
              <w:t xml:space="preserve">OE-05</w:t>
            </w:r>
          </w:p>
        </w:tc>
        <w:tc>
          <w:tcPr>
            <w:tcW w:type="dxa" w:w="155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Nota Técnica 002-2026, Cuadro 2</w:t>
            </w:r>
          </w:p>
        </w:tc>
        <w:tc>
          <w:tcPr>
            <w:tcW w:type="dxa" w:w="29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La cobertura 7 no registra superficie ni denominación.</w:t>
            </w:r>
          </w:p>
        </w:tc>
        <w:tc>
          <w:tcPr>
            <w:tcW w:type="dxa" w:w="23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Confirmar si se fusionó con otra clase y declararlo.</w:t>
            </w:r>
          </w:p>
        </w:tc>
        <w:tc>
          <w:tcPr>
            <w:tcW w:type="dxa" w:w="21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Pendiente</w:t>
            </w:r>
          </w:p>
        </w:tc>
      </w:tr>
      <w:tr>
        <w:trPr>
          <w:cantSplit/>
        </w:trPr>
        <w:tc>
          <w:tcPr>
            <w:tcW w:type="dxa" w:w="75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5"/>
                <w:szCs w:val="15"/>
              </w:rPr>
              <w:t xml:space="preserve">OE-06</w:t>
            </w:r>
          </w:p>
        </w:tc>
        <w:tc>
          <w:tcPr>
            <w:tcW w:type="dxa" w:w="155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Informe E6, 9.6, 10.8 y 11</w:t>
            </w:r>
          </w:p>
        </w:tc>
        <w:tc>
          <w:tcPr>
            <w:tcW w:type="dxa" w:w="29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Validación ciega de 567 puntos y matriz de confusión no ejecutadas; el plan v2.0 comprometió exactitud global ≥ 85 %.</w:t>
            </w:r>
          </w:p>
        </w:tc>
        <w:tc>
          <w:tcPr>
            <w:tcW w:type="dxa" w:w="23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Ejecutar la validación o declararla formalmente como vacío aceptado por SESDI.</w:t>
            </w:r>
          </w:p>
        </w:tc>
        <w:tc>
          <w:tcPr>
            <w:tcW w:type="dxa" w:w="21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Pendiente</w:t>
            </w:r>
          </w:p>
        </w:tc>
      </w:tr>
      <w:tr>
        <w:trPr>
          <w:cantSplit/>
        </w:trPr>
        <w:tc>
          <w:tcPr>
            <w:tcW w:type="dxa" w:w="75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5"/>
                <w:szCs w:val="15"/>
              </w:rPr>
              <w:t xml:space="preserve">OE-07</w:t>
            </w:r>
          </w:p>
        </w:tc>
        <w:tc>
          <w:tcPr>
            <w:tcW w:type="dxa" w:w="155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Informe E6, Tabla 11</w:t>
            </w:r>
          </w:p>
        </w:tc>
        <w:tc>
          <w:tcPr>
            <w:tcW w:type="dxa" w:w="29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El estrato de matorral andino bajo umbral tiene 10 de 20 parcelas requeridas (error 21.1 %).</w:t>
            </w:r>
          </w:p>
        </w:tc>
        <w:tc>
          <w:tcPr>
            <w:tcW w:type="dxa" w:w="23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Densificar el estrato hasta cumplir el error de 15 %.</w:t>
            </w:r>
          </w:p>
        </w:tc>
        <w:tc>
          <w:tcPr>
            <w:tcW w:type="dxa" w:w="21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Pendiente</w:t>
            </w:r>
          </w:p>
        </w:tc>
      </w:tr>
      <w:tr>
        <w:trPr>
          <w:cantSplit/>
        </w:trPr>
        <w:tc>
          <w:tcPr>
            <w:tcW w:type="dxa" w:w="75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5"/>
                <w:szCs w:val="15"/>
              </w:rPr>
              <w:t xml:space="preserve">OE-08</w:t>
            </w:r>
          </w:p>
        </w:tc>
        <w:tc>
          <w:tcPr>
            <w:tcW w:type="dxa" w:w="155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Informe E6, 10.6</w:t>
            </w:r>
          </w:p>
        </w:tc>
        <w:tc>
          <w:tcPr>
            <w:tcW w:type="dxa" w:w="29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La referencia del piso A está intervenida (16.7 % de suelo desnudo) y la de los pisos C–D tiene 16 parcelas con confianza baja.</w:t>
            </w:r>
          </w:p>
        </w:tc>
        <w:tc>
          <w:tcPr>
            <w:tcW w:type="dxa" w:w="23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Incorporar el ACR Bosques Secos de Salitral–Huarmaca y densificar referencias de altura.</w:t>
            </w:r>
          </w:p>
        </w:tc>
        <w:tc>
          <w:tcPr>
            <w:tcW w:type="dxa" w:w="21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Pendiente</w:t>
            </w:r>
          </w:p>
        </w:tc>
      </w:tr>
      <w:tr>
        <w:trPr>
          <w:cantSplit/>
        </w:trPr>
        <w:tc>
          <w:tcPr>
            <w:tcW w:type="dxa" w:w="75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5"/>
                <w:szCs w:val="15"/>
              </w:rPr>
              <w:t xml:space="preserve">OE-09</w:t>
            </w:r>
          </w:p>
        </w:tc>
        <w:tc>
          <w:tcPr>
            <w:tcW w:type="dxa" w:w="155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Informe E6, 10.9; Plan Detallado</w:t>
            </w:r>
          </w:p>
        </w:tc>
        <w:tc>
          <w:tcPr>
            <w:tcW w:type="dxa" w:w="29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Coexisten tres criterios de brecha: areal del E6 (8,341.82 ha), media del bloque de los volúmenes DT y media por ecosistema propuesta en el Plan Detallado.</w:t>
            </w:r>
          </w:p>
        </w:tc>
        <w:tc>
          <w:tcPr>
            <w:tcW w:type="dxa" w:w="23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Adoptar por decisión de SESDI un criterio único para los 117 bloques.</w:t>
            </w:r>
          </w:p>
        </w:tc>
        <w:tc>
          <w:tcPr>
            <w:tcW w:type="dxa" w:w="21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Pendiente</w:t>
            </w:r>
          </w:p>
        </w:tc>
      </w:tr>
      <w:tr>
        <w:trPr>
          <w:cantSplit/>
        </w:trPr>
        <w:tc>
          <w:tcPr>
            <w:tcW w:type="dxa" w:w="75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5"/>
                <w:szCs w:val="15"/>
              </w:rPr>
              <w:t xml:space="preserve">OE-10</w:t>
            </w:r>
          </w:p>
        </w:tc>
        <w:tc>
          <w:tcPr>
            <w:tcW w:type="dxa" w:w="155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Informe E6, 10.3 y Nota Técnica</w:t>
            </w:r>
          </w:p>
        </w:tc>
        <w:tc>
          <w:tcPr>
            <w:tcW w:type="dxa" w:w="29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Las coberturas 4 y 5 de fin de época seca incluyen bosque caducifolio sano sin hojas.</w:t>
            </w:r>
          </w:p>
        </w:tc>
        <w:tc>
          <w:tcPr>
            <w:tcW w:type="dxa" w:w="23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Adquirir compuesto S2DR4 de época de lluvias (feb–abr 2027) y contrastar con referencias.</w:t>
            </w:r>
          </w:p>
        </w:tc>
        <w:tc>
          <w:tcPr>
            <w:tcW w:type="dxa" w:w="21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Pendiente (estudio definitivo)</w:t>
            </w:r>
          </w:p>
        </w:tc>
      </w:tr>
      <w:tr>
        <w:trPr>
          <w:cantSplit/>
        </w:trPr>
        <w:tc>
          <w:tcPr>
            <w:tcW w:type="dxa" w:w="75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5"/>
                <w:szCs w:val="15"/>
              </w:rPr>
              <w:t xml:space="preserve">OE-11</w:t>
            </w:r>
          </w:p>
        </w:tc>
        <w:tc>
          <w:tcPr>
            <w:tcW w:type="dxa" w:w="155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Informe E6, 10.5</w:t>
            </w:r>
          </w:p>
        </w:tc>
        <w:tc>
          <w:tcPr>
            <w:tcW w:type="dxa" w:w="29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Cerca del 90 % de las categorías del D.S. N° 043-2006-AG y los atributos de sequía, raíz y palatabilidad figuran «Por determinar»; tres especies se citan como CR «según fuentes del proyecto».</w:t>
            </w:r>
          </w:p>
        </w:tc>
        <w:tc>
          <w:tcPr>
            <w:tcW w:type="dxa" w:w="23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Completar con consulta Delphi y verificar contra el anexo oficial del decreto.</w:t>
            </w:r>
          </w:p>
        </w:tc>
        <w:tc>
          <w:tcPr>
            <w:tcW w:type="dxa" w:w="21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Pendiente</w:t>
            </w:r>
          </w:p>
        </w:tc>
      </w:tr>
      <w:tr>
        <w:trPr>
          <w:cantSplit/>
        </w:trPr>
        <w:tc>
          <w:tcPr>
            <w:tcW w:type="dxa" w:w="75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5"/>
                <w:szCs w:val="15"/>
              </w:rPr>
              <w:t xml:space="preserve">OE-12</w:t>
            </w:r>
          </w:p>
        </w:tc>
        <w:tc>
          <w:tcPr>
            <w:tcW w:type="dxa" w:w="155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Informe E6, 10.3</w:t>
            </w:r>
          </w:p>
        </w:tc>
        <w:tc>
          <w:tcPr>
            <w:tcW w:type="dxa" w:w="29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Sesgo de +15.9 pp de la cobertura S2DR4 frente a F-DT por el herbazal seco.</w:t>
            </w:r>
          </w:p>
        </w:tc>
        <w:tc>
          <w:tcPr>
            <w:tcW w:type="dxa" w:w="23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Declarar el sesgo y su efecto en el IC.</w:t>
            </w:r>
          </w:p>
        </w:tc>
        <w:tc>
          <w:tcPr>
            <w:tcW w:type="dxa" w:w="21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Atendida: declarado en el informe</w:t>
            </w:r>
          </w:p>
        </w:tc>
      </w:tr>
      <w:tr>
        <w:trPr>
          <w:cantSplit/>
        </w:trPr>
        <w:tc>
          <w:tcPr>
            <w:tcW w:type="dxa" w:w="75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5"/>
                <w:szCs w:val="15"/>
              </w:rPr>
              <w:t xml:space="preserve">OE-13</w:t>
            </w:r>
          </w:p>
        </w:tc>
        <w:tc>
          <w:tcPr>
            <w:tcW w:type="dxa" w:w="155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Plan v2.0, 12; hito H7b</w:t>
            </w:r>
          </w:p>
        </w:tc>
        <w:tc>
          <w:tcPr>
            <w:tcW w:type="dxa" w:w="29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No se ha emitido el memorando de SESDI que acepte la adecuación metodológica.</w:t>
            </w:r>
          </w:p>
        </w:tc>
        <w:tc>
          <w:tcPr>
            <w:tcW w:type="dxa" w:w="23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Emitir el memorando de conformidad de la adecuación.</w:t>
            </w:r>
          </w:p>
        </w:tc>
        <w:tc>
          <w:tcPr>
            <w:tcW w:type="dxa" w:w="21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Pendiente</w:t>
            </w:r>
          </w:p>
        </w:tc>
      </w:tr>
    </w:tbl>
    <w:p>
      <w:pPr>
        <w:spacing w:after="200" w:before="50"/>
        <w:jc w:val="both"/>
      </w:pPr>
      <w:r>
        <w:rPr>
          <w:rFonts w:ascii="Arial" w:cs="Arial" w:eastAsia="Arial" w:hAnsi="Arial"/>
          <w:i/>
          <w:iCs/>
          <w:color w:val="595959"/>
          <w:sz w:val="15"/>
          <w:szCs w:val="15"/>
        </w:rPr>
        <w:t xml:space="preserve">Fuente: revisión técnica del suscrito sobre el plan v2.0, la Nota Técnica N° 002-2026 y el Informe E6 (versión para revisión de SESDI).</w:t>
      </w:r>
    </w:p>
    <w:p>
      <w:pPr>
        <w:pStyle w:val="Heading2"/>
        <w:keepNext/>
      </w:pPr>
      <w:r>
        <w:t xml:space="preserve">3-A.6 Estado de la conformidad</w:t>
      </w:r>
    </w:p>
    <w:p>
      <w:pPr>
        <w:spacing w:after="120" w:line="276"/>
        <w:jc w:val="both"/>
      </w:pPr>
      <w:r>
        <w:rPr>
          <w:rFonts w:ascii="Arial" w:cs="Arial" w:eastAsia="Arial" w:hAnsi="Arial"/>
          <w:sz w:val="21"/>
          <w:szCs w:val="21"/>
        </w:rPr>
        <w:t xml:space="preserve">El Diagnóstico del Estado de los Ecosistemas se encuentra en versión para revisión de SESDI. La conformidad está condicionada a: (i) la emisión del memorando de SESDI que acepte la adecuación metodológica (hito H7b, pendiente); (ii) el levantamiento de las observaciones OE-03 a OE-09, OE-11 y OE-13; y (iii) la decisión sobre el criterio único de brecha. Las observaciones OE-10 y la estructura vertical medida (DAP, biomasa, TAU) se trasladan como vacíos declarados al estudio definitivo.</w:t>
      </w:r>
    </w:p>
    <w:p>
      <w:pPr>
        <w:sectPr>
          <w:headerReference w:type="default" r:id="rId13"/>
          <w:footerReference w:type="default" r:id="rId14"/>
          <w:pgSz w:w="11906" w:h="16838" w:orient="portrait"/>
          <w:pgMar w:top="1560" w:right="1134" w:bottom="1200" w:left="1134" w:header="560" w:footer="500" w:gutter="0"/>
          <w:pgNumType/>
          <w:docGrid w:linePitch="360"/>
        </w:sectPr>
      </w:pPr>
    </w:p>
    <w:p>
      <w:pPr>
        <w:spacing w:after="3000" w:before="0"/>
      </w:pPr>
      <w:r>
        <w:rPr>
          <w:rFonts w:ascii="Arial" w:cs="Arial" w:eastAsia="Arial" w:hAnsi="Arial"/>
          <w:sz w:val="2"/>
          <w:szCs w:val="2"/>
        </w:rPr>
        <w:t xml:space="preserve"/>
      </w:r>
    </w:p>
    <w:p>
      <w:pPr>
        <w:spacing w:after="0"/>
        <w:jc w:val="left"/>
      </w:pPr>
      <w:r>
        <w:rPr>
          <w:rFonts w:ascii="Arial" w:cs="Arial" w:eastAsia="Arial" w:hAnsi="Arial"/>
          <w:b/>
          <w:bCs/>
          <w:color w:val="B8962E"/>
          <w:spacing w:val="30"/>
          <w:sz w:val="16"/>
          <w:szCs w:val="16"/>
        </w:rPr>
        <w:t xml:space="preserve">PROYECTO IN PIURA  ·  CUI 2669244  ·  CÓDIGO DE IDEA 337830</w:t>
      </w:r>
    </w:p>
    <w:p>
      <w:pPr>
        <w:spacing w:after="160"/>
        <w:jc w:val="left"/>
      </w:pPr>
      <w:r>
        <w:rPr>
          <w:rFonts w:ascii="Arial" w:cs="Arial" w:eastAsia="Arial" w:hAnsi="Arial"/>
          <w:color w:val="595959"/>
          <w:sz w:val="16"/>
          <w:szCs w:val="16"/>
        </w:rPr>
        <w:t xml:space="preserve">Segundo Entregable  ·  Orden de Servicio N° 4062-2026  ·  Informe N° 008-2026-HSCM</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trHeight w:val="70" w:hRule="exact"/>
        </w:trPr>
        <w:tc>
          <w:tcPr>
            <w:tcW w:type="dxa" w:w="9638"/>
            <w:tcBorders>
              <w:top w:val="none" w:color="FFFFFF" w:sz="0"/>
              <w:left w:val="none" w:color="FFFFFF" w:sz="0"/>
              <w:bottom w:val="none" w:color="FFFFFF" w:sz="0"/>
              <w:right w:val="none" w:color="FFFFFF" w:sz="0"/>
            </w:tcBorders>
            <w:shd w:fill="B8962E" w:color="auto" w:val="clear"/>
            <w:tcMar>
              <w:top w:type="dxa" w:w="0"/>
              <w:left w:type="dxa" w:w="0"/>
              <w:bottom w:type="dxa" w:w="0"/>
              <w:right w:type="dxa" w:w="0"/>
            </w:tcMar>
            <w:vAlign w:val="center"/>
          </w:tcPr>
          <w:p>
            <w:pPr>
              <w:spacing w:after="0"/>
            </w:pPr>
            <w:r>
              <w:rPr>
                <w:rFonts w:ascii="Arial" w:cs="Arial" w:eastAsia="Arial" w:hAnsi="Arial"/>
                <w:sz w:val="2"/>
                <w:szCs w:val="2"/>
              </w:rPr>
              <w:t xml:space="preserve"/>
            </w:r>
          </w:p>
        </w:tc>
      </w:tr>
      <w:tr>
        <w:tc>
          <w:tcPr>
            <w:tcW w:type="dxa" w:w="9638"/>
            <w:tcBorders>
              <w:top w:val="none" w:color="FFFFFF" w:sz="0"/>
              <w:left w:val="none" w:color="FFFFFF" w:sz="0"/>
              <w:bottom w:val="none" w:color="FFFFFF" w:sz="0"/>
              <w:right w:val="none" w:color="FFFFFF" w:sz="0"/>
            </w:tcBorders>
            <w:shd w:fill="1B4D2E" w:color="auto" w:val="clear"/>
            <w:tcMar>
              <w:top w:type="dxa" w:w="260"/>
              <w:left w:type="dxa" w:w="400"/>
              <w:bottom w:type="dxa" w:w="240"/>
              <w:right w:type="dxa" w:w="400"/>
            </w:tcMar>
            <w:vAlign w:val="center"/>
          </w:tcPr>
          <w:p>
            <w:pPr>
              <w:spacing w:after="60"/>
            </w:pPr>
            <w:r>
              <w:rPr>
                <w:rFonts w:ascii="Arial" w:cs="Arial" w:eastAsia="Arial" w:hAnsi="Arial"/>
                <w:b/>
                <w:bCs/>
                <w:color w:val="FFFFFF"/>
                <w:sz w:val="44"/>
                <w:szCs w:val="44"/>
              </w:rPr>
              <w:t xml:space="preserve">ANEXO 3-B</w:t>
            </w:r>
          </w:p>
          <w:p>
            <w:pPr>
              <w:spacing w:after="0"/>
            </w:pPr>
            <w:r>
              <w:rPr>
                <w:rFonts w:ascii="Arial" w:cs="Arial" w:eastAsia="Arial" w:hAnsi="Arial"/>
                <w:b/>
                <w:bCs/>
                <w:color w:val="D9C27A"/>
                <w:spacing w:val="20"/>
                <w:sz w:val="18"/>
                <w:szCs w:val="18"/>
              </w:rPr>
              <w:t xml:space="preserve">ACTIVIDAD d)  —  NUMERAL 5.1 DE LOS TÉRMINOS DE REFERENCIA</w:t>
            </w:r>
          </w:p>
        </w:tc>
      </w:tr>
    </w:tbl>
    <w:p>
      <w:pPr>
        <w:spacing w:after="320" w:before="0"/>
      </w:pPr>
      <w:r>
        <w:rPr>
          <w:rFonts w:ascii="Arial" w:cs="Arial" w:eastAsia="Arial" w:hAnsi="Arial"/>
          <w:sz w:val="2"/>
          <w:szCs w:val="2"/>
        </w:rPr>
        <w:t xml:space="preserve"/>
      </w:r>
    </w:p>
    <w:p>
      <w:pPr>
        <w:spacing w:after="120" w:line="300"/>
        <w:jc w:val="left"/>
      </w:pPr>
      <w:r>
        <w:rPr>
          <w:rFonts w:ascii="Arial" w:cs="Arial" w:eastAsia="Arial" w:hAnsi="Arial"/>
          <w:b/>
          <w:bCs/>
          <w:color w:val="1B4D2E"/>
          <w:sz w:val="30"/>
          <w:szCs w:val="30"/>
        </w:rPr>
        <w:t xml:space="preserve">ESTUDIO DE OFERTA DE MATERIAL VEGETAL DE PROPAGACIÓN</w:t>
      </w:r>
    </w:p>
    <w:p>
      <w:pPr>
        <w:spacing w:after="240" w:line="280"/>
        <w:jc w:val="left"/>
      </w:pPr>
      <w:r>
        <w:rPr>
          <w:rFonts w:ascii="Arial" w:cs="Arial" w:eastAsia="Arial" w:hAnsi="Arial"/>
          <w:color w:val="2E6B47"/>
          <w:sz w:val="22"/>
          <w:szCs w:val="22"/>
        </w:rPr>
        <w:t xml:space="preserve">Seguimiento, revisión técnica, observaciones y conformidad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7338"/>
      </w:tblGrid>
      <w:tr>
        <w:trPr>
          <w:cantSplit/>
        </w:trPr>
        <w:tc>
          <w:tcPr>
            <w:tcW w:type="dxa" w:w="2300"/>
            <w:tcBorders>
              <w:top w:val="single" w:color="B9C8BD" w:sz="4"/>
              <w:left w:val="none" w:color="FFFFFF" w:sz="0"/>
              <w:bottom w:val="single" w:color="B9C8BD" w:sz="4"/>
              <w:right w:val="none" w:color="FFFFFF" w:sz="0"/>
            </w:tcBorders>
            <w:shd w:fill="E8F0EA" w:color="auto" w:val="clear"/>
            <w:tcMar>
              <w:top w:type="dxa" w:w="70"/>
              <w:left w:type="dxa" w:w="140"/>
              <w:bottom w:type="dxa" w:w="70"/>
              <w:right w:type="dxa" w:w="100"/>
            </w:tcMar>
            <w:vAlign w:val="center"/>
          </w:tcPr>
          <w:p>
            <w:pPr>
              <w:spacing w:after="0"/>
            </w:pPr>
            <w:r>
              <w:rPr>
                <w:rFonts w:ascii="Arial" w:cs="Arial" w:eastAsia="Arial" w:hAnsi="Arial"/>
                <w:b/>
                <w:bCs/>
                <w:color w:val="1B4D2E"/>
                <w:spacing w:val="15"/>
                <w:sz w:val="14"/>
                <w:szCs w:val="14"/>
              </w:rPr>
              <w:t xml:space="preserve">SERVICIO</w:t>
            </w:r>
          </w:p>
        </w:tc>
        <w:tc>
          <w:tcPr>
            <w:tcW w:type="dxa" w:w="7338"/>
            <w:tcBorders>
              <w:top w:val="single" w:color="B9C8BD" w:sz="4"/>
              <w:left w:val="none" w:color="FFFFFF" w:sz="0"/>
              <w:bottom w:val="single" w:color="B9C8BD" w:sz="4"/>
              <w:right w:val="none" w:color="FFFFFF" w:sz="0"/>
            </w:tcBorders>
            <w:tcMar>
              <w:top w:type="dxa" w:w="70"/>
              <w:left w:type="dxa" w:w="160"/>
              <w:bottom w:type="dxa" w:w="70"/>
              <w:right w:type="dxa" w:w="100"/>
            </w:tcMar>
            <w:vAlign w:val="center"/>
          </w:tcPr>
          <w:p>
            <w:pPr>
              <w:spacing w:after="0"/>
              <w:jc w:val="left"/>
            </w:pPr>
            <w:r>
              <w:rPr>
                <w:rFonts w:ascii="Arial" w:cs="Arial" w:eastAsia="Arial" w:hAnsi="Arial"/>
                <w:color w:val="1F2D24"/>
                <w:sz w:val="17"/>
                <w:szCs w:val="17"/>
              </w:rPr>
              <w:t xml:space="preserve">Servicio especializado para la determinación de área geográfica para el componente de infraestructura verde del estudio de preinversión del proyecto de Infraestructura Natural Piura</w:t>
            </w:r>
          </w:p>
        </w:tc>
      </w:tr>
      <w:tr>
        <w:trPr>
          <w:cantSplit/>
        </w:trPr>
        <w:tc>
          <w:tcPr>
            <w:tcW w:type="dxa" w:w="2300"/>
            <w:tcBorders>
              <w:top w:val="single" w:color="B9C8BD" w:sz="4"/>
              <w:left w:val="none" w:color="FFFFFF" w:sz="0"/>
              <w:bottom w:val="single" w:color="B9C8BD" w:sz="4"/>
              <w:right w:val="none" w:color="FFFFFF" w:sz="0"/>
            </w:tcBorders>
            <w:shd w:fill="E8F0EA" w:color="auto" w:val="clear"/>
            <w:tcMar>
              <w:top w:type="dxa" w:w="70"/>
              <w:left w:type="dxa" w:w="140"/>
              <w:bottom w:type="dxa" w:w="70"/>
              <w:right w:type="dxa" w:w="100"/>
            </w:tcMar>
            <w:vAlign w:val="center"/>
          </w:tcPr>
          <w:p>
            <w:pPr>
              <w:spacing w:after="0"/>
            </w:pPr>
            <w:r>
              <w:rPr>
                <w:rFonts w:ascii="Arial" w:cs="Arial" w:eastAsia="Arial" w:hAnsi="Arial"/>
                <w:b/>
                <w:bCs/>
                <w:color w:val="1B4D2E"/>
                <w:spacing w:val="15"/>
                <w:sz w:val="14"/>
                <w:szCs w:val="14"/>
              </w:rPr>
              <w:t xml:space="preserve">ESTUDIO DE PREINVERSIÓN</w:t>
            </w:r>
          </w:p>
        </w:tc>
        <w:tc>
          <w:tcPr>
            <w:tcW w:type="dxa" w:w="7338"/>
            <w:tcBorders>
              <w:top w:val="single" w:color="B9C8BD" w:sz="4"/>
              <w:left w:val="none" w:color="FFFFFF" w:sz="0"/>
              <w:bottom w:val="single" w:color="B9C8BD" w:sz="4"/>
              <w:right w:val="none" w:color="FFFFFF" w:sz="0"/>
            </w:tcBorders>
            <w:tcMar>
              <w:top w:type="dxa" w:w="70"/>
              <w:left w:type="dxa" w:w="160"/>
              <w:bottom w:type="dxa" w:w="70"/>
              <w:right w:type="dxa" w:w="100"/>
            </w:tcMar>
            <w:vAlign w:val="center"/>
          </w:tcPr>
          <w:p>
            <w:pPr>
              <w:spacing w:after="0"/>
              <w:jc w:val="left"/>
            </w:pPr>
            <w:r>
              <w:rPr>
                <w:rFonts w:ascii="Arial" w:cs="Arial" w:eastAsia="Arial" w:hAnsi="Arial"/>
                <w:color w:val="1F2D24"/>
                <w:sz w:val="17"/>
                <w:szCs w:val="17"/>
              </w:rPr>
              <w:t xml:space="preserve">Recuperación del servicio de regulación de riesgos naturales y recuperación de ecosistemas degradados en la Cuenca Alta del Río Piura — CUI 2669244</w:t>
            </w:r>
          </w:p>
        </w:tc>
      </w:tr>
      <w:tr>
        <w:trPr>
          <w:cantSplit/>
        </w:trPr>
        <w:tc>
          <w:tcPr>
            <w:tcW w:type="dxa" w:w="2300"/>
            <w:tcBorders>
              <w:top w:val="single" w:color="B9C8BD" w:sz="4"/>
              <w:left w:val="none" w:color="FFFFFF" w:sz="0"/>
              <w:bottom w:val="single" w:color="B9C8BD" w:sz="4"/>
              <w:right w:val="none" w:color="FFFFFF" w:sz="0"/>
            </w:tcBorders>
            <w:shd w:fill="E8F0EA" w:color="auto" w:val="clear"/>
            <w:tcMar>
              <w:top w:type="dxa" w:w="70"/>
              <w:left w:type="dxa" w:w="140"/>
              <w:bottom w:type="dxa" w:w="70"/>
              <w:right w:type="dxa" w:w="100"/>
            </w:tcMar>
            <w:vAlign w:val="center"/>
          </w:tcPr>
          <w:p>
            <w:pPr>
              <w:spacing w:after="0"/>
            </w:pPr>
            <w:r>
              <w:rPr>
                <w:rFonts w:ascii="Arial" w:cs="Arial" w:eastAsia="Arial" w:hAnsi="Arial"/>
                <w:b/>
                <w:bCs/>
                <w:color w:val="1B4D2E"/>
                <w:spacing w:val="15"/>
                <w:sz w:val="14"/>
                <w:szCs w:val="14"/>
              </w:rPr>
              <w:t xml:space="preserve">EN COORDINACIÓN CON</w:t>
            </w:r>
          </w:p>
        </w:tc>
        <w:tc>
          <w:tcPr>
            <w:tcW w:type="dxa" w:w="7338"/>
            <w:tcBorders>
              <w:top w:val="single" w:color="B9C8BD" w:sz="4"/>
              <w:left w:val="none" w:color="FFFFFF" w:sz="0"/>
              <w:bottom w:val="single" w:color="B9C8BD" w:sz="4"/>
              <w:right w:val="none" w:color="FFFFFF" w:sz="0"/>
            </w:tcBorders>
            <w:tcMar>
              <w:top w:type="dxa" w:w="70"/>
              <w:left w:type="dxa" w:w="160"/>
              <w:bottom w:type="dxa" w:w="70"/>
              <w:right w:type="dxa" w:w="100"/>
            </w:tcMar>
            <w:vAlign w:val="center"/>
          </w:tcPr>
          <w:p>
            <w:pPr>
              <w:spacing w:after="0"/>
              <w:jc w:val="left"/>
            </w:pPr>
            <w:r>
              <w:rPr>
                <w:rFonts w:ascii="Arial" w:cs="Arial" w:eastAsia="Arial" w:hAnsi="Arial"/>
                <w:color w:val="1F2D24"/>
                <w:sz w:val="17"/>
                <w:szCs w:val="17"/>
              </w:rPr>
              <w:t xml:space="preserve">Especialista en Intervenciones de Uso Sostenible — Proyecto IN Piura</w:t>
            </w:r>
          </w:p>
        </w:tc>
      </w:tr>
      <w:tr>
        <w:trPr>
          <w:cantSplit/>
        </w:trPr>
        <w:tc>
          <w:tcPr>
            <w:tcW w:type="dxa" w:w="2300"/>
            <w:tcBorders>
              <w:top w:val="single" w:color="B9C8BD" w:sz="4"/>
              <w:left w:val="none" w:color="FFFFFF" w:sz="0"/>
              <w:bottom w:val="single" w:color="B9C8BD" w:sz="4"/>
              <w:right w:val="none" w:color="FFFFFF" w:sz="0"/>
            </w:tcBorders>
            <w:shd w:fill="E8F0EA" w:color="auto" w:val="clear"/>
            <w:tcMar>
              <w:top w:type="dxa" w:w="70"/>
              <w:left w:type="dxa" w:w="140"/>
              <w:bottom w:type="dxa" w:w="70"/>
              <w:right w:type="dxa" w:w="100"/>
            </w:tcMar>
            <w:vAlign w:val="center"/>
          </w:tcPr>
          <w:p>
            <w:pPr>
              <w:spacing w:after="0"/>
            </w:pPr>
            <w:r>
              <w:rPr>
                <w:rFonts w:ascii="Arial" w:cs="Arial" w:eastAsia="Arial" w:hAnsi="Arial"/>
                <w:b/>
                <w:bCs/>
                <w:color w:val="1B4D2E"/>
                <w:spacing w:val="15"/>
                <w:sz w:val="14"/>
                <w:szCs w:val="14"/>
              </w:rPr>
              <w:t xml:space="preserve">ELABORADO POR</w:t>
            </w:r>
          </w:p>
        </w:tc>
        <w:tc>
          <w:tcPr>
            <w:tcW w:type="dxa" w:w="7338"/>
            <w:tcBorders>
              <w:top w:val="single" w:color="B9C8BD" w:sz="4"/>
              <w:left w:val="none" w:color="FFFFFF" w:sz="0"/>
              <w:bottom w:val="single" w:color="B9C8BD" w:sz="4"/>
              <w:right w:val="none" w:color="FFFFFF" w:sz="0"/>
            </w:tcBorders>
            <w:tcMar>
              <w:top w:type="dxa" w:w="70"/>
              <w:left w:type="dxa" w:w="160"/>
              <w:bottom w:type="dxa" w:w="70"/>
              <w:right w:type="dxa" w:w="100"/>
            </w:tcMar>
            <w:vAlign w:val="center"/>
          </w:tcPr>
          <w:p>
            <w:pPr>
              <w:spacing w:after="0"/>
              <w:jc w:val="left"/>
            </w:pPr>
            <w:r>
              <w:rPr>
                <w:rFonts w:ascii="Arial" w:cs="Arial" w:eastAsia="Arial" w:hAnsi="Arial"/>
                <w:color w:val="1F2D24"/>
                <w:sz w:val="17"/>
                <w:szCs w:val="17"/>
              </w:rPr>
              <w:t xml:space="preserve">Ing. Héctor Salomón Cahuas Miller — Ingeniero Forestal, Especialista en Infraestructura Verde</w:t>
            </w:r>
          </w:p>
        </w:tc>
      </w:tr>
      <w:tr>
        <w:trPr>
          <w:cantSplit/>
        </w:trPr>
        <w:tc>
          <w:tcPr>
            <w:tcW w:type="dxa" w:w="2300"/>
            <w:tcBorders>
              <w:top w:val="single" w:color="B9C8BD" w:sz="4"/>
              <w:left w:val="none" w:color="FFFFFF" w:sz="0"/>
              <w:bottom w:val="single" w:color="B9C8BD" w:sz="4"/>
              <w:right w:val="none" w:color="FFFFFF" w:sz="0"/>
            </w:tcBorders>
            <w:shd w:fill="E8F0EA" w:color="auto" w:val="clear"/>
            <w:tcMar>
              <w:top w:type="dxa" w:w="70"/>
              <w:left w:type="dxa" w:w="140"/>
              <w:bottom w:type="dxa" w:w="70"/>
              <w:right w:type="dxa" w:w="100"/>
            </w:tcMar>
            <w:vAlign w:val="center"/>
          </w:tcPr>
          <w:p>
            <w:pPr>
              <w:spacing w:after="0"/>
            </w:pPr>
            <w:r>
              <w:rPr>
                <w:rFonts w:ascii="Arial" w:cs="Arial" w:eastAsia="Arial" w:hAnsi="Arial"/>
                <w:b/>
                <w:bCs/>
                <w:color w:val="1B4D2E"/>
                <w:spacing w:val="15"/>
                <w:sz w:val="14"/>
                <w:szCs w:val="14"/>
              </w:rPr>
              <w:t xml:space="preserve">PERIODO</w:t>
            </w:r>
          </w:p>
        </w:tc>
        <w:tc>
          <w:tcPr>
            <w:tcW w:type="dxa" w:w="7338"/>
            <w:tcBorders>
              <w:top w:val="single" w:color="B9C8BD" w:sz="4"/>
              <w:left w:val="none" w:color="FFFFFF" w:sz="0"/>
              <w:bottom w:val="single" w:color="B9C8BD" w:sz="4"/>
              <w:right w:val="none" w:color="FFFFFF" w:sz="0"/>
            </w:tcBorders>
            <w:tcMar>
              <w:top w:type="dxa" w:w="70"/>
              <w:left w:type="dxa" w:w="160"/>
              <w:bottom w:type="dxa" w:w="70"/>
              <w:right w:type="dxa" w:w="100"/>
            </w:tcMar>
            <w:vAlign w:val="center"/>
          </w:tcPr>
          <w:p>
            <w:pPr>
              <w:spacing w:after="0"/>
              <w:jc w:val="left"/>
            </w:pPr>
            <w:r>
              <w:rPr>
                <w:rFonts w:ascii="Arial" w:cs="Arial" w:eastAsia="Arial" w:hAnsi="Arial"/>
                <w:color w:val="1F2D24"/>
                <w:sz w:val="17"/>
                <w:szCs w:val="17"/>
              </w:rPr>
              <w:t xml:space="preserve">Segundo entregable — del 26 de septiembre al 27 de octubre de 2026 (días 31 a 60 de la Orden de Servicio)</w:t>
            </w:r>
          </w:p>
        </w:tc>
      </w:tr>
    </w:tbl>
    <w:p>
      <w:pPr>
        <w:spacing w:after="1200" w:before="0"/>
      </w:pPr>
      <w:r>
        <w:rPr>
          <w:rFonts w:ascii="Arial" w:cs="Arial" w:eastAsia="Arial" w:hAnsi="Arial"/>
          <w:sz w:val="2"/>
          <w:szCs w:val="2"/>
        </w:rPr>
        <w:t xml:space="preserve"/>
      </w:r>
    </w:p>
    <w:p>
      <w:pPr>
        <w:spacing w:after="30"/>
        <w:jc w:val="center"/>
      </w:pPr>
      <w:r>
        <w:rPr>
          <w:rFonts w:ascii="Arial" w:cs="Arial" w:eastAsia="Arial" w:hAnsi="Arial"/>
          <w:b/>
          <w:bCs/>
          <w:color w:val="1B4D2E"/>
          <w:sz w:val="19"/>
          <w:szCs w:val="19"/>
        </w:rPr>
        <w:t xml:space="preserve">Lima, octubre de 2026</w:t>
      </w:r>
    </w:p>
    <w:p>
      <w:pPr>
        <w:spacing w:after="0"/>
        <w:jc w:val="center"/>
      </w:pPr>
      <w:r>
        <w:rPr>
          <w:rFonts w:ascii="Arial" w:cs="Arial" w:eastAsia="Arial" w:hAnsi="Arial"/>
          <w:color w:val="595959"/>
          <w:sz w:val="15"/>
          <w:szCs w:val="15"/>
        </w:rPr>
        <w:t xml:space="preserve">Autoridad Nacional de Infraestructura · DIME · SESDI · UTM WGS 84 Zona 17S (EPSG:32717)</w:t>
      </w:r>
    </w:p>
    <w:p>
      <w:pPr>
        <w:sectPr>
          <w:headerReference w:type="default" r:id="rId15"/>
          <w:footerReference w:type="default" r:id="rId16"/>
          <w:pgSz w:w="11906" w:h="16838" w:orient="portrait"/>
          <w:pgMar w:top="1560" w:right="1134" w:bottom="1200" w:left="1134" w:header="560" w:footer="500" w:gutter="0"/>
          <w:pgNumType/>
          <w:docGrid w:linePitch="360"/>
        </w:sectPr>
      </w:pPr>
    </w:p>
    <w:p>
      <w:pPr>
        <w:pStyle w:val="Heading1"/>
        <w:keepNext/>
      </w:pPr>
      <w:r>
        <w:t xml:space="preserve">3-B. ESTUDIO DE OFERTA DE MATERIAL VEGETAL DE PROPAGACIÓN</w:t>
      </w:r>
    </w:p>
    <w:p>
      <w:pPr>
        <w:pStyle w:val="Heading2"/>
        <w:keepNext/>
      </w:pPr>
      <w:r>
        <w:t xml:space="preserve">3-B.1 Plan de trabajo del componente</w:t>
      </w:r>
    </w:p>
    <w:p>
      <w:pPr>
        <w:spacing w:after="120" w:line="276"/>
        <w:jc w:val="both"/>
      </w:pPr>
      <w:r>
        <w:rPr>
          <w:rFonts w:ascii="Arial" w:cs="Arial" w:eastAsia="Arial" w:hAnsi="Arial"/>
          <w:sz w:val="21"/>
          <w:szCs w:val="21"/>
        </w:rPr>
        <w:t xml:space="preserve">La versión 2.0 del plan incorpora la oferta de material vegetal, ausente en la versión 1.1, como un censo remoto de viveros verificado en imágenes, con la brecha calculada contra la demanda por especie y año que fije el E10. Sus pasos son: (i) directorio de viveros (SERFOR–ATFFS Piura, AGRO RURAL, Gobierno Regional, municipalidades, proyectos especiales Chira-Piura y Alto Piura, UNP, UNF, ONG, viveros privados y comunales); (ii) encuesta remota a todo el directorio por teléfono y KoboToolbox; (iii) verificación de camas y tinglados en imágenes de muy alta resolución; (iv) mapa de fuentes de semilla; (v) oferta efectiva por especie y accesibilidad por tiempo de viaje; y (vi) brecha por especie y año y brecha de viveros permanentes y temporales con un modelo de localización-asignación.</w:t>
      </w:r>
    </w:p>
    <w:p>
      <w:pPr>
        <w:spacing w:after="120" w:line="276"/>
        <w:jc w:val="both"/>
      </w:pPr>
      <w:r>
        <w:rPr>
          <w:rFonts w:ascii="Arial" w:cs="Arial" w:eastAsia="Arial" w:hAnsi="Arial"/>
          <w:b/>
          <w:bCs/>
          <w:sz w:val="21"/>
          <w:szCs w:val="21"/>
        </w:rPr>
        <w:t xml:space="preserve">Demanda y brecha. </w:t>
      </w:r>
      <w:r>
        <w:rPr>
          <w:rFonts w:ascii="Arial" w:cs="Arial" w:eastAsia="Arial" w:hAnsi="Arial"/>
          <w:sz w:val="21"/>
          <w:szCs w:val="21"/>
        </w:rPr>
        <w:t xml:space="preserve">D(e,a) = Σₘ A(m,a) · dₘ · p(e,m) · (1 + r); B(e,a) = D(e,a) − O(e,a), donde A son las hectáreas por medida, d la densidad de plantación, p la proporción de la especie en la mezcla, r la tasa de reposición y O la oferta efectiva. Para la entrega parcial al E10 se calculan tres escenarios de demanda (bajo, medio y alto) con las hectáreas por bloque de la microlocalización y densidades de referencia declaradas como supuesto.</w:t>
      </w:r>
    </w:p>
    <w:p>
      <w:pPr>
        <w:pStyle w:val="Heading2"/>
        <w:keepNext/>
      </w:pPr>
      <w:r>
        <w:t xml:space="preserve">3-B.2 Revisión técnica de los insumos de oferta</w:t>
      </w:r>
    </w:p>
    <w:p>
      <w:pPr>
        <w:spacing w:after="120" w:line="276"/>
        <w:jc w:val="both"/>
      </w:pPr>
      <w:r>
        <w:rPr>
          <w:rFonts w:ascii="Arial" w:cs="Arial" w:eastAsia="Arial" w:hAnsi="Arial"/>
          <w:sz w:val="21"/>
          <w:szCs w:val="21"/>
        </w:rPr>
        <w:t xml:space="preserve">Los entregables de las OS 1147 (oferta de material vegetal) y 2726 (fitosanidad y propagación), revisados el 03/10/2026, aportan una priorización preliminar de 35 especies arbóreas y 34 arbustivas sobre ≈ 77 nativas, protocolos de propagación de 10 especies, un protocolo de vivero limpio y un costo paramétrico de S/ 12 por plantón. Sus limitaciones para el Perfil son que la demanda de plantones (2.94 millones) se calculó solo para Lotes SUS en 83 bloques, que las cinco fuentes de oferta identificadas en gabinete no están en los 15 distritos y que la única oferta confirmada son 6,000 plantones (Suyo). El tablero de avance al 03/10/2026 estimó el componente de oferta en ≈ 12 % frente a ≈ 45 % del diagnóstico del ecosistema.</w:t>
      </w:r>
    </w:p>
    <w:p>
      <w:pPr>
        <w:pStyle w:val="Heading2"/>
        <w:keepNext/>
      </w:pPr>
      <w:r>
        <w:t xml:space="preserve">3-B.3 Resultados del E6 sobre la oferta</w:t>
      </w:r>
    </w:p>
    <w:p>
      <w:pPr>
        <w:keepNext/>
        <w:keepLines/>
        <w:spacing w:after="80" w:before="160"/>
      </w:pPr>
      <w:r>
        <w:rPr>
          <w:rFonts w:ascii="Arial" w:cs="Arial" w:eastAsia="Arial" w:hAnsi="Arial"/>
          <w:b/>
          <w:bCs/>
          <w:sz w:val="19"/>
          <w:szCs w:val="19"/>
        </w:rPr>
        <w:t xml:space="preserve">Cuadro N° A3.13. Viveros e iniciativas de producción de plantones identificados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2600"/>
        <w:gridCol w:w="1700"/>
        <w:gridCol w:w="2338"/>
      </w:tblGrid>
      <w:tr>
        <w:trPr>
          <w:cantSplit/>
          <w:tblHeader/>
        </w:trPr>
        <w:tc>
          <w:tcPr>
            <w:tcW w:type="dxa" w:w="3000"/>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5"/>
                <w:szCs w:val="15"/>
              </w:rPr>
              <w:t xml:space="preserve">VIVERO O INICIATIVA</w:t>
            </w:r>
          </w:p>
        </w:tc>
        <w:tc>
          <w:tcPr>
            <w:tcW w:type="dxa" w:w="2600"/>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5"/>
                <w:szCs w:val="15"/>
              </w:rPr>
              <w:t xml:space="preserve">PROVINCIA / LUGAR</w:t>
            </w:r>
          </w:p>
        </w:tc>
        <w:tc>
          <w:tcPr>
            <w:tcW w:type="dxa" w:w="1700"/>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5"/>
                <w:szCs w:val="15"/>
              </w:rPr>
              <w:t xml:space="preserve">CAPACIDAD DECLARADA</w:t>
            </w:r>
          </w:p>
        </w:tc>
        <w:tc>
          <w:tcPr>
            <w:tcW w:type="dxa" w:w="2338"/>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5"/>
                <w:szCs w:val="15"/>
              </w:rPr>
              <w:t xml:space="preserve">ESPECIES</w:t>
            </w:r>
          </w:p>
        </w:tc>
      </w:tr>
      <w:tr>
        <w:trPr>
          <w:cantSplit/>
        </w:trPr>
        <w:tc>
          <w:tcPr>
            <w:tcW w:type="dxa" w:w="30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Viveros del GORE Piura en Hualtacal</w:t>
            </w:r>
          </w:p>
        </w:tc>
        <w:tc>
          <w:tcPr>
            <w:tcW w:type="dxa" w:w="26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Huancabamba; Hualtacal (Canchaque)</w:t>
            </w:r>
          </w:p>
        </w:tc>
        <w:tc>
          <w:tcPr>
            <w:tcW w:type="dxa" w:w="17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5"/>
                <w:szCs w:val="15"/>
              </w:rPr>
              <w:t xml:space="preserve">21,000 plantones</w:t>
            </w:r>
          </w:p>
        </w:tc>
        <w:tc>
          <w:tcPr>
            <w:tcW w:type="dxa" w:w="23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Nativas: hualtaco, algarrobo, roble, laurel, aliso</w:t>
            </w:r>
          </w:p>
        </w:tc>
      </w:tr>
      <w:tr>
        <w:trPr>
          <w:cantSplit/>
        </w:trPr>
        <w:tc>
          <w:tcPr>
            <w:tcW w:type="dxa" w:w="30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Vivero Forestal Hualtacal (Proyecto Pusmalca)</w:t>
            </w:r>
          </w:p>
        </w:tc>
        <w:tc>
          <w:tcPr>
            <w:tcW w:type="dxa" w:w="26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Huancabamba; Canchaque</w:t>
            </w:r>
          </w:p>
        </w:tc>
        <w:tc>
          <w:tcPr>
            <w:tcW w:type="dxa" w:w="17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5"/>
                <w:szCs w:val="15"/>
              </w:rPr>
              <w:t xml:space="preserve">No declarada</w:t>
            </w:r>
          </w:p>
        </w:tc>
        <w:tc>
          <w:tcPr>
            <w:tcW w:type="dxa" w:w="23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w:t>
            </w:r>
          </w:p>
        </w:tc>
      </w:tr>
      <w:tr>
        <w:trPr>
          <w:cantSplit/>
        </w:trPr>
        <w:tc>
          <w:tcPr>
            <w:tcW w:type="dxa" w:w="30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Vivero del GORE en Maraypampa</w:t>
            </w:r>
          </w:p>
        </w:tc>
        <w:tc>
          <w:tcPr>
            <w:tcW w:type="dxa" w:w="26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Huancabamba; Maraypampa</w:t>
            </w:r>
          </w:p>
        </w:tc>
        <w:tc>
          <w:tcPr>
            <w:tcW w:type="dxa" w:w="17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5"/>
                <w:szCs w:val="15"/>
              </w:rPr>
              <w:t xml:space="preserve">No declarada</w:t>
            </w:r>
          </w:p>
        </w:tc>
        <w:tc>
          <w:tcPr>
            <w:tcW w:type="dxa" w:w="23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Material vegetal nativo</w:t>
            </w:r>
          </w:p>
        </w:tc>
      </w:tr>
      <w:tr>
        <w:trPr>
          <w:cantSplit/>
        </w:trPr>
        <w:tc>
          <w:tcPr>
            <w:tcW w:type="dxa" w:w="30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Vivero forestal en el entorno de M22B1</w:t>
            </w:r>
          </w:p>
        </w:tc>
        <w:tc>
          <w:tcPr>
            <w:tcW w:type="dxa" w:w="26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Huancabamba; San Miguel de El Faique</w:t>
            </w:r>
          </w:p>
        </w:tc>
        <w:tc>
          <w:tcPr>
            <w:tcW w:type="dxa" w:w="17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5"/>
                <w:szCs w:val="15"/>
              </w:rPr>
              <w:t xml:space="preserve">Por determinar</w:t>
            </w:r>
          </w:p>
        </w:tc>
        <w:tc>
          <w:tcPr>
            <w:tcW w:type="dxa" w:w="23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Aliso, queñua, cedro de altura, pino radiata</w:t>
            </w:r>
          </w:p>
        </w:tc>
      </w:tr>
      <w:tr>
        <w:trPr>
          <w:cantSplit/>
        </w:trPr>
        <w:tc>
          <w:tcPr>
            <w:tcW w:type="dxa" w:w="30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Reforestación FONCODES (Haku Wiñay, N. E. Canchaque 02)</w:t>
            </w:r>
          </w:p>
        </w:tc>
        <w:tc>
          <w:tcPr>
            <w:tcW w:type="dxa" w:w="26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Huancabamba; A. Miguel Grau y Huabal</w:t>
            </w:r>
          </w:p>
        </w:tc>
        <w:tc>
          <w:tcPr>
            <w:tcW w:type="dxa" w:w="17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5"/>
                <w:szCs w:val="15"/>
              </w:rPr>
              <w:t xml:space="preserve">No declarada</w:t>
            </w:r>
          </w:p>
        </w:tc>
        <w:tc>
          <w:tcPr>
            <w:tcW w:type="dxa" w:w="23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Roble y laurel</w:t>
            </w:r>
          </w:p>
        </w:tc>
      </w:tr>
      <w:tr>
        <w:trPr>
          <w:cantSplit/>
        </w:trPr>
        <w:tc>
          <w:tcPr>
            <w:tcW w:type="dxa" w:w="30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Terreno ofrecido para vivero (Serrán)</w:t>
            </w:r>
          </w:p>
        </w:tc>
        <w:tc>
          <w:tcPr>
            <w:tcW w:type="dxa" w:w="26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Morropón; Salitral</w:t>
            </w:r>
          </w:p>
        </w:tc>
        <w:tc>
          <w:tcPr>
            <w:tcW w:type="dxa" w:w="17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5"/>
                <w:szCs w:val="15"/>
              </w:rPr>
              <w:t xml:space="preserve">No declarada</w:t>
            </w:r>
          </w:p>
        </w:tc>
        <w:tc>
          <w:tcPr>
            <w:tcW w:type="dxa" w:w="23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w:t>
            </w:r>
          </w:p>
        </w:tc>
      </w:tr>
      <w:tr>
        <w:trPr>
          <w:cantSplit/>
        </w:trPr>
        <w:tc>
          <w:tcPr>
            <w:tcW w:type="dxa" w:w="30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Vivero regional (GORE Piura)</w:t>
            </w:r>
          </w:p>
        </w:tc>
        <w:tc>
          <w:tcPr>
            <w:tcW w:type="dxa" w:w="26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Morropón</w:t>
            </w:r>
          </w:p>
        </w:tc>
        <w:tc>
          <w:tcPr>
            <w:tcW w:type="dxa" w:w="17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5"/>
                <w:szCs w:val="15"/>
              </w:rPr>
              <w:t xml:space="preserve">No declarada</w:t>
            </w:r>
          </w:p>
        </w:tc>
        <w:tc>
          <w:tcPr>
            <w:tcW w:type="dxa" w:w="23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w:t>
            </w:r>
          </w:p>
        </w:tc>
      </w:tr>
      <w:tr>
        <w:trPr>
          <w:cantSplit/>
        </w:trPr>
        <w:tc>
          <w:tcPr>
            <w:tcW w:type="dxa" w:w="30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Entrega de plantones ACR Salitral–Huarmaca</w:t>
            </w:r>
          </w:p>
        </w:tc>
        <w:tc>
          <w:tcPr>
            <w:tcW w:type="dxa" w:w="26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Morropón; La Alberca, La Tranca, Palo Blanco–El Cerezo, Hornopampa</w:t>
            </w:r>
          </w:p>
        </w:tc>
        <w:tc>
          <w:tcPr>
            <w:tcW w:type="dxa" w:w="17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5"/>
                <w:szCs w:val="15"/>
              </w:rPr>
              <w:t xml:space="preserve">No declarada</w:t>
            </w:r>
          </w:p>
        </w:tc>
        <w:tc>
          <w:tcPr>
            <w:tcW w:type="dxa" w:w="23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w:t>
            </w:r>
          </w:p>
        </w:tc>
      </w:tr>
      <w:tr>
        <w:trPr>
          <w:cantSplit/>
        </w:trPr>
        <w:tc>
          <w:tcPr>
            <w:tcW w:type="dxa" w:w="30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Iniciativas municipales de reforestación</w:t>
            </w:r>
          </w:p>
        </w:tc>
        <w:tc>
          <w:tcPr>
            <w:tcW w:type="dxa" w:w="26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Morropón; Yamango</w:t>
            </w:r>
          </w:p>
        </w:tc>
        <w:tc>
          <w:tcPr>
            <w:tcW w:type="dxa" w:w="17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5"/>
                <w:szCs w:val="15"/>
              </w:rPr>
              <w:t xml:space="preserve">No declarada</w:t>
            </w:r>
          </w:p>
        </w:tc>
        <w:tc>
          <w:tcPr>
            <w:tcW w:type="dxa" w:w="23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Palo santo y bambú</w:t>
            </w:r>
          </w:p>
        </w:tc>
      </w:tr>
      <w:tr>
        <w:trPr>
          <w:cantSplit/>
        </w:trPr>
        <w:tc>
          <w:tcPr>
            <w:tcW w:type="dxa" w:w="30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Proyecto de vivero del gobierno regional (Bigote)</w:t>
            </w:r>
          </w:p>
        </w:tc>
        <w:tc>
          <w:tcPr>
            <w:tcW w:type="dxa" w:w="26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Morropón; San Juan de Bigote</w:t>
            </w:r>
          </w:p>
        </w:tc>
        <w:tc>
          <w:tcPr>
            <w:tcW w:type="dxa" w:w="17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5"/>
                <w:szCs w:val="15"/>
              </w:rPr>
              <w:t xml:space="preserve">No declarada</w:t>
            </w:r>
          </w:p>
        </w:tc>
        <w:tc>
          <w:tcPr>
            <w:tcW w:type="dxa" w:w="23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w:t>
            </w:r>
          </w:p>
        </w:tc>
      </w:tr>
      <w:tr>
        <w:trPr>
          <w:cantSplit/>
        </w:trPr>
        <w:tc>
          <w:tcPr>
            <w:tcW w:type="dxa" w:w="30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Proyecto de viveros (Víctor Raúl / El Checo)</w:t>
            </w:r>
          </w:p>
        </w:tc>
        <w:tc>
          <w:tcPr>
            <w:tcW w:type="dxa" w:w="26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Morropón; Yamango</w:t>
            </w:r>
          </w:p>
        </w:tc>
        <w:tc>
          <w:tcPr>
            <w:tcW w:type="dxa" w:w="17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5"/>
                <w:szCs w:val="15"/>
              </w:rPr>
              <w:t xml:space="preserve">No declarada</w:t>
            </w:r>
          </w:p>
        </w:tc>
        <w:tc>
          <w:tcPr>
            <w:tcW w:type="dxa" w:w="23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Café, cacao, frutales</w:t>
            </w:r>
          </w:p>
        </w:tc>
      </w:tr>
      <w:tr>
        <w:trPr>
          <w:cantSplit/>
        </w:trPr>
        <w:tc>
          <w:tcPr>
            <w:tcW w:type="dxa" w:w="30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Huertos y viveros FONCODES (Nuevo Progreso)</w:t>
            </w:r>
          </w:p>
        </w:tc>
        <w:tc>
          <w:tcPr>
            <w:tcW w:type="dxa" w:w="26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Morropón; Salitral</w:t>
            </w:r>
          </w:p>
        </w:tc>
        <w:tc>
          <w:tcPr>
            <w:tcW w:type="dxa" w:w="17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5"/>
                <w:szCs w:val="15"/>
              </w:rPr>
              <w:t xml:space="preserve">36 usuarios (no es capacidad)</w:t>
            </w:r>
          </w:p>
        </w:tc>
        <w:tc>
          <w:tcPr>
            <w:tcW w:type="dxa" w:w="23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w:t>
            </w:r>
          </w:p>
        </w:tc>
      </w:tr>
    </w:tbl>
    <w:p>
      <w:pPr>
        <w:spacing w:after="200" w:before="50"/>
        <w:jc w:val="both"/>
      </w:pPr>
      <w:r>
        <w:rPr>
          <w:rFonts w:ascii="Arial" w:cs="Arial" w:eastAsia="Arial" w:hAnsi="Arial"/>
          <w:i/>
          <w:iCs/>
          <w:color w:val="595959"/>
          <w:sz w:val="15"/>
          <w:szCs w:val="15"/>
        </w:rPr>
        <w:t xml:space="preserve">Fuente: Informe E6, Tabla 15, sobre fichas DT, matrices del E2 y consolidado DS.</w:t>
      </w:r>
    </w:p>
    <w:p>
      <w:pPr>
        <w:spacing w:after="120" w:line="276"/>
        <w:jc w:val="both"/>
      </w:pPr>
      <w:r>
        <w:rPr>
          <w:rFonts w:ascii="Arial" w:cs="Arial" w:eastAsia="Arial" w:hAnsi="Arial"/>
          <w:sz w:val="21"/>
          <w:szCs w:val="21"/>
        </w:rPr>
        <w:t xml:space="preserve">La única capacidad cuantificada son los 21,000 plantones de los viveros del Gobierno Regional en Hualtacal, frente a una demanda potencial que se dimensionará sobre 5,503.41 ha de restauración activa y 2,838.41 ha de enriquecimiento. El E6 incluye 16 fichas técnicas de especies nativas recomendadas: Vachellia macracantha (aromo), Eriotheca ruizii (pasallo), Loxopterygium huasango (hualtaco), Bursera graveolens (palo santo), Caesalpinia paipai (charán), Cordia lutea (overo), Ceiba trischistandra (ceibo), Colicodendron scabridum (sapote), Prosopis pallida (algarrobo), Handroanthus chrysanthus (guayacán), Caesalpinia spinosa (tara), Inga feuilleei (guaba), Alnus acuminata (aliso), Capparicordis crotonoides (bichayo), Baccharis latifolia (chilca) y Tecoma stans (huaranhuay). La demanda y la brecha se calculan en la hoja 16 de las matrices al ingresar las densidades, la mezcla y la reposición del E10; no se asumieron valores.</w:t>
      </w:r>
    </w:p>
    <w:p>
      <w:pPr>
        <w:pStyle w:val="Heading2"/>
        <w:keepNext/>
      </w:pPr>
      <w:r>
        <w:t xml:space="preserve">3-B.4 Matriz de observaciones del Estudio de Oferta de Material Vegetal</w:t>
      </w:r>
    </w:p>
    <w:p>
      <w:pPr>
        <w:keepNext/>
        <w:keepLines/>
        <w:spacing w:after="80" w:before="160"/>
      </w:pPr>
      <w:r>
        <w:rPr>
          <w:rFonts w:ascii="Arial" w:cs="Arial" w:eastAsia="Arial" w:hAnsi="Arial"/>
          <w:b/>
          <w:bCs/>
          <w:sz w:val="19"/>
          <w:szCs w:val="19"/>
        </w:rPr>
        <w:t xml:space="preserve">Cuadro N° A3.14. Observaciones formuladas al Estudio de Oferta de Material Vegetal de Propagación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0"/>
        <w:gridCol w:w="1550"/>
        <w:gridCol w:w="2900"/>
        <w:gridCol w:w="2338"/>
        <w:gridCol w:w="2100"/>
      </w:tblGrid>
      <w:tr>
        <w:trPr>
          <w:cantSplit/>
          <w:tblHeader/>
        </w:trPr>
        <w:tc>
          <w:tcPr>
            <w:tcW w:type="dxa" w:w="750"/>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5"/>
                <w:szCs w:val="15"/>
              </w:rPr>
              <w:t xml:space="preserve">CÓD.</w:t>
            </w:r>
          </w:p>
        </w:tc>
        <w:tc>
          <w:tcPr>
            <w:tcW w:type="dxa" w:w="1550"/>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5"/>
                <w:szCs w:val="15"/>
              </w:rPr>
              <w:t xml:space="preserve">DOCUMENTO / SECCIÓN</w:t>
            </w:r>
          </w:p>
        </w:tc>
        <w:tc>
          <w:tcPr>
            <w:tcW w:type="dxa" w:w="2900"/>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5"/>
                <w:szCs w:val="15"/>
              </w:rPr>
              <w:t xml:space="preserve">OBSERVACIÓN</w:t>
            </w:r>
          </w:p>
        </w:tc>
        <w:tc>
          <w:tcPr>
            <w:tcW w:type="dxa" w:w="2338"/>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5"/>
                <w:szCs w:val="15"/>
              </w:rPr>
              <w:t xml:space="preserve">LEVANTAMIENTO REQUERIDO</w:t>
            </w:r>
          </w:p>
        </w:tc>
        <w:tc>
          <w:tcPr>
            <w:tcW w:type="dxa" w:w="2100"/>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5"/>
                <w:szCs w:val="15"/>
              </w:rPr>
              <w:t xml:space="preserve">ESTADO AL CORTE</w:t>
            </w:r>
          </w:p>
        </w:tc>
      </w:tr>
      <w:tr>
        <w:trPr>
          <w:cantSplit/>
        </w:trPr>
        <w:tc>
          <w:tcPr>
            <w:tcW w:type="dxa" w:w="75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5"/>
                <w:szCs w:val="15"/>
              </w:rPr>
              <w:t xml:space="preserve">OM-01</w:t>
            </w:r>
          </w:p>
        </w:tc>
        <w:tc>
          <w:tcPr>
            <w:tcW w:type="dxa" w:w="155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Insumo OS 1147</w:t>
            </w:r>
          </w:p>
        </w:tc>
        <w:tc>
          <w:tcPr>
            <w:tcW w:type="dxa" w:w="29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La demanda de plantones (2.94 M) se calculó solo para Lotes SUS en 83 bloques.</w:t>
            </w:r>
          </w:p>
        </w:tc>
        <w:tc>
          <w:tcPr>
            <w:tcW w:type="dxa" w:w="23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Recalcular para los 117 bloques con las densidades, la mezcla y la reposición del E10 (hoja 16).</w:t>
            </w:r>
          </w:p>
        </w:tc>
        <w:tc>
          <w:tcPr>
            <w:tcW w:type="dxa" w:w="21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Pendiente</w:t>
            </w:r>
          </w:p>
        </w:tc>
      </w:tr>
      <w:tr>
        <w:trPr>
          <w:cantSplit/>
        </w:trPr>
        <w:tc>
          <w:tcPr>
            <w:tcW w:type="dxa" w:w="75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5"/>
                <w:szCs w:val="15"/>
              </w:rPr>
              <w:t xml:space="preserve">OM-02</w:t>
            </w:r>
          </w:p>
        </w:tc>
        <w:tc>
          <w:tcPr>
            <w:tcW w:type="dxa" w:w="155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Insumos de oferta</w:t>
            </w:r>
          </w:p>
        </w:tc>
        <w:tc>
          <w:tcPr>
            <w:tcW w:type="dxa" w:w="29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Ninguno de los viveros de gabinete está en los 15 distritos; oferta confirmada de 6,000 plantones.</w:t>
            </w:r>
          </w:p>
        </w:tc>
        <w:tc>
          <w:tcPr>
            <w:tcW w:type="dxa" w:w="23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Ampliar el directorio al ámbito.</w:t>
            </w:r>
          </w:p>
        </w:tc>
        <w:tc>
          <w:tcPr>
            <w:tcW w:type="dxa" w:w="21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Atendida parcialmente: 12 iniciativas; una con capacidad declarada (21,000)</w:t>
            </w:r>
          </w:p>
        </w:tc>
      </w:tr>
      <w:tr>
        <w:trPr>
          <w:cantSplit/>
        </w:trPr>
        <w:tc>
          <w:tcPr>
            <w:tcW w:type="dxa" w:w="75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5"/>
                <w:szCs w:val="15"/>
              </w:rPr>
              <w:t xml:space="preserve">OM-03</w:t>
            </w:r>
          </w:p>
        </w:tc>
        <w:tc>
          <w:tcPr>
            <w:tcW w:type="dxa" w:w="155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Insumo OS 2726</w:t>
            </w:r>
          </w:p>
        </w:tc>
        <w:tc>
          <w:tcPr>
            <w:tcW w:type="dxa" w:w="29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Costo paramétrico de S/ 12 por plantón sin análisis de costos unitarios.</w:t>
            </w:r>
          </w:p>
        </w:tc>
        <w:tc>
          <w:tcPr>
            <w:tcW w:type="dxa" w:w="23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Sustentar el costo por especie y tipo de vivero en el E10/E12.</w:t>
            </w:r>
          </w:p>
        </w:tc>
        <w:tc>
          <w:tcPr>
            <w:tcW w:type="dxa" w:w="21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Pendiente</w:t>
            </w:r>
          </w:p>
        </w:tc>
      </w:tr>
      <w:tr>
        <w:trPr>
          <w:cantSplit/>
        </w:trPr>
        <w:tc>
          <w:tcPr>
            <w:tcW w:type="dxa" w:w="75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5"/>
                <w:szCs w:val="15"/>
              </w:rPr>
              <w:t xml:space="preserve">OM-04</w:t>
            </w:r>
          </w:p>
        </w:tc>
        <w:tc>
          <w:tcPr>
            <w:tcW w:type="dxa" w:w="155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E6, fase 6</w:t>
            </w:r>
          </w:p>
        </w:tc>
        <w:tc>
          <w:tcPr>
            <w:tcW w:type="dxa" w:w="29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El censo remoto de viveros (encuesta KoboToolbox y verificación en imágenes) no se ha ejecutado.</w:t>
            </w:r>
          </w:p>
        </w:tc>
        <w:tc>
          <w:tcPr>
            <w:tcW w:type="dxa" w:w="23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Ejecutar el censo y calcular la oferta efectiva por especie.</w:t>
            </w:r>
          </w:p>
        </w:tc>
        <w:tc>
          <w:tcPr>
            <w:tcW w:type="dxa" w:w="21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Pendiente</w:t>
            </w:r>
          </w:p>
        </w:tc>
      </w:tr>
      <w:tr>
        <w:trPr>
          <w:cantSplit/>
        </w:trPr>
        <w:tc>
          <w:tcPr>
            <w:tcW w:type="dxa" w:w="75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5"/>
                <w:szCs w:val="15"/>
              </w:rPr>
              <w:t xml:space="preserve">OM-05</w:t>
            </w:r>
          </w:p>
        </w:tc>
        <w:tc>
          <w:tcPr>
            <w:tcW w:type="dxa" w:w="155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Plan Detallado</w:t>
            </w:r>
          </w:p>
        </w:tc>
        <w:tc>
          <w:tcPr>
            <w:tcW w:type="dxa" w:w="29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Plaza de Especialista en Infraestructura Rural para la Producción (viveros) desierta.</w:t>
            </w:r>
          </w:p>
        </w:tc>
        <w:tc>
          <w:tcPr>
            <w:tcW w:type="dxa" w:w="23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Reasignar formalmente las funciones antes del 23/10/2026.</w:t>
            </w:r>
          </w:p>
        </w:tc>
        <w:tc>
          <w:tcPr>
            <w:tcW w:type="dxa" w:w="21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Pendiente</w:t>
            </w:r>
          </w:p>
        </w:tc>
      </w:tr>
      <w:tr>
        <w:trPr>
          <w:cantSplit/>
        </w:trPr>
        <w:tc>
          <w:tcPr>
            <w:tcW w:type="dxa" w:w="75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5"/>
                <w:szCs w:val="15"/>
              </w:rPr>
              <w:t xml:space="preserve">OM-06</w:t>
            </w:r>
          </w:p>
        </w:tc>
        <w:tc>
          <w:tcPr>
            <w:tcW w:type="dxa" w:w="155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E6, 9.7</w:t>
            </w:r>
          </w:p>
        </w:tc>
        <w:tc>
          <w:tcPr>
            <w:tcW w:type="dxa" w:w="29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No se ha elaborado el mapa de fuentes de semilla (árboles semilleros y rodales).</w:t>
            </w:r>
          </w:p>
        </w:tc>
        <w:tc>
          <w:tcPr>
            <w:tcW w:type="dxa" w:w="23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Elaborarlo con viveristas, saberes ancestrales y registros de SERFOR.</w:t>
            </w:r>
          </w:p>
        </w:tc>
        <w:tc>
          <w:tcPr>
            <w:tcW w:type="dxa" w:w="21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Pendiente</w:t>
            </w:r>
          </w:p>
        </w:tc>
      </w:tr>
      <w:tr>
        <w:trPr>
          <w:cantSplit/>
        </w:trPr>
        <w:tc>
          <w:tcPr>
            <w:tcW w:type="dxa" w:w="75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5"/>
                <w:szCs w:val="15"/>
              </w:rPr>
              <w:t xml:space="preserve">OM-07</w:t>
            </w:r>
          </w:p>
        </w:tc>
        <w:tc>
          <w:tcPr>
            <w:tcW w:type="dxa" w:w="155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OS 1147 / E6 / E5</w:t>
            </w:r>
          </w:p>
        </w:tc>
        <w:tc>
          <w:tcPr>
            <w:tcW w:type="dxa" w:w="29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La priorización de 35 arbóreas y 34 arbustivas (OS 1147) y la lista del E6 no están conciliadas con las especies de la matriz suelo–intervención del E5.</w:t>
            </w:r>
          </w:p>
        </w:tc>
        <w:tc>
          <w:tcPr>
            <w:tcW w:type="dxa" w:w="23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Conciliar una lista única por piso, ecosistema y grupo de suelos.</w:t>
            </w:r>
          </w:p>
        </w:tc>
        <w:tc>
          <w:tcPr>
            <w:tcW w:type="dxa" w:w="21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Pendiente</w:t>
            </w:r>
          </w:p>
        </w:tc>
      </w:tr>
      <w:tr>
        <w:trPr>
          <w:cantSplit/>
        </w:trPr>
        <w:tc>
          <w:tcPr>
            <w:tcW w:type="dxa" w:w="75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5"/>
                <w:szCs w:val="15"/>
              </w:rPr>
              <w:t xml:space="preserve">OM-08</w:t>
            </w:r>
          </w:p>
        </w:tc>
        <w:tc>
          <w:tcPr>
            <w:tcW w:type="dxa" w:w="155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E6, Tabla 15</w:t>
            </w:r>
          </w:p>
        </w:tc>
        <w:tc>
          <w:tcPr>
            <w:tcW w:type="dxa" w:w="29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El vivero del entorno de M22B1 produce pino radiata, especie exótica.</w:t>
            </w:r>
          </w:p>
        </w:tc>
        <w:tc>
          <w:tcPr>
            <w:tcW w:type="dxa" w:w="23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Excluir de la oferta efectiva las especies no nativas o incompatibles.</w:t>
            </w:r>
          </w:p>
        </w:tc>
        <w:tc>
          <w:tcPr>
            <w:tcW w:type="dxa" w:w="21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Criterio a aplicar en el cálculo</w:t>
            </w:r>
          </w:p>
        </w:tc>
      </w:tr>
    </w:tbl>
    <w:p>
      <w:pPr>
        <w:spacing w:after="200" w:before="50"/>
        <w:jc w:val="both"/>
      </w:pPr>
      <w:r>
        <w:rPr>
          <w:rFonts w:ascii="Arial" w:cs="Arial" w:eastAsia="Arial" w:hAnsi="Arial"/>
          <w:i/>
          <w:iCs/>
          <w:color w:val="595959"/>
          <w:sz w:val="15"/>
          <w:szCs w:val="15"/>
        </w:rPr>
        <w:t xml:space="preserve">Fuente: revisión técnica del suscrito sobre los insumos de las OS 1147 y 2726, el plan v2.0 y el Informe E6.</w:t>
      </w:r>
    </w:p>
    <w:p>
      <w:pPr>
        <w:pStyle w:val="Heading2"/>
        <w:keepNext/>
      </w:pPr>
      <w:r>
        <w:t xml:space="preserve">3-B.5 Estado de la conformidad</w:t>
      </w:r>
    </w:p>
    <w:p>
      <w:pPr>
        <w:spacing w:after="120" w:line="276"/>
        <w:jc w:val="both"/>
      </w:pPr>
      <w:r>
        <w:rPr>
          <w:rFonts w:ascii="Arial" w:cs="Arial" w:eastAsia="Arial" w:hAnsi="Arial"/>
          <w:sz w:val="21"/>
          <w:szCs w:val="21"/>
        </w:rPr>
        <w:t xml:space="preserve">El componente de oferta de material vegetal es el de menor avance del E6: el directorio está identificado, pero el censo remoto, la oferta efectiva por especie, el mapa de fuentes semilleras y la brecha de viveros están pendientes. No corresponde conformidad al corte; su emisión requiere el levantamiento de las observaciones OM-01 a OM-07 y la entrega parcial al E10 de las especies priorizadas y de la brecha por escenarios, programada para el 18/11/2026.</w:t>
      </w:r>
    </w:p>
    <w:p>
      <w:pPr>
        <w:pStyle w:val="Heading1"/>
        <w:keepNext/>
      </w:pPr>
      <w:r>
        <w:t xml:space="preserve">4. CONCLUSIONES</w:t>
      </w:r>
    </w:p>
    <w:p>
      <w:pPr>
        <w:spacing w:after="120" w:line="276"/>
        <w:jc w:val="both"/>
      </w:pPr>
      <w:r>
        <w:rPr>
          <w:rFonts w:ascii="Arial" w:cs="Arial" w:eastAsia="Arial" w:hAnsi="Arial"/>
          <w:b/>
          <w:bCs/>
          <w:sz w:val="21"/>
          <w:szCs w:val="21"/>
        </w:rPr>
        <w:t xml:space="preserve">4.1. </w:t>
      </w:r>
      <w:r>
        <w:rPr>
          <w:rFonts w:ascii="Arial" w:cs="Arial" w:eastAsia="Arial" w:hAnsi="Arial"/>
          <w:sz w:val="21"/>
          <w:szCs w:val="21"/>
        </w:rPr>
        <w:t xml:space="preserve">El Diagnóstico del Estado de los Ecosistemas y el Estudio de Oferta de Material Vegetal se ejecutan como un solo Entregable 6 por Administración Directa, tras el procedimiento desierto y la alerta de El Niño Costero; su plan de trabajo fue revisado y actualizado de la versión 1.1 a la 2.0 «In house» y el Plan de Trabajo Detallado del Perfil fija su redacción final al 18/11/2026.</w:t>
      </w:r>
    </w:p>
    <w:p>
      <w:pPr>
        <w:spacing w:after="120" w:line="276"/>
        <w:jc w:val="both"/>
      </w:pPr>
      <w:r>
        <w:rPr>
          <w:rFonts w:ascii="Arial" w:cs="Arial" w:eastAsia="Arial" w:hAnsi="Arial"/>
          <w:b/>
          <w:bCs/>
          <w:sz w:val="21"/>
          <w:szCs w:val="21"/>
        </w:rPr>
        <w:t xml:space="preserve">4.2. </w:t>
      </w:r>
      <w:r>
        <w:rPr>
          <w:rFonts w:ascii="Arial" w:cs="Arial" w:eastAsia="Arial" w:hAnsi="Arial"/>
          <w:sz w:val="21"/>
          <w:szCs w:val="21"/>
        </w:rPr>
        <w:t xml:space="preserve">Se revisaron técnicamente los insumos de las OS 1147, 1148, 2357, 2726 y 2797, la Nota Técnica N° 002-2026 y el Informe E6; se formularon 13 observaciones al diagnóstico (OE) y 8 a la oferta (OM), de las cuales 4 están atendidas total o parcialmente.</w:t>
      </w:r>
    </w:p>
    <w:p>
      <w:pPr>
        <w:spacing w:after="120" w:line="276"/>
        <w:jc w:val="both"/>
      </w:pPr>
      <w:r>
        <w:rPr>
          <w:rFonts w:ascii="Arial" w:cs="Arial" w:eastAsia="Arial" w:hAnsi="Arial"/>
          <w:b/>
          <w:bCs/>
          <w:sz w:val="21"/>
          <w:szCs w:val="21"/>
        </w:rPr>
        <w:t xml:space="preserve">4.3. </w:t>
      </w:r>
      <w:r>
        <w:rPr>
          <w:rFonts w:ascii="Arial" w:cs="Arial" w:eastAsia="Arial" w:hAnsi="Arial"/>
          <w:sz w:val="21"/>
          <w:szCs w:val="21"/>
        </w:rPr>
        <w:t xml:space="preserve">El diagnóstico cuantifica 8,341.82 ha (68.0 %) bajo el umbral MSAVI y clasifica 14 bloques como moderados y 6 como severos; la validación ciega, la densificación del matorral andino y la consulta Delphi son condiciones para su conformidad.</w:t>
      </w:r>
    </w:p>
    <w:p>
      <w:pPr>
        <w:spacing w:after="120" w:line="276"/>
        <w:jc w:val="both"/>
      </w:pPr>
      <w:r>
        <w:rPr>
          <w:rFonts w:ascii="Arial" w:cs="Arial" w:eastAsia="Arial" w:hAnsi="Arial"/>
          <w:b/>
          <w:bCs/>
          <w:sz w:val="21"/>
          <w:szCs w:val="21"/>
        </w:rPr>
        <w:t xml:space="preserve">4.4. </w:t>
      </w:r>
      <w:r>
        <w:rPr>
          <w:rFonts w:ascii="Arial" w:cs="Arial" w:eastAsia="Arial" w:hAnsi="Arial"/>
          <w:sz w:val="21"/>
          <w:szCs w:val="21"/>
        </w:rPr>
        <w:t xml:space="preserve">La oferta de material vegetal identificada es mínima (21,000 plantones) frente a la escala de la intervención; el censo de viveros, la demanda para 117 bloques y la reasignación de la plaza de viveros son la ruta crítica del componente.</w:t>
      </w:r>
    </w:p>
    <w:p>
      <w:pPr>
        <w:pStyle w:val="Heading1"/>
        <w:keepNext/>
      </w:pPr>
      <w:r>
        <w:t xml:space="preserve">5. RECOMENDACIONES</w:t>
      </w:r>
    </w:p>
    <w:p>
      <w:pPr>
        <w:spacing w:after="120" w:line="276"/>
        <w:jc w:val="both"/>
      </w:pPr>
      <w:r>
        <w:rPr>
          <w:rFonts w:ascii="Arial" w:cs="Arial" w:eastAsia="Arial" w:hAnsi="Arial"/>
          <w:b/>
          <w:bCs/>
          <w:sz w:val="21"/>
          <w:szCs w:val="21"/>
        </w:rPr>
        <w:t xml:space="preserve">5.1. </w:t>
      </w:r>
      <w:r>
        <w:rPr>
          <w:rFonts w:ascii="Arial" w:cs="Arial" w:eastAsia="Arial" w:hAnsi="Arial"/>
          <w:sz w:val="21"/>
          <w:szCs w:val="21"/>
        </w:rPr>
        <w:t xml:space="preserve">Emitir el memorando de SESDI que acepte la adecuación metodológica y los ítems adaptados del índice (hito H7b).</w:t>
      </w:r>
    </w:p>
    <w:p>
      <w:pPr>
        <w:spacing w:after="120" w:line="276"/>
        <w:jc w:val="both"/>
      </w:pPr>
      <w:r>
        <w:rPr>
          <w:rFonts w:ascii="Arial" w:cs="Arial" w:eastAsia="Arial" w:hAnsi="Arial"/>
          <w:b/>
          <w:bCs/>
          <w:sz w:val="21"/>
          <w:szCs w:val="21"/>
        </w:rPr>
        <w:t xml:space="preserve">5.2. </w:t>
      </w:r>
      <w:r>
        <w:rPr>
          <w:rFonts w:ascii="Arial" w:cs="Arial" w:eastAsia="Arial" w:hAnsi="Arial"/>
          <w:sz w:val="21"/>
          <w:szCs w:val="21"/>
        </w:rPr>
        <w:t xml:space="preserve">Adoptar un criterio único de brecha para los 117 bloques y homologar las fechas del E6 entre su plan v2.0 y el Plan de Trabajo Detallado.</w:t>
      </w:r>
    </w:p>
    <w:p>
      <w:pPr>
        <w:spacing w:after="120" w:line="276"/>
        <w:jc w:val="both"/>
      </w:pPr>
      <w:r>
        <w:rPr>
          <w:rFonts w:ascii="Arial" w:cs="Arial" w:eastAsia="Arial" w:hAnsi="Arial"/>
          <w:b/>
          <w:bCs/>
          <w:sz w:val="21"/>
          <w:szCs w:val="21"/>
        </w:rPr>
        <w:t xml:space="preserve">5.3. </w:t>
      </w:r>
      <w:r>
        <w:rPr>
          <w:rFonts w:ascii="Arial" w:cs="Arial" w:eastAsia="Arial" w:hAnsi="Arial"/>
          <w:sz w:val="21"/>
          <w:szCs w:val="21"/>
        </w:rPr>
        <w:t xml:space="preserve">Ejecutar la validación ciega de 567 puntos, densificar el estrato de matorral andino bajo umbral y las referencias de altura, e incorporar el ACR Bosques Secos de Salitral–Huarmaca como referencia del piso A.</w:t>
      </w:r>
    </w:p>
    <w:p>
      <w:pPr>
        <w:spacing w:after="120" w:line="276"/>
        <w:jc w:val="both"/>
      </w:pPr>
      <w:r>
        <w:rPr>
          <w:rFonts w:ascii="Arial" w:cs="Arial" w:eastAsia="Arial" w:hAnsi="Arial"/>
          <w:b/>
          <w:bCs/>
          <w:sz w:val="21"/>
          <w:szCs w:val="21"/>
        </w:rPr>
        <w:t xml:space="preserve">5.4. </w:t>
      </w:r>
      <w:r>
        <w:rPr>
          <w:rFonts w:ascii="Arial" w:cs="Arial" w:eastAsia="Arial" w:hAnsi="Arial"/>
          <w:sz w:val="21"/>
          <w:szCs w:val="21"/>
        </w:rPr>
        <w:t xml:space="preserve">Reasignar formalmente la plaza de viveros, ejecutar el censo remoto y el mapa de fuentes semilleras, y entregar al E10 la oferta efectiva y la brecha de plantones por escenarios.</w:t>
      </w:r>
    </w:p>
    <w:p>
      <w:pPr>
        <w:spacing w:after="120" w:line="276"/>
        <w:jc w:val="both"/>
      </w:pPr>
      <w:r>
        <w:rPr>
          <w:rFonts w:ascii="Arial" w:cs="Arial" w:eastAsia="Arial" w:hAnsi="Arial"/>
          <w:b/>
          <w:bCs/>
          <w:sz w:val="21"/>
          <w:szCs w:val="21"/>
        </w:rPr>
        <w:t xml:space="preserve">5.5. </w:t>
      </w:r>
      <w:r>
        <w:rPr>
          <w:rFonts w:ascii="Arial" w:cs="Arial" w:eastAsia="Arial" w:hAnsi="Arial"/>
          <w:sz w:val="21"/>
          <w:szCs w:val="21"/>
        </w:rPr>
        <w:t xml:space="preserve">Conciliar una lista única de especies por piso, ecosistema y grupo de suelos entre el E6, la matriz suelo–intervención del E5 y los Lotes SUS, en coordinación con el Especialista en Intervenciones Vegetativas de Uso Sostenible.</w:t>
      </w:r>
    </w:p>
    <w:p>
      <w:pPr>
        <w:pStyle w:val="Heading1"/>
        <w:keepNext/>
      </w:pPr>
      <w:r>
        <w:t xml:space="preserve">6. MEDIOS VERIFICADORES</w:t>
      </w:r>
    </w:p>
    <w:p>
      <w:pPr>
        <w:keepNext/>
        <w:keepLines/>
        <w:spacing w:after="80" w:before="160"/>
      </w:pPr>
      <w:r>
        <w:rPr>
          <w:rFonts w:ascii="Arial" w:cs="Arial" w:eastAsia="Arial" w:hAnsi="Arial"/>
          <w:b/>
          <w:bCs/>
          <w:sz w:val="19"/>
          <w:szCs w:val="19"/>
        </w:rPr>
        <w:t xml:space="preserve">Cuadro N° A3.15. Medios verificadores de la actividad 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4138"/>
        <w:gridCol w:w="2000"/>
      </w:tblGrid>
      <w:tr>
        <w:trPr>
          <w:cantSplit/>
          <w:tblHeader/>
        </w:trPr>
        <w:tc>
          <w:tcPr>
            <w:tcW w:type="dxa" w:w="3500"/>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5"/>
                <w:szCs w:val="15"/>
              </w:rPr>
              <w:t xml:space="preserve">MEDIO VERIFICADOR</w:t>
            </w:r>
          </w:p>
        </w:tc>
        <w:tc>
          <w:tcPr>
            <w:tcW w:type="dxa" w:w="4138"/>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5"/>
                <w:szCs w:val="15"/>
              </w:rPr>
              <w:t xml:space="preserve">UBICACIÓN / IDENTIFICADOR</w:t>
            </w:r>
          </w:p>
        </w:tc>
        <w:tc>
          <w:tcPr>
            <w:tcW w:type="dxa" w:w="2000"/>
            <w:tcBorders>
              <w:top w:val="single" w:color="8C8C8C" w:sz="4"/>
              <w:left w:val="single" w:color="8C8C8C" w:sz="4"/>
              <w:bottom w:val="single" w:color="8C8C8C" w:sz="4"/>
              <w:right w:val="single" w:color="8C8C8C" w:sz="4"/>
            </w:tcBorders>
            <w:shd w:fill="1B4D2E" w:color="auto" w:val="clear"/>
            <w:tcMar>
              <w:top w:type="dxa" w:w="45"/>
              <w:left w:type="dxa" w:w="80"/>
              <w:bottom w:type="dxa" w:w="45"/>
              <w:right w:type="dxa" w:w="80"/>
            </w:tcMar>
            <w:vAlign w:val="center"/>
          </w:tcPr>
          <w:p>
            <w:pPr>
              <w:spacing w:after="0"/>
              <w:jc w:val="center"/>
            </w:pPr>
            <w:r>
              <w:rPr>
                <w:rFonts w:ascii="Arial" w:cs="Arial" w:eastAsia="Arial" w:hAnsi="Arial"/>
                <w:b/>
                <w:bCs/>
                <w:i w:val="false"/>
                <w:iCs w:val="false"/>
                <w:color w:val="FFFFFF"/>
                <w:sz w:val="15"/>
                <w:szCs w:val="15"/>
              </w:rPr>
              <w:t xml:space="preserve">FECHA</w:t>
            </w:r>
          </w:p>
        </w:tc>
      </w:tr>
      <w:tr>
        <w:trPr>
          <w:cantSplit/>
        </w:trPr>
        <w:tc>
          <w:tcPr>
            <w:tcW w:type="dxa" w:w="35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E6 v2.0 «In house» – versión original</w:t>
            </w:r>
          </w:p>
        </w:tc>
        <w:tc>
          <w:tcPr>
            <w:tcW w:type="dxa" w:w="41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Google Drive ID 1B3QsYMkodQVnK5ZwQU-7BI0t9Yn6xmoR</w:t>
            </w:r>
          </w:p>
        </w:tc>
        <w:tc>
          <w:tcPr>
            <w:tcW w:type="dxa" w:w="20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5"/>
                <w:szCs w:val="15"/>
              </w:rPr>
              <w:t xml:space="preserve">08/10/2026</w:t>
            </w:r>
          </w:p>
        </w:tc>
      </w:tr>
      <w:tr>
        <w:trPr>
          <w:cantSplit/>
        </w:trPr>
        <w:tc>
          <w:tcPr>
            <w:tcW w:type="dxa" w:w="35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E6 v2.0 – revisión del suscrito (Word, PDF y Markdown)</w:t>
            </w:r>
          </w:p>
        </w:tc>
        <w:tc>
          <w:tcPr>
            <w:tcW w:type="dxa" w:w="41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Google Drive ID 1rxdf63E-TOJpUEUWWazdkth6WjdwU4HY; 1lbr4-I5-OH8Nqd4hBccIEizEy3H-rV7V; 18FQxeA3WasWZOCjg4mVapnjQf6D_Est6</w:t>
            </w:r>
          </w:p>
        </w:tc>
        <w:tc>
          <w:tcPr>
            <w:tcW w:type="dxa" w:w="20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5"/>
                <w:szCs w:val="15"/>
              </w:rPr>
              <w:t xml:space="preserve">08–14/10/2026</w:t>
            </w:r>
          </w:p>
        </w:tc>
      </w:tr>
      <w:tr>
        <w:trPr>
          <w:cantSplit/>
        </w:trPr>
        <w:tc>
          <w:tcPr>
            <w:tcW w:type="dxa" w:w="35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Nota Técnica N° 002-2026-ANIN/DIME/SESDI (original y revisada)</w:t>
            </w:r>
          </w:p>
        </w:tc>
        <w:tc>
          <w:tcPr>
            <w:tcW w:type="dxa" w:w="41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Google Drive ID 1EZk6-sdLsbFfkiuI4jma4IxlTVsTSXyT; 137Syk2NZPG9bTZ8rwrxtpTmjbzOtLhTy; PDF 17Vt9Z1NBZPTGF933r4jhqFNu0N7MP-nR</w:t>
            </w:r>
          </w:p>
        </w:tc>
        <w:tc>
          <w:tcPr>
            <w:tcW w:type="dxa" w:w="20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5"/>
                <w:szCs w:val="15"/>
              </w:rPr>
              <w:t xml:space="preserve">13–14/10/2026</w:t>
            </w:r>
          </w:p>
        </w:tc>
      </w:tr>
      <w:tr>
        <w:trPr>
          <w:cantSplit/>
        </w:trPr>
        <w:tc>
          <w:tcPr>
            <w:tcW w:type="dxa" w:w="35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Informe E6 – versión para revisión de SESDI</w:t>
            </w:r>
          </w:p>
        </w:tc>
        <w:tc>
          <w:tcPr>
            <w:tcW w:type="dxa" w:w="41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Google Drive ID 1NfYjSV3QXI3uA4eHsMNQNTw9vdY5RdDA</w:t>
            </w:r>
          </w:p>
        </w:tc>
        <w:tc>
          <w:tcPr>
            <w:tcW w:type="dxa" w:w="20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5"/>
                <w:szCs w:val="15"/>
              </w:rPr>
              <w:t xml:space="preserve">15/10/2026</w:t>
            </w:r>
          </w:p>
        </w:tc>
      </w:tr>
      <w:tr>
        <w:trPr>
          <w:cantSplit/>
        </w:trPr>
        <w:tc>
          <w:tcPr>
            <w:tcW w:type="dxa" w:w="35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Matrices del diagnóstico del ecosistema (E6)</w:t>
            </w:r>
          </w:p>
        </w:tc>
        <w:tc>
          <w:tcPr>
            <w:tcW w:type="dxa" w:w="41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Google Drive ID 1Uie1il6FeHI4SD8QhKXsfDof7cm4NF8J</w:t>
            </w:r>
          </w:p>
        </w:tc>
        <w:tc>
          <w:tcPr>
            <w:tcW w:type="dxa" w:w="20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5"/>
                <w:szCs w:val="15"/>
              </w:rPr>
              <w:t xml:space="preserve">15/10/2026</w:t>
            </w:r>
          </w:p>
        </w:tc>
      </w:tr>
      <w:tr>
        <w:trPr>
          <w:cantSplit/>
        </w:trPr>
        <w:tc>
          <w:tcPr>
            <w:tcW w:type="dxa" w:w="35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Plan de Trabajo Detallado, Actualización N° 02, y matrices de planificación</w:t>
            </w:r>
          </w:p>
        </w:tc>
        <w:tc>
          <w:tcPr>
            <w:tcW w:type="dxa" w:w="41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Google Drive ID 1QkhMG4cWkPFAyhxOH8qtaWG2YVCCJsGy; 1EF3u3btVKiK2DcUKrHYcJZv-4co_arCc</w:t>
            </w:r>
          </w:p>
        </w:tc>
        <w:tc>
          <w:tcPr>
            <w:tcW w:type="dxa" w:w="20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5"/>
                <w:szCs w:val="15"/>
              </w:rPr>
              <w:t xml:space="preserve">16–17/10/2026</w:t>
            </w:r>
          </w:p>
        </w:tc>
      </w:tr>
      <w:tr>
        <w:trPr>
          <w:cantSplit/>
        </w:trPr>
        <w:tc>
          <w:tcPr>
            <w:tcW w:type="dxa" w:w="35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Tablero de avance del Perfil (revisión de entregables OS 1147, 1148, 2357, 2726 y 2797)</w:t>
            </w:r>
          </w:p>
        </w:tc>
        <w:tc>
          <w:tcPr>
            <w:tcW w:type="dxa" w:w="41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Google Drive ID 1wRdIvYH8ni8kbj3XsDKa0cgrgSIdVWn6</w:t>
            </w:r>
          </w:p>
        </w:tc>
        <w:tc>
          <w:tcPr>
            <w:tcW w:type="dxa" w:w="20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5"/>
                <w:szCs w:val="15"/>
              </w:rPr>
              <w:t xml:space="preserve">03/10/2026</w:t>
            </w:r>
          </w:p>
        </w:tc>
      </w:tr>
      <w:tr>
        <w:trPr>
          <w:cantSplit/>
        </w:trPr>
        <w:tc>
          <w:tcPr>
            <w:tcW w:type="dxa" w:w="35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Entregables de las OS insumo del E6</w:t>
            </w:r>
          </w:p>
        </w:tc>
        <w:tc>
          <w:tcPr>
            <w:tcW w:type="dxa" w:w="41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Google Drive: PRIMER/SEGUNDO/TERCER_ENTREGABLE de las OS 1147, 1148, 2357, 2726 y 2797</w:t>
            </w:r>
          </w:p>
        </w:tc>
        <w:tc>
          <w:tcPr>
            <w:tcW w:type="dxa" w:w="20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5"/>
                <w:szCs w:val="15"/>
              </w:rPr>
              <w:t xml:space="preserve">22/09/2026</w:t>
            </w:r>
          </w:p>
        </w:tc>
      </w:tr>
      <w:tr>
        <w:trPr>
          <w:cantSplit/>
        </w:trPr>
        <w:tc>
          <w:tcPr>
            <w:tcW w:type="dxa" w:w="35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Referencia técnica de fuentes semilleras</w:t>
            </w:r>
          </w:p>
        </w:tc>
        <w:tc>
          <w:tcPr>
            <w:tcW w:type="dxa" w:w="4138"/>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Google Drive ID 1hS8QlbTu_Ks05061BV4FAbAqbfUpikzy («Fuentes semilleras de los Bosques Secos»)</w:t>
            </w:r>
          </w:p>
        </w:tc>
        <w:tc>
          <w:tcPr>
            <w:tcW w:type="dxa" w:w="20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5"/>
                <w:szCs w:val="15"/>
              </w:rPr>
              <w:t xml:space="preserve">—</w:t>
            </w:r>
          </w:p>
        </w:tc>
      </w:tr>
      <w:tr>
        <w:trPr>
          <w:cantSplit/>
        </w:trPr>
        <w:tc>
          <w:tcPr>
            <w:tcW w:type="dxa" w:w="35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Matrices de observaciones en formato nativo</w:t>
            </w:r>
          </w:p>
        </w:tc>
        <w:tc>
          <w:tcPr>
            <w:tcW w:type="dxa" w:w="4138"/>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left"/>
            </w:pPr>
            <w:r>
              <w:rPr>
                <w:rFonts w:ascii="Arial" w:cs="Arial" w:eastAsia="Arial" w:hAnsi="Arial"/>
                <w:b w:val="false"/>
                <w:bCs w:val="false"/>
                <w:i w:val="false"/>
                <w:iCs w:val="false"/>
                <w:sz w:val="15"/>
                <w:szCs w:val="15"/>
              </w:rPr>
              <w:t xml:space="preserve">Anexo 4 (Excel), hojas «Obs_E6_Ecosistemas» y «Obs_E6_Material_vegetal»</w:t>
            </w:r>
          </w:p>
        </w:tc>
        <w:tc>
          <w:tcPr>
            <w:tcW w:type="dxa" w:w="2000"/>
            <w:tcBorders>
              <w:top w:val="single" w:color="8C8C8C" w:sz="4"/>
              <w:left w:val="single" w:color="8C8C8C" w:sz="4"/>
              <w:bottom w:val="single" w:color="8C8C8C" w:sz="4"/>
              <w:right w:val="single" w:color="8C8C8C" w:sz="4"/>
            </w:tcBorders>
            <w:shd w:fill="E8F0EA" w:color="auto" w:val="clear"/>
            <w:tcMar>
              <w:top w:type="dxa" w:w="45"/>
              <w:left w:type="dxa" w:w="80"/>
              <w:bottom w:type="dxa" w:w="45"/>
              <w:right w:type="dxa" w:w="80"/>
            </w:tcMar>
            <w:vAlign w:val="center"/>
          </w:tcPr>
          <w:p>
            <w:pPr>
              <w:spacing w:after="0"/>
              <w:jc w:val="center"/>
            </w:pPr>
            <w:r>
              <w:rPr>
                <w:rFonts w:ascii="Arial" w:cs="Arial" w:eastAsia="Arial" w:hAnsi="Arial"/>
                <w:b w:val="false"/>
                <w:bCs w:val="false"/>
                <w:i w:val="false"/>
                <w:iCs w:val="false"/>
                <w:sz w:val="15"/>
                <w:szCs w:val="15"/>
              </w:rPr>
              <w:t xml:space="preserve">Octubre 2026</w:t>
            </w:r>
          </w:p>
        </w:tc>
      </w:tr>
    </w:tbl>
    <w:p>
      <w:pPr>
        <w:spacing w:after="200" w:before="50"/>
        <w:jc w:val="both"/>
      </w:pPr>
      <w:r>
        <w:rPr>
          <w:rFonts w:ascii="Arial" w:cs="Arial" w:eastAsia="Arial" w:hAnsi="Arial"/>
          <w:i/>
          <w:iCs/>
          <w:color w:val="595959"/>
          <w:sz w:val="15"/>
          <w:szCs w:val="15"/>
        </w:rPr>
        <w:t xml:space="preserve">Fuente: elaboración propia.</w:t>
      </w:r>
    </w:p>
    <w:sectPr>
      <w:headerReference w:type="default" r:id="rId17"/>
      <w:footerReference w:type="default" r:id="rId18"/>
      <w:pgSz w:w="11906" w:h="16838" w:orient="portrait"/>
      <w:pgMar w:top="1560" w:right="1134" w:bottom="1200" w:left="1134" w:header="56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pPr>
    <w:r>
      <w:rPr>
        <w:rFonts w:ascii="Arial" w:cs="Arial" w:eastAsia="Arial" w:hAnsi="Arial"/>
        <w:sz w:val="21"/>
        <w:szCs w:val="21"/>
      </w:rPr>
      <w:t xml:space="preserve"/>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99999" w:sz="4" w:space="4"/>
      </w:pBdr>
      <w:jc w:val="center"/>
    </w:pPr>
    <w:r>
      <w:rPr>
        <w:rFonts w:ascii="Arial" w:cs="Arial" w:eastAsia="Arial" w:hAnsi="Arial"/>
        <w:color w:val="595959"/>
        <w:sz w:val="15"/>
        <w:szCs w:val="15"/>
      </w:rPr>
      <w:t xml:space="preserve">Anexo N° 3 · Informe N° 008-2026-HSCM · Segundo Entregable · OS N° 4062-2026 · Página </w:t>
    </w:r>
    <w:r>
      <w:rPr>
        <w:rFonts w:ascii="Arial" w:cs="Arial" w:eastAsia="Arial" w:hAnsi="Arial"/>
        <w:color w:val="595959"/>
        <w:sz w:val="15"/>
        <w:szCs w:val="15"/>
      </w:rPr>
      <w:fldChar w:fldCharType="begin"/>
      <w:instrText xml:space="preserve">PAGE</w:instrText>
      <w:fldChar w:fldCharType="separate"/>
      <w:fldChar w:fldCharType="end"/>
    </w:r>
    <w:r>
      <w:rPr>
        <w:rFonts w:ascii="Arial" w:cs="Arial" w:eastAsia="Arial" w:hAnsi="Arial"/>
        <w:color w:val="595959"/>
        <w:sz w:val="15"/>
        <w:szCs w:val="15"/>
      </w:rPr>
      <w:t xml:space="preserve"> de </w:t>
    </w:r>
    <w:r>
      <w:rPr>
        <w:rFonts w:ascii="Arial" w:cs="Arial" w:eastAsia="Arial" w:hAnsi="Arial"/>
        <w:color w:val="595959"/>
        <w:sz w:val="15"/>
        <w:szCs w:val="15"/>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pPr>
    <w:r>
      <w:rPr>
        <w:rFonts w:ascii="Arial" w:cs="Arial" w:eastAsia="Arial" w:hAnsi="Arial"/>
        <w:sz w:val="21"/>
        <w:szCs w:val="21"/>
      </w:rPr>
      <w:t xml:space="preserve"/>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99999" w:sz="4" w:space="4"/>
      </w:pBdr>
      <w:jc w:val="center"/>
    </w:pPr>
    <w:r>
      <w:rPr>
        <w:rFonts w:ascii="Arial" w:cs="Arial" w:eastAsia="Arial" w:hAnsi="Arial"/>
        <w:color w:val="595959"/>
        <w:sz w:val="15"/>
        <w:szCs w:val="15"/>
      </w:rPr>
      <w:t xml:space="preserve">Anexo N° 3 · Informe N° 008-2026-HSCM · Segundo Entregable · OS N° 4062-2026 · Página </w:t>
    </w:r>
    <w:r>
      <w:rPr>
        <w:rFonts w:ascii="Arial" w:cs="Arial" w:eastAsia="Arial" w:hAnsi="Arial"/>
        <w:color w:val="595959"/>
        <w:sz w:val="15"/>
        <w:szCs w:val="15"/>
      </w:rPr>
      <w:fldChar w:fldCharType="begin"/>
      <w:instrText xml:space="preserve">PAGE</w:instrText>
      <w:fldChar w:fldCharType="separate"/>
      <w:fldChar w:fldCharType="end"/>
    </w:r>
    <w:r>
      <w:rPr>
        <w:rFonts w:ascii="Arial" w:cs="Arial" w:eastAsia="Arial" w:hAnsi="Arial"/>
        <w:color w:val="595959"/>
        <w:sz w:val="15"/>
        <w:szCs w:val="15"/>
      </w:rPr>
      <w:t xml:space="preserve"> de </w:t>
    </w:r>
    <w:r>
      <w:rPr>
        <w:rFonts w:ascii="Arial" w:cs="Arial" w:eastAsia="Arial" w:hAnsi="Arial"/>
        <w:color w:val="595959"/>
        <w:sz w:val="15"/>
        <w:szCs w:val="15"/>
      </w:rPr>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pPr>
    <w:r>
      <w:rPr>
        <w:rFonts w:ascii="Arial" w:cs="Arial" w:eastAsia="Arial" w:hAnsi="Arial"/>
        <w:sz w:val="21"/>
        <w:szCs w:val="21"/>
      </w:rPr>
      <w:t xml:space="preserve"/>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99999" w:sz="4" w:space="4"/>
      </w:pBdr>
      <w:jc w:val="center"/>
    </w:pPr>
    <w:r>
      <w:rPr>
        <w:rFonts w:ascii="Arial" w:cs="Arial" w:eastAsia="Arial" w:hAnsi="Arial"/>
        <w:color w:val="595959"/>
        <w:sz w:val="15"/>
        <w:szCs w:val="15"/>
      </w:rPr>
      <w:t xml:space="preserve">Anexo N° 3 · Informe N° 008-2026-HSCM · Segundo Entregable · OS N° 4062-2026 · Página </w:t>
    </w:r>
    <w:r>
      <w:rPr>
        <w:rFonts w:ascii="Arial" w:cs="Arial" w:eastAsia="Arial" w:hAnsi="Arial"/>
        <w:color w:val="595959"/>
        <w:sz w:val="15"/>
        <w:szCs w:val="15"/>
      </w:rPr>
      <w:fldChar w:fldCharType="begin"/>
      <w:instrText xml:space="preserve">PAGE</w:instrText>
      <w:fldChar w:fldCharType="separate"/>
      <w:fldChar w:fldCharType="end"/>
    </w:r>
    <w:r>
      <w:rPr>
        <w:rFonts w:ascii="Arial" w:cs="Arial" w:eastAsia="Arial" w:hAnsi="Arial"/>
        <w:color w:val="595959"/>
        <w:sz w:val="15"/>
        <w:szCs w:val="15"/>
      </w:rPr>
      <w:t xml:space="preserve"> de </w:t>
    </w:r>
    <w:r>
      <w:rPr>
        <w:rFonts w:ascii="Arial" w:cs="Arial" w:eastAsia="Arial" w:hAnsi="Arial"/>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center"/>
    </w:pPr>
    <w:r>
      <w:rPr>
        <w:rFonts w:ascii="Arial" w:cs="Arial" w:eastAsia="Arial" w:hAnsi="Arial"/>
        <w:b/>
        <w:bCs/>
        <w:color w:val="1B4D2E"/>
        <w:sz w:val="17"/>
        <w:szCs w:val="17"/>
      </w:rPr>
      <w:t xml:space="preserve">AUTORIDAD NACIONAL DE INFRAESTRUCTURA — ANIN</w:t>
    </w:r>
  </w:p>
  <w:p>
    <w:pPr>
      <w:spacing w:after="0"/>
      <w:jc w:val="center"/>
    </w:pPr>
    <w:r>
      <w:rPr>
        <w:rFonts w:ascii="Arial" w:cs="Arial" w:eastAsia="Arial" w:hAnsi="Arial"/>
        <w:b w:val="false"/>
        <w:bCs w:val="false"/>
        <w:color w:val="1B4D2E"/>
        <w:sz w:val="14"/>
        <w:szCs w:val="14"/>
      </w:rPr>
      <w:t xml:space="preserve">DIRECCIÓN DE INTERVENCIONES MULTISECTORIALES Y DE EMERGENCIA — DIME</w:t>
    </w:r>
  </w:p>
  <w:p>
    <w:pPr>
      <w:pBdr>
        <w:bottom w:val="single" w:color="1B4D2E" w:sz="6" w:space="4"/>
      </w:pBdr>
      <w:spacing w:after="0"/>
      <w:jc w:val="center"/>
    </w:pPr>
    <w:r>
      <w:rPr>
        <w:rFonts w:ascii="Arial" w:cs="Arial" w:eastAsia="Arial" w:hAnsi="Arial"/>
        <w:b w:val="false"/>
        <w:bCs w:val="false"/>
        <w:color w:val="1B4D2E"/>
        <w:sz w:val="14"/>
        <w:szCs w:val="14"/>
      </w:rPr>
      <w:t xml:space="preserve">SUBDIRECCIÓN DE ESTUDIOS DE INVERSIÓN — SESDI</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center"/>
    </w:pPr>
    <w:r>
      <w:rPr>
        <w:rFonts w:ascii="Arial" w:cs="Arial" w:eastAsia="Arial" w:hAnsi="Arial"/>
        <w:b/>
        <w:bCs/>
        <w:color w:val="1B4D2E"/>
        <w:sz w:val="17"/>
        <w:szCs w:val="17"/>
      </w:rPr>
      <w:t xml:space="preserve">AUTORIDAD NACIONAL DE INFRAESTRUCTURA — ANIN</w:t>
    </w:r>
  </w:p>
  <w:p>
    <w:pPr>
      <w:spacing w:after="0"/>
      <w:jc w:val="center"/>
    </w:pPr>
    <w:r>
      <w:rPr>
        <w:rFonts w:ascii="Arial" w:cs="Arial" w:eastAsia="Arial" w:hAnsi="Arial"/>
        <w:b w:val="false"/>
        <w:bCs w:val="false"/>
        <w:color w:val="1B4D2E"/>
        <w:sz w:val="14"/>
        <w:szCs w:val="14"/>
      </w:rPr>
      <w:t xml:space="preserve">DIRECCIÓN DE INTERVENCIONES MULTISECTORIALES Y DE EMERGENCIA — DIME</w:t>
    </w:r>
  </w:p>
  <w:p>
    <w:pPr>
      <w:pBdr>
        <w:bottom w:val="single" w:color="1B4D2E" w:sz="6" w:space="4"/>
      </w:pBdr>
      <w:spacing w:after="0"/>
      <w:jc w:val="center"/>
    </w:pPr>
    <w:r>
      <w:rPr>
        <w:rFonts w:ascii="Arial" w:cs="Arial" w:eastAsia="Arial" w:hAnsi="Arial"/>
        <w:b w:val="false"/>
        <w:bCs w:val="false"/>
        <w:color w:val="1B4D2E"/>
        <w:sz w:val="14"/>
        <w:szCs w:val="14"/>
      </w:rPr>
      <w:t xml:space="preserve">SUBDIRECCIÓN DE ESTUDIOS DE INVERSIÓN — SESDI</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center"/>
    </w:pPr>
    <w:r>
      <w:rPr>
        <w:rFonts w:ascii="Arial" w:cs="Arial" w:eastAsia="Arial" w:hAnsi="Arial"/>
        <w:b/>
        <w:bCs/>
        <w:color w:val="1B4D2E"/>
        <w:sz w:val="17"/>
        <w:szCs w:val="17"/>
      </w:rPr>
      <w:t xml:space="preserve">AUTORIDAD NACIONAL DE INFRAESTRUCTURA — ANIN</w:t>
    </w:r>
  </w:p>
  <w:p>
    <w:pPr>
      <w:spacing w:after="0"/>
      <w:jc w:val="center"/>
    </w:pPr>
    <w:r>
      <w:rPr>
        <w:rFonts w:ascii="Arial" w:cs="Arial" w:eastAsia="Arial" w:hAnsi="Arial"/>
        <w:b w:val="false"/>
        <w:bCs w:val="false"/>
        <w:color w:val="1B4D2E"/>
        <w:sz w:val="14"/>
        <w:szCs w:val="14"/>
      </w:rPr>
      <w:t xml:space="preserve">DIRECCIÓN DE INTERVENCIONES MULTISECTORIALES Y DE EMERGENCIA — DIME</w:t>
    </w:r>
  </w:p>
  <w:p>
    <w:pPr>
      <w:pBdr>
        <w:bottom w:val="single" w:color="1B4D2E" w:sz="6" w:space="4"/>
      </w:pBdr>
      <w:spacing w:after="0"/>
      <w:jc w:val="center"/>
    </w:pPr>
    <w:r>
      <w:rPr>
        <w:rFonts w:ascii="Arial" w:cs="Arial" w:eastAsia="Arial" w:hAnsi="Arial"/>
        <w:b w:val="false"/>
        <w:bCs w:val="false"/>
        <w:color w:val="1B4D2E"/>
        <w:sz w:val="14"/>
        <w:szCs w:val="14"/>
      </w:rPr>
      <w:t xml:space="preserve">SUBDIRECCIÓN DE ESTUDIOS DE INVERSIÓN — SESDI</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center"/>
    </w:pPr>
    <w:r>
      <w:rPr>
        <w:rFonts w:ascii="Arial" w:cs="Arial" w:eastAsia="Arial" w:hAnsi="Arial"/>
        <w:b/>
        <w:bCs/>
        <w:color w:val="1B4D2E"/>
        <w:sz w:val="17"/>
        <w:szCs w:val="17"/>
      </w:rPr>
      <w:t xml:space="preserve">AUTORIDAD NACIONAL DE INFRAESTRUCTURA — ANIN</w:t>
    </w:r>
  </w:p>
  <w:p>
    <w:pPr>
      <w:spacing w:after="0"/>
      <w:jc w:val="center"/>
    </w:pPr>
    <w:r>
      <w:rPr>
        <w:rFonts w:ascii="Arial" w:cs="Arial" w:eastAsia="Arial" w:hAnsi="Arial"/>
        <w:b w:val="false"/>
        <w:bCs w:val="false"/>
        <w:color w:val="1B4D2E"/>
        <w:sz w:val="14"/>
        <w:szCs w:val="14"/>
      </w:rPr>
      <w:t xml:space="preserve">DIRECCIÓN DE INTERVENCIONES MULTISECTORIALES Y DE EMERGENCIA — DIME</w:t>
    </w:r>
  </w:p>
  <w:p>
    <w:pPr>
      <w:pBdr>
        <w:bottom w:val="single" w:color="1B4D2E" w:sz="6" w:space="4"/>
      </w:pBdr>
      <w:spacing w:after="0"/>
      <w:jc w:val="center"/>
    </w:pPr>
    <w:r>
      <w:rPr>
        <w:rFonts w:ascii="Arial" w:cs="Arial" w:eastAsia="Arial" w:hAnsi="Arial"/>
        <w:b w:val="false"/>
        <w:bCs w:val="false"/>
        <w:color w:val="1B4D2E"/>
        <w:sz w:val="14"/>
        <w:szCs w:val="14"/>
      </w:rPr>
      <w:t xml:space="preserve">SUBDIRECCIÓN DE ESTUDIOS DE INVERSIÓN — SESDI</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center"/>
    </w:pPr>
    <w:r>
      <w:rPr>
        <w:rFonts w:ascii="Arial" w:cs="Arial" w:eastAsia="Arial" w:hAnsi="Arial"/>
        <w:b/>
        <w:bCs/>
        <w:color w:val="1B4D2E"/>
        <w:sz w:val="17"/>
        <w:szCs w:val="17"/>
      </w:rPr>
      <w:t xml:space="preserve">AUTORIDAD NACIONAL DE INFRAESTRUCTURA — ANIN</w:t>
    </w:r>
  </w:p>
  <w:p>
    <w:pPr>
      <w:spacing w:after="0"/>
      <w:jc w:val="center"/>
    </w:pPr>
    <w:r>
      <w:rPr>
        <w:rFonts w:ascii="Arial" w:cs="Arial" w:eastAsia="Arial" w:hAnsi="Arial"/>
        <w:b w:val="false"/>
        <w:bCs w:val="false"/>
        <w:color w:val="1B4D2E"/>
        <w:sz w:val="14"/>
        <w:szCs w:val="14"/>
      </w:rPr>
      <w:t xml:space="preserve">DIRECCIÓN DE INTERVENCIONES MULTISECTORIALES Y DE EMERGENCIA — DIME</w:t>
    </w:r>
  </w:p>
  <w:p>
    <w:pPr>
      <w:pBdr>
        <w:bottom w:val="single" w:color="1B4D2E" w:sz="6" w:space="4"/>
      </w:pBdr>
      <w:spacing w:after="0"/>
      <w:jc w:val="center"/>
    </w:pPr>
    <w:r>
      <w:rPr>
        <w:rFonts w:ascii="Arial" w:cs="Arial" w:eastAsia="Arial" w:hAnsi="Arial"/>
        <w:b w:val="false"/>
        <w:bCs w:val="false"/>
        <w:color w:val="1B4D2E"/>
        <w:sz w:val="14"/>
        <w:szCs w:val="14"/>
      </w:rPr>
      <w:t xml:space="preserve">SUBDIRECCIÓN DE ESTUDIOS DE INVERSIÓN — SESDI</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center"/>
    </w:pPr>
    <w:r>
      <w:rPr>
        <w:rFonts w:ascii="Arial" w:cs="Arial" w:eastAsia="Arial" w:hAnsi="Arial"/>
        <w:b/>
        <w:bCs/>
        <w:color w:val="1B4D2E"/>
        <w:sz w:val="17"/>
        <w:szCs w:val="17"/>
      </w:rPr>
      <w:t xml:space="preserve">AUTORIDAD NACIONAL DE INFRAESTRUCTURA — ANIN</w:t>
    </w:r>
  </w:p>
  <w:p>
    <w:pPr>
      <w:spacing w:after="0"/>
      <w:jc w:val="center"/>
    </w:pPr>
    <w:r>
      <w:rPr>
        <w:rFonts w:ascii="Arial" w:cs="Arial" w:eastAsia="Arial" w:hAnsi="Arial"/>
        <w:b w:val="false"/>
        <w:bCs w:val="false"/>
        <w:color w:val="1B4D2E"/>
        <w:sz w:val="14"/>
        <w:szCs w:val="14"/>
      </w:rPr>
      <w:t xml:space="preserve">DIRECCIÓN DE INTERVENCIONES MULTISECTORIALES Y DE EMERGENCIA — DIME</w:t>
    </w:r>
  </w:p>
  <w:p>
    <w:pPr>
      <w:pBdr>
        <w:bottom w:val="single" w:color="1B4D2E" w:sz="6" w:space="4"/>
      </w:pBdr>
      <w:spacing w:after="0"/>
      <w:jc w:val="center"/>
    </w:pPr>
    <w:r>
      <w:rPr>
        <w:rFonts w:ascii="Arial" w:cs="Arial" w:eastAsia="Arial" w:hAnsi="Arial"/>
        <w:b w:val="false"/>
        <w:bCs w:val="false"/>
        <w:color w:val="1B4D2E"/>
        <w:sz w:val="14"/>
        <w:szCs w:val="14"/>
      </w:rPr>
      <w:t xml:space="preserve">SUBDIRECCIÓN DE ESTUDIOS DE INVERSIÓN — SESDI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6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Arial" w:cs="Arial" w:eastAsia="Arial" w:hAnsi="Arial"/>
      <w:b/>
      <w:bCs/>
      <w:color w:val="1B4D2E"/>
      <w:sz w:val="24"/>
      <w:szCs w:val="24"/>
    </w:rPr>
  </w:style>
  <w:style w:type="paragraph" w:styleId="Heading2">
    <w:name w:val="Heading 2"/>
    <w:basedOn w:val="Normal"/>
    <w:next w:val="Normal"/>
    <w:qFormat/>
    <w:pPr>
      <w:spacing w:after="100" w:before="220"/>
      <w:outlineLvl w:val="1"/>
    </w:pPr>
    <w:rPr>
      <w:rFonts w:ascii="Arial" w:cs="Arial" w:eastAsia="Arial" w:hAnsi="Arial"/>
      <w:b/>
      <w:bCs/>
      <w:color w:val="1B4D2E"/>
      <w:sz w:val="22"/>
      <w:szCs w:val="22"/>
    </w:rPr>
  </w:style>
  <w:style w:type="paragraph" w:styleId="Heading3">
    <w:name w:val="Heading 3"/>
    <w:basedOn w:val="Normal"/>
    <w:next w:val="Normal"/>
    <w:qFormat/>
    <w:pPr>
      <w:spacing w:after="80" w:before="160"/>
      <w:outlineLvl w:val="2"/>
    </w:pPr>
    <w:rPr>
      <w:rFonts w:ascii="Arial" w:cs="Arial" w:eastAsia="Arial" w:hAnsi="Arial"/>
      <w:b/>
      <w:bCs/>
      <w:color w:val="2E5E3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image" Target="media/d769fa62c032b14a8f80a48dfd7157904015f34e.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Anexo N° 3 – Actividad d)</dc:title>
  <dc:creator>Ing. Héctor Salomón Cahuas Miller</dc:creator>
  <cp:lastModifiedBy>Un-named</cp:lastModifiedBy>
  <cp:revision>1</cp:revision>
  <dcterms:created xsi:type="dcterms:W3CDTF">2026-10-17T19:04:24.741Z</dcterms:created>
  <dcterms:modified xsi:type="dcterms:W3CDTF">2026-10-17T19:04:24.741Z</dcterms:modified>
</cp:coreProperties>
</file>

<file path=docProps/custom.xml><?xml version="1.0" encoding="utf-8"?>
<Properties xmlns="http://schemas.openxmlformats.org/officeDocument/2006/custom-properties" xmlns:vt="http://schemas.openxmlformats.org/officeDocument/2006/docPropsVTypes"/>
</file>