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B4F72"/>
          <w:sz w:val="24"/>
          <w:szCs w:val="24"/>
        </w:rPr>
        <w:t xml:space="preserve">AUTORIDAD NACIONAL DE INFRAESTRUCTURA — ANIN</w:t>
      </w:r>
    </w:p>
    <w:p>
      <w:pPr>
        <w:spacing w:after="0"/>
        <w:jc w:val="center"/>
      </w:pPr>
      <w:r>
        <w:rPr>
          <w:rFonts w:ascii="Arial" w:cs="Arial" w:eastAsia="Arial" w:hAnsi="Arial"/>
          <w:color w:val="2E86AB"/>
          <w:sz w:val="19"/>
          <w:szCs w:val="19"/>
        </w:rPr>
        <w:t xml:space="preserve">DIRECCIÓN DE INTERVENCIONES MULTISECTORIALES Y DE EMERGENCIA — DIME</w:t>
      </w:r>
    </w:p>
    <w:p>
      <w:pPr>
        <w:spacing w:after="360"/>
        <w:jc w:val="center"/>
      </w:pPr>
      <w:r>
        <w:rPr>
          <w:rFonts w:ascii="Arial" w:cs="Arial" w:eastAsia="Arial" w:hAnsi="Arial"/>
          <w:color w:val="2E86AB"/>
          <w:sz w:val="19"/>
          <w:szCs w:val="19"/>
        </w:rPr>
        <w:t xml:space="preserve">SUBDIRECCIÓN DE ESTUDIOS DE INVERSIÓN — SESDI</w:t>
      </w:r>
    </w:p>
    <w:p>
      <w:pPr>
        <w:spacing w:after="80"/>
        <w:jc w:val="center"/>
      </w:pPr>
      <w:r>
        <w:rPr>
          <w:rFonts w:ascii="Arial" w:cs="Arial" w:eastAsia="Arial" w:hAnsi="Arial"/>
          <w:b/>
          <w:bCs/>
          <w:color w:val="1B4F72"/>
          <w:sz w:val="30"/>
          <w:szCs w:val="30"/>
        </w:rPr>
        <w:t xml:space="preserve">INFORME TÉCNICO DE LECTURA INTEGRADA DE ÍNDICES DE VEGETACIÓN</w:t>
      </w:r>
    </w:p>
    <w:p>
      <w:pPr>
        <w:spacing w:after="40"/>
        <w:jc w:val="center"/>
      </w:pPr>
      <w:r>
        <w:rPr>
          <w:rFonts w:ascii="Arial" w:cs="Arial" w:eastAsia="Arial" w:hAnsi="Arial"/>
          <w:color w:val="2E86AB"/>
          <w:sz w:val="22"/>
          <w:szCs w:val="22"/>
        </w:rPr>
        <w:t xml:space="preserve">NDVI mediana 2025 × MSAVI 2024 — 59 bloques preliminares de intervención</w:t>
      </w:r>
    </w:p>
    <w:p>
      <w:pPr>
        <w:spacing w:after="280"/>
        <w:jc w:val="center"/>
      </w:pPr>
      <w:r>
        <w:rPr>
          <w:rFonts w:ascii="Arial" w:cs="Arial" w:eastAsia="Arial" w:hAnsi="Arial"/>
          <w:b/>
          <w:bCs/>
          <w:i/>
          <w:iCs/>
          <w:sz w:val="19"/>
          <w:szCs w:val="19"/>
        </w:rPr>
        <w:t xml:space="preserve">Versión 2.0 — definitiva · Sustituye la versión 1.0 de 58 bloques</w:t>
      </w:r>
    </w:p>
    <w:p>
      <w:pPr>
        <w:spacing w:after="40"/>
        <w:jc w:val="center"/>
      </w:pPr>
      <w:r>
        <w:rPr>
          <w:rFonts w:ascii="Arial" w:cs="Arial" w:eastAsia="Arial" w:hAnsi="Arial"/>
          <w:i/>
          <w:iCs/>
          <w:sz w:val="20"/>
          <w:szCs w:val="20"/>
        </w:rPr>
        <w:t xml:space="preserve">Proyecto: «Recuperación del servicio de regulación de riesgos naturales y recuperación de ecosistemas degradados en la Cuenca Alta del Río Piura»</w:t>
      </w:r>
    </w:p>
    <w:p>
      <w:pPr>
        <w:spacing w:after="320"/>
        <w:jc w:val="center"/>
      </w:pPr>
      <w:r>
        <w:rPr>
          <w:rFonts w:ascii="Arial" w:cs="Arial" w:eastAsia="Arial" w:hAnsi="Arial"/>
          <w:sz w:val="19"/>
          <w:szCs w:val="19"/>
        </w:rPr>
        <w:t xml:space="preserve">CUI 2669244 · Fase de Formulación y Evaluación — Estudio de Preinversión a nivel de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Campo</w:t>
            </w:r>
          </w:p>
        </w:tc>
        <w:tc>
          <w:tcPr>
            <w:tcW w:type="dxa" w:w="64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Detalle</w:t>
            </w:r>
          </w:p>
        </w:tc>
      </w:tr>
      <w:tr>
        <w:tc>
          <w:tcPr>
            <w:tcW w:type="dxa" w:w="2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Código Único de Inversiones (CUI)</w:t>
            </w:r>
          </w:p>
        </w:tc>
        <w:tc>
          <w:tcPr>
            <w:tcW w:type="dxa" w:w="64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2669244</w:t>
            </w:r>
          </w:p>
        </w:tc>
      </w:tr>
      <w:tr>
        <w:tc>
          <w:tcPr>
            <w:tcW w:type="dxa" w:w="2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Ámbito del presente informe</w:t>
            </w:r>
          </w:p>
        </w:tc>
        <w:tc>
          <w:tcPr>
            <w:tcW w:type="dxa" w:w="64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Provincia de Morropón — 59 bloques preliminares de intervención, 9 distritos</w:t>
            </w:r>
          </w:p>
        </w:tc>
      </w:tr>
      <w:tr>
        <w:tc>
          <w:tcPr>
            <w:tcW w:type="dxa" w:w="2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Superficie analizada</w:t>
            </w:r>
          </w:p>
        </w:tc>
        <w:tc>
          <w:tcPr>
            <w:tcW w:type="dxa" w:w="64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7,327.367 ha</w:t>
            </w:r>
          </w:p>
        </w:tc>
      </w:tr>
      <w:tr>
        <w:tc>
          <w:tcPr>
            <w:tcW w:type="dxa" w:w="2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Insumos cartográficos</w:t>
            </w:r>
          </w:p>
        </w:tc>
        <w:tc>
          <w:tcPr>
            <w:tcW w:type="dxa" w:w="64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NDVI mediana 2025 (Sentinel-2, Banda 1) — 59 láminas PNG; MSAVI Piura 2024 (Banda 1) — 59 láminas PNG; catálogo tbl_Bloques V6 (área y MSAVI zonal 2024)</w:t>
            </w:r>
          </w:p>
        </w:tc>
      </w:tr>
      <w:tr>
        <w:tc>
          <w:tcPr>
            <w:tcW w:type="dxa" w:w="2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Ajuste de clasificación</w:t>
            </w:r>
          </w:p>
        </w:tc>
        <w:tc>
          <w:tcPr>
            <w:tcW w:type="dxa" w:w="64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Único para las 118 láminas; sin diferencias de parámetros entre lotes</w:t>
            </w:r>
          </w:p>
        </w:tc>
      </w:tr>
      <w:tr>
        <w:tc>
          <w:tcPr>
            <w:tcW w:type="dxa" w:w="2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Sistema de coordenadas</w:t>
            </w:r>
          </w:p>
        </w:tc>
        <w:tc>
          <w:tcPr>
            <w:tcW w:type="dxa" w:w="64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UTM WGS 84 — Zona 17S</w:t>
            </w:r>
          </w:p>
        </w:tc>
      </w:tr>
      <w:tr>
        <w:tc>
          <w:tcPr>
            <w:tcW w:type="dxa" w:w="2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Elaboración</w:t>
            </w:r>
          </w:p>
        </w:tc>
        <w:tc>
          <w:tcPr>
            <w:tcW w:type="dxa" w:w="64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Ing. Héctor Salomón Cahuas Miller — Especialista Forestal, SESDI</w:t>
            </w:r>
          </w:p>
        </w:tc>
      </w:tr>
      <w:tr>
        <w:tc>
          <w:tcPr>
            <w:tcW w:type="dxa" w:w="2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Modalidad de ejecución</w:t>
            </w:r>
          </w:p>
        </w:tc>
        <w:tc>
          <w:tcPr>
            <w:tcW w:type="dxa" w:w="64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Administración Directa</w:t>
            </w:r>
          </w:p>
        </w:tc>
      </w:tr>
      <w:tr>
        <w:tc>
          <w:tcPr>
            <w:tcW w:type="dxa" w:w="2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Fecha de emisión</w:t>
            </w:r>
          </w:p>
        </w:tc>
        <w:tc>
          <w:tcPr>
            <w:tcW w:type="dxa" w:w="64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8"/>
                <w:szCs w:val="18"/>
              </w:rPr>
              <w:t xml:space="preserve">Agosto de 2026</w:t>
            </w:r>
          </w:p>
        </w:tc>
      </w:tr>
    </w:tbl>
    <w:p>
      <w:pPr>
        <w:pStyle w:val="Heading1"/>
        <w:spacing w:after="140" w:before="280"/>
      </w:pPr>
      <w:r>
        <w:rPr>
          <w:rFonts w:ascii="Arial" w:cs="Arial" w:eastAsia="Arial" w:hAnsi="Arial"/>
          <w:b/>
          <w:bCs/>
          <w:color w:val="1B4F72"/>
          <w:sz w:val="26"/>
          <w:szCs w:val="26"/>
        </w:rPr>
        <w:t xml:space="preserve">1. Objeto y alcance</w:t>
      </w:r>
    </w:p>
    <w:p>
      <w:pPr>
        <w:spacing w:after="120" w:line="264"/>
        <w:jc w:val="both"/>
      </w:pPr>
      <w:r>
        <w:rPr>
          <w:rFonts w:ascii="Arial" w:cs="Arial" w:eastAsia="Arial" w:hAnsi="Arial"/>
          <w:b w:val="false"/>
          <w:bCs w:val="false"/>
          <w:i w:val="false"/>
          <w:iCs w:val="false"/>
          <w:color w:val="000000"/>
          <w:sz w:val="20"/>
          <w:szCs w:val="20"/>
        </w:rPr>
        <w:t xml:space="preserve">El presente informe desarrolla la lectura pareada de los dos índices de vegetación disponibles en el Proyecto IN Piura —el NDVI mediana 2025 y el MSAVI 2024, ambos derivados de Sentinel-2— sobre los 59 bloques preliminares de intervención de la provincia de Morropón, con una superficie conjunta de 7,327.367 ha. Replica, a escala del conjunto de bloques, el análisis desarrollado en las secciones 3.2 a 3.4 del Informe Técnico de Diagnóstico Territorial del bloque M6B2-1.</w:t>
      </w:r>
    </w:p>
    <w:p>
      <w:pPr>
        <w:spacing w:after="120" w:line="264"/>
        <w:jc w:val="both"/>
      </w:pPr>
      <w:r>
        <w:rPr>
          <w:rFonts w:ascii="Arial" w:cs="Arial" w:eastAsia="Arial" w:hAnsi="Arial"/>
          <w:b w:val="false"/>
          <w:bCs w:val="false"/>
          <w:i w:val="false"/>
          <w:iCs w:val="false"/>
          <w:color w:val="000000"/>
          <w:sz w:val="20"/>
          <w:szCs w:val="20"/>
        </w:rPr>
        <w:t xml:space="preserve">Esta versión 2.0 sustituye a la versión 1.0. Tres hechos justifican la sustitución: la cartografía MSAVI de los 59 bloques quedó disponible en el proyecto, lo que permite pasar del contraste entre distribución NDVI y valor zonal medio del MSAVI a un pareo de distribuciones internas de ambos índices; se incorporó el bloque M2B5, que carecía de lámina NDVI en la versión anterior, completando el universo de 59 bloques; y ambos índices se reprocesaron bajo un único ajuste de clasificación, con lo que se resolvió la contaminación de la clase «no vegetal» por la simbología de red vial.</w:t>
      </w:r>
    </w:p>
    <w:p>
      <w:pPr>
        <w:spacing w:after="120" w:line="264"/>
        <w:jc w:val="both"/>
      </w:pPr>
      <w:r>
        <w:rPr>
          <w:rFonts w:ascii="Arial" w:cs="Arial" w:eastAsia="Arial" w:hAnsi="Arial"/>
          <w:b w:val="false"/>
          <w:bCs w:val="false"/>
          <w:i w:val="false"/>
          <w:iCs w:val="false"/>
          <w:color w:val="000000"/>
          <w:sz w:val="20"/>
          <w:szCs w:val="20"/>
        </w:rPr>
        <w:t xml:space="preserve">La Unidad Productora del proyecto es el ecosistema forestal en su conjunto —bosques estacionalmente secos de colina y montaña, matorrales, suelos, cobertura vegetal y red natural de drenaje—, de modo que la cobertura vegetal no es un atributo descriptivo del territorio sino el indicador directo del estado de la propia UP y de su capacidad de provisión del servicio de regulación de riesgos naturales.</w:t>
      </w:r>
    </w:p>
    <w:p>
      <w:pPr>
        <w:spacing w:after="60" w:line="264"/>
        <w:jc w:val="both"/>
      </w:pPr>
      <w:r>
        <w:rPr>
          <w:rFonts w:ascii="Arial" w:cs="Arial" w:eastAsia="Arial" w:hAnsi="Arial"/>
          <w:b w:val="false"/>
          <w:bCs w:val="false"/>
          <w:i w:val="false"/>
          <w:iCs w:val="false"/>
          <w:color w:val="000000"/>
          <w:sz w:val="20"/>
          <w:szCs w:val="20"/>
        </w:rPr>
        <w:t xml:space="preserve">Objetivos específicos:</w:t>
      </w:r>
    </w:p>
    <w:p>
      <w:pPr>
        <w:spacing w:after="60" w:line="264"/>
        <w:jc w:val="both"/>
      </w:pPr>
      <w:r>
        <w:rPr>
          <w:rFonts w:ascii="Arial" w:cs="Arial" w:eastAsia="Arial" w:hAnsi="Arial"/>
          <w:b w:val="false"/>
          <w:bCs w:val="false"/>
          <w:i w:val="false"/>
          <w:iCs w:val="false"/>
          <w:color w:val="000000"/>
          <w:sz w:val="20"/>
          <w:szCs w:val="20"/>
        </w:rPr>
        <w:t xml:space="preserve">— Cuantificar la distribución interna de las cinco clases del NDVI mediana 2025 y de las cinco clases del MSAVI 2024 en cada bloque.</w:t>
      </w:r>
    </w:p>
    <w:p>
      <w:pPr>
        <w:spacing w:after="60" w:line="264"/>
        <w:jc w:val="both"/>
      </w:pPr>
      <w:r>
        <w:rPr>
          <w:rFonts w:ascii="Arial" w:cs="Arial" w:eastAsia="Arial" w:hAnsi="Arial"/>
          <w:b w:val="false"/>
          <w:bCs w:val="false"/>
          <w:i w:val="false"/>
          <w:iCs w:val="false"/>
          <w:color w:val="000000"/>
          <w:sz w:val="20"/>
          <w:szCs w:val="20"/>
        </w:rPr>
        <w:t xml:space="preserve">— Contrastar ambas distribuciones y explicitar las divergencias, diferenciando el verdor estacional del estado estructural del dosel.</w:t>
      </w:r>
    </w:p>
    <w:p>
      <w:pPr>
        <w:spacing w:after="60" w:line="264"/>
        <w:jc w:val="both"/>
      </w:pPr>
      <w:r>
        <w:rPr>
          <w:rFonts w:ascii="Arial" w:cs="Arial" w:eastAsia="Arial" w:hAnsi="Arial"/>
          <w:b w:val="false"/>
          <w:bCs w:val="false"/>
          <w:i w:val="false"/>
          <w:iCs w:val="false"/>
          <w:color w:val="000000"/>
          <w:sz w:val="20"/>
          <w:szCs w:val="20"/>
        </w:rPr>
        <w:t xml:space="preserve">— Derivar, para cada bloque, la superficie asignable a restauración activa, enriquecimiento y conservación, como base para el dimensionamiento de metas físicas.</w:t>
      </w:r>
    </w:p>
    <w:p>
      <w:pPr>
        <w:spacing w:after="60" w:line="264"/>
        <w:jc w:val="both"/>
      </w:pPr>
      <w:r>
        <w:rPr>
          <w:rFonts w:ascii="Arial" w:cs="Arial" w:eastAsia="Arial" w:hAnsi="Arial"/>
          <w:b w:val="false"/>
          <w:bCs w:val="false"/>
          <w:i w:val="false"/>
          <w:iCs w:val="false"/>
          <w:color w:val="000000"/>
          <w:sz w:val="20"/>
          <w:szCs w:val="20"/>
        </w:rPr>
        <w:t xml:space="preserve">— Establecer la línea base de seguimiento del indicador de brecha de la RM N.° 00213-2024-MINAM.</w:t>
      </w:r>
    </w:p>
    <w:p>
      <w:pPr>
        <w:pStyle w:val="Heading1"/>
        <w:spacing w:after="140" w:before="280"/>
      </w:pPr>
      <w:r>
        <w:rPr>
          <w:rFonts w:ascii="Arial" w:cs="Arial" w:eastAsia="Arial" w:hAnsi="Arial"/>
          <w:b/>
          <w:bCs/>
          <w:color w:val="1B4F72"/>
          <w:sz w:val="26"/>
          <w:szCs w:val="26"/>
        </w:rPr>
        <w:t xml:space="preserve">2. Fuentes y método</w:t>
      </w:r>
    </w:p>
    <w:p>
      <w:pPr>
        <w:pStyle w:val="Heading2"/>
        <w:spacing w:after="100" w:before="220"/>
      </w:pPr>
      <w:r>
        <w:rPr>
          <w:rFonts w:ascii="Arial" w:cs="Arial" w:eastAsia="Arial" w:hAnsi="Arial"/>
          <w:b/>
          <w:bCs/>
          <w:color w:val="2E86AB"/>
          <w:sz w:val="22"/>
          <w:szCs w:val="22"/>
        </w:rPr>
        <w:t xml:space="preserve">2.1 Fuentes de información</w:t>
      </w:r>
    </w:p>
    <w:p>
      <w:pPr>
        <w:spacing w:after="120" w:line="264"/>
        <w:jc w:val="both"/>
      </w:pPr>
      <w:r>
        <w:rPr>
          <w:rFonts w:ascii="Arial" w:cs="Arial" w:eastAsia="Arial" w:hAnsi="Arial"/>
          <w:b w:val="false"/>
          <w:bCs w:val="false"/>
          <w:i w:val="false"/>
          <w:iCs w:val="false"/>
          <w:color w:val="000000"/>
          <w:sz w:val="20"/>
          <w:szCs w:val="20"/>
        </w:rPr>
        <w:t xml:space="preserve">Se emplearon exclusivamente fuentes internas del proyecto: las 59 láminas «NDVI_Bloque_[código].png» con el ráster NDVI mediana 2025 clasificado en cinco clases cualitativas (clase no vegetal, tierra desnuda, vegetación ligera, vegetación mediana y vegetación alta); las 59 láminas «MSAVI_[código].png» con el ráster MSAVI Piura 2024 clasificado en cinco clases numéricas (≤ 0.2650; 0.2650–0.3813; 0.3813–0.4976; 0.4976–0.6139; &gt; 0.6139); y el catálogo tbl_Bloques V6, del que se tomaron los campos AREA_HA y MSAVI_2024. No se incorporó ningún dato estimado ni proveniente de fuentes externas.</w:t>
      </w:r>
    </w:p>
    <w:p>
      <w:pPr>
        <w:pStyle w:val="Heading2"/>
        <w:spacing w:after="100" w:before="220"/>
      </w:pPr>
      <w:r>
        <w:rPr>
          <w:rFonts w:ascii="Arial" w:cs="Arial" w:eastAsia="Arial" w:hAnsi="Arial"/>
          <w:b/>
          <w:bCs/>
          <w:color w:val="2E86AB"/>
          <w:sz w:val="22"/>
          <w:szCs w:val="22"/>
        </w:rPr>
        <w:t xml:space="preserve">2.2 Método de extracción — ajuste único</w:t>
      </w:r>
    </w:p>
    <w:p>
      <w:pPr>
        <w:spacing w:after="120" w:line="264"/>
        <w:jc w:val="both"/>
      </w:pPr>
      <w:r>
        <w:rPr>
          <w:rFonts w:ascii="Arial" w:cs="Arial" w:eastAsia="Arial" w:hAnsi="Arial"/>
          <w:b w:val="false"/>
          <w:bCs w:val="false"/>
          <w:i w:val="false"/>
          <w:iCs w:val="false"/>
          <w:color w:val="000000"/>
          <w:sz w:val="20"/>
          <w:szCs w:val="20"/>
        </w:rPr>
        <w:t xml:space="preserve">Las 118 láminas se procesaron bajo un mismo ajuste de clasificación, sin diferencias de parámetros entre lotes. Cada píxel se contrasta con los cinco colores de la rampa RdYlGn de la leyenda —(215,25,27), (253,174,97), (255,255,191), (166,217,106) y (26,150,65)— con tolerancia de ±30 unidades RGB por canal. Para la clase 1 se añade una tolerancia estricta de ±12 en el canal azul, que separa el rojo del ráster (canal azul = 27) del rojo de la red vial (canal azul ≈ 0). La unión de las cinco máscaras se dilata cinco iteraciones para puentear la cuadrícula, las curvas de nivel y el límite del bloque; se etiquetan las componentes conexas y se descartan las menores a 20,000 píxeles, con lo que se eliminan los recuadros de leyenda y las etiquetas. La distribución porcentual resultante se traduce a superficie multiplicando por el área del bloque del catálogo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2"/>
              <w:left w:val="single" w:color="1B4F72" w:sz="12"/>
              <w:bottom w:val="single" w:color="1B4F72" w:sz="12"/>
              <w:right w:val="single" w:color="1B4F72" w:sz="12"/>
            </w:tcBorders>
            <w:shd w:fill="F2F6F9" w:color="auto" w:val="clear"/>
            <w:tcMar>
              <w:top w:type="dxa" w:w="120"/>
              <w:left w:type="dxa" w:w="140"/>
              <w:bottom w:type="dxa" w:w="120"/>
              <w:right w:type="dxa" w:w="140"/>
            </w:tcMar>
          </w:tcPr>
          <w:p>
            <w:pPr>
              <w:spacing w:after="60"/>
            </w:pPr>
            <w:r>
              <w:rPr>
                <w:rFonts w:ascii="Arial" w:cs="Arial" w:eastAsia="Arial" w:hAnsi="Arial"/>
                <w:b/>
                <w:bCs/>
                <w:color w:val="1B4F72"/>
                <w:sz w:val="19"/>
                <w:szCs w:val="19"/>
              </w:rPr>
              <w:t xml:space="preserve">EFECTO DEL AJUSTE ÚNICO SOBRE LA CLASE «NO VEGETAL»</w:t>
            </w:r>
          </w:p>
          <w:p>
            <w:pPr>
              <w:spacing w:after="60" w:line="250"/>
              <w:jc w:val="both"/>
            </w:pPr>
            <w:r>
              <w:rPr>
                <w:rFonts w:ascii="Arial" w:cs="Arial" w:eastAsia="Arial" w:hAnsi="Arial"/>
                <w:sz w:val="19"/>
                <w:szCs w:val="19"/>
              </w:rPr>
              <w:t xml:space="preserve">La versión 1.0 registraba 148.16 ha (2.04 % del ámbito) en la clase «no vegetal» del NDVI y advertía que esa cifra debía tratarse como límite superior por compartir simbología con la red vial. Con el filtro de canal azul del ajuste único la clase se reduce a 22.69 ha (0.31 %), y ningún bloque supera el 3 %. La diferencia —125.5 ha— es atribuible en su totalidad a simbología vial. La advertencia queda subsanada y la superficie de la clase deja de requerir verificación visual previa a su uso en metas físicas.</w:t>
            </w:r>
          </w:p>
        </w:tc>
      </w:tr>
    </w:tbl>
    <w:p>
      <w:pPr>
        <w:spacing w:after="160"/>
      </w:pPr>
    </w:p>
    <w:p>
      <w:pPr>
        <w:pStyle w:val="Heading2"/>
        <w:spacing w:after="100" w:before="220"/>
      </w:pPr>
      <w:r>
        <w:rPr>
          <w:rFonts w:ascii="Arial" w:cs="Arial" w:eastAsia="Arial" w:hAnsi="Arial"/>
          <w:b/>
          <w:bCs/>
          <w:color w:val="2E86AB"/>
          <w:sz w:val="22"/>
          <w:szCs w:val="22"/>
        </w:rPr>
        <w:t xml:space="preserve">2.3 Validación</w:t>
      </w:r>
    </w:p>
    <w:p>
      <w:pPr>
        <w:spacing w:after="120" w:line="264"/>
        <w:jc w:val="both"/>
      </w:pPr>
      <w:r>
        <w:rPr>
          <w:rFonts w:ascii="Arial" w:cs="Arial" w:eastAsia="Arial" w:hAnsi="Arial"/>
          <w:b w:val="false"/>
          <w:bCs w:val="false"/>
          <w:i w:val="false"/>
          <w:iCs w:val="false"/>
          <w:color w:val="000000"/>
          <w:sz w:val="20"/>
          <w:szCs w:val="20"/>
        </w:rPr>
        <w:t xml:space="preserve">El MSAVI reconstruido a partir de la distribución de clases —media ponderada con pesos 0.1982 / 0.32315 / 0.43945 / 0.55575 / 0.7199, donde los tres centrales son el punto medio exacto de clase y los dos extremos se calibraron por mínimos cuadrados contra el catálogo, por tratarse de clases abiertas— reproduce el valor zonal del catálogo V6 con un coeficiente de correlación de Pearson r = 0.9983, una diferencia absoluta media de 0.0072 y un desvío máximo de 0.0193 sobre los 59 bloques. Adicionalmente, el índice NDVI ponderado derivado de las láminas correlaciona con el MSAVI zonal del catálogo con r = 0.9522. Se trata de fuentes independientes: la concordancia respalda la validez de la extracción por paleta.</w:t>
      </w:r>
    </w:p>
    <w:p>
      <w:pPr>
        <w:spacing w:after="120" w:line="264"/>
        <w:jc w:val="both"/>
      </w:pPr>
      <w:r>
        <w:rPr>
          <w:rFonts w:ascii="Arial" w:cs="Arial" w:eastAsia="Arial" w:hAnsi="Arial"/>
          <w:b w:val="false"/>
          <w:bCs w:val="false"/>
          <w:i/>
          <w:iCs/>
          <w:color w:val="000000"/>
          <w:sz w:val="20"/>
          <w:szCs w:val="20"/>
        </w:rPr>
        <w:t xml:space="preserve">Advertencia metodológica: tanto el índice NDVI ponderado como el MSAVI reconstruido son estadísticos de comparación interna construidos para este análisis, no valores zonales medidos. Su función es verificar la consistencia de la extracción y ordenar los bloques; los valores de decisión son los porcentajes por clase, las superficies derivadas y el MSAVI zonal del catálogo V6.</w:t>
      </w:r>
    </w:p>
    <w:p>
      <w:pPr>
        <w:pStyle w:val="Heading1"/>
        <w:spacing w:after="140" w:before="280"/>
      </w:pPr>
      <w:r>
        <w:rPr>
          <w:rFonts w:ascii="Arial" w:cs="Arial" w:eastAsia="Arial" w:hAnsi="Arial"/>
          <w:b/>
          <w:bCs/>
          <w:color w:val="1B4F72"/>
          <w:sz w:val="26"/>
          <w:szCs w:val="26"/>
        </w:rPr>
        <w:t xml:space="preserve">3. Resultados agregados</w:t>
      </w:r>
    </w:p>
    <w:p>
      <w:pPr>
        <w:spacing w:after="120" w:line="264"/>
        <w:jc w:val="both"/>
      </w:pPr>
      <w:r>
        <w:rPr>
          <w:rFonts w:ascii="Arial" w:cs="Arial" w:eastAsia="Arial" w:hAnsi="Arial"/>
          <w:b w:val="false"/>
          <w:bCs w:val="false"/>
          <w:i w:val="false"/>
          <w:iCs w:val="false"/>
          <w:color w:val="000000"/>
          <w:sz w:val="20"/>
          <w:szCs w:val="20"/>
        </w:rPr>
        <w:t xml:space="preserve">El conjunto de los 59 bloques presenta un MSAVI zonal ponderado por superficie de 0.3793, valor que se sitúa en el límite superior de la clase de cobertura baja (0.2650–0.3813) de la leyenda del proyecto. Ambos índices arrojan, sobre la misma superficie, las siguientes distribuciones.</w:t>
      </w:r>
    </w:p>
    <w:p>
      <w:pPr>
        <w:spacing w:after="80" w:line="264"/>
        <w:jc w:val="left"/>
      </w:pPr>
      <w:r>
        <w:rPr>
          <w:rFonts w:ascii="Arial" w:cs="Arial" w:eastAsia="Arial" w:hAnsi="Arial"/>
          <w:b/>
          <w:bCs/>
          <w:i w:val="false"/>
          <w:iCs w:val="false"/>
          <w:color w:val="000000"/>
          <w:sz w:val="20"/>
          <w:szCs w:val="20"/>
        </w:rPr>
        <w:t xml:space="preserve">Tabla 1. Distribución interna del MSAVI 2024 y superficie derivada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1400"/>
        <w:gridCol w:w="1700"/>
      </w:tblGrid>
      <w:tr>
        <w:trPr>
          <w:tblHeader/>
        </w:trPr>
        <w:tc>
          <w:tcPr>
            <w:tcW w:type="dxa" w:w="22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Clase MSAVI 2024</w:t>
            </w:r>
          </w:p>
        </w:tc>
        <w:tc>
          <w:tcPr>
            <w:tcW w:type="dxa" w:w="40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Lectura del estado de la cobertura</w:t>
            </w:r>
          </w:p>
        </w:tc>
        <w:tc>
          <w:tcPr>
            <w:tcW w:type="dxa" w:w="14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 del ámbito</w:t>
            </w:r>
          </w:p>
        </w:tc>
        <w:tc>
          <w:tcPr>
            <w:tcW w:type="dxa" w:w="17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Superficie (ha)</w:t>
            </w:r>
          </w:p>
        </w:tc>
      </w:tr>
      <w:tr>
        <w:tc>
          <w:tcPr>
            <w:tcW w:type="dxa" w:w="2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 0.2650</w:t>
            </w:r>
          </w:p>
        </w:tc>
        <w:tc>
          <w:tcPr>
            <w:tcW w:type="dxa" w:w="40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Cobertura muy escasa o suelo predominantemente expuesto</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10.9 %</w:t>
            </w:r>
          </w:p>
        </w:tc>
        <w:tc>
          <w:tcPr>
            <w:tcW w:type="dxa" w:w="1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800.86</w:t>
            </w:r>
          </w:p>
        </w:tc>
      </w:tr>
      <w:tr>
        <w:tc>
          <w:tcPr>
            <w:tcW w:type="dxa" w:w="22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0.2650 – 0.3813</w:t>
            </w:r>
          </w:p>
        </w:tc>
        <w:tc>
          <w:tcPr>
            <w:tcW w:type="dxa" w:w="40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Bosque seco ralo con degradación difusa</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49.6 %</w:t>
            </w:r>
          </w:p>
        </w:tc>
        <w:tc>
          <w:tcPr>
            <w:tcW w:type="dxa" w:w="1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3,633.21</w:t>
            </w:r>
          </w:p>
        </w:tc>
      </w:tr>
      <w:tr>
        <w:tc>
          <w:tcPr>
            <w:tcW w:type="dxa" w:w="2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0.3813 – 0.4976</w:t>
            </w:r>
          </w:p>
        </w:tc>
        <w:tc>
          <w:tcPr>
            <w:tcW w:type="dxa" w:w="40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Cobertura intermedia</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24.3 %</w:t>
            </w:r>
          </w:p>
        </w:tc>
        <w:tc>
          <w:tcPr>
            <w:tcW w:type="dxa" w:w="1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1,783.25</w:t>
            </w:r>
          </w:p>
        </w:tc>
      </w:tr>
      <w:tr>
        <w:tc>
          <w:tcPr>
            <w:tcW w:type="dxa" w:w="22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0.4976 – 0.6139</w:t>
            </w:r>
          </w:p>
        </w:tc>
        <w:tc>
          <w:tcPr>
            <w:tcW w:type="dxa" w:w="40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Cobertura moderada a densa</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8.1 %</w:t>
            </w:r>
          </w:p>
        </w:tc>
        <w:tc>
          <w:tcPr>
            <w:tcW w:type="dxa" w:w="1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592.03</w:t>
            </w:r>
          </w:p>
        </w:tc>
      </w:tr>
      <w:tr>
        <w:tc>
          <w:tcPr>
            <w:tcW w:type="dxa" w:w="2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&gt; 0.6139</w:t>
            </w:r>
          </w:p>
        </w:tc>
        <w:tc>
          <w:tcPr>
            <w:tcW w:type="dxa" w:w="40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Cobertura densa</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7.1 %</w:t>
            </w:r>
          </w:p>
        </w:tc>
        <w:tc>
          <w:tcPr>
            <w:tcW w:type="dxa" w:w="1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517.95</w:t>
            </w:r>
          </w:p>
        </w:tc>
      </w:tr>
      <w:tr>
        <w:tc>
          <w:tcPr>
            <w:tcW w:type="dxa" w:w="22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6"/>
                <w:szCs w:val="16"/>
              </w:rPr>
              <w:t xml:space="preserve">TOTAL</w:t>
            </w:r>
          </w:p>
        </w:tc>
        <w:tc>
          <w:tcPr>
            <w:tcW w:type="dxa" w:w="40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6"/>
                <w:szCs w:val="16"/>
              </w:rPr>
              <w:t xml:space="preserve">—</w:t>
            </w:r>
          </w:p>
        </w:tc>
        <w:tc>
          <w:tcPr>
            <w:tcW w:type="dxa" w:w="14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100.0 %</w:t>
            </w:r>
          </w:p>
        </w:tc>
        <w:tc>
          <w:tcPr>
            <w:tcW w:type="dxa" w:w="17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7,327.37</w:t>
            </w:r>
          </w:p>
        </w:tc>
      </w:tr>
    </w:tbl>
    <w:p>
      <w:pPr>
        <w:spacing w:after="200" w:line="264"/>
        <w:jc w:val="left"/>
      </w:pPr>
      <w:r>
        <w:rPr>
          <w:rFonts w:ascii="Arial" w:cs="Arial" w:eastAsia="Arial" w:hAnsi="Arial"/>
          <w:b w:val="false"/>
          <w:bCs w:val="false"/>
          <w:i/>
          <w:iCs/>
          <w:color w:val="000000"/>
          <w:sz w:val="16"/>
          <w:szCs w:val="16"/>
        </w:rPr>
        <w:t xml:space="preserve">Las dos primeras clases —cobertura baja, MSAVI ≤ 0.3813— suman 4,434.07 ha, el 60.5 % del ámbito.</w:t>
      </w:r>
    </w:p>
    <w:p>
      <w:pPr>
        <w:spacing w:after="80" w:line="264"/>
        <w:jc w:val="left"/>
      </w:pPr>
      <w:r>
        <w:rPr>
          <w:rFonts w:ascii="Arial" w:cs="Arial" w:eastAsia="Arial" w:hAnsi="Arial"/>
          <w:b/>
          <w:bCs/>
          <w:i w:val="false"/>
          <w:iCs w:val="false"/>
          <w:color w:val="000000"/>
          <w:sz w:val="20"/>
          <w:szCs w:val="20"/>
        </w:rPr>
        <w:t xml:space="preserve">Tabla 2. Superficie por modalidad de intervención derivada de la clasificación NDVI mediana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60"/>
        <w:gridCol w:w="1600"/>
        <w:gridCol w:w="1500"/>
      </w:tblGrid>
      <w:tr>
        <w:trPr>
          <w:tblHeader/>
        </w:trPr>
        <w:tc>
          <w:tcPr>
            <w:tcW w:type="dxa" w:w="36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Modalidad derivada de la clase NDVI</w:t>
            </w:r>
          </w:p>
        </w:tc>
        <w:tc>
          <w:tcPr>
            <w:tcW w:type="dxa" w:w="26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Clase NDVI de origen</w:t>
            </w:r>
          </w:p>
        </w:tc>
        <w:tc>
          <w:tcPr>
            <w:tcW w:type="dxa" w:w="16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Superficie (ha)</w:t>
            </w:r>
          </w:p>
        </w:tc>
        <w:tc>
          <w:tcPr>
            <w:tcW w:type="dxa" w:w="15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 del ámbito</w:t>
            </w:r>
          </w:p>
        </w:tc>
      </w:tr>
      <w:tr>
        <w:tc>
          <w:tcPr>
            <w:tcW w:type="dxa" w:w="36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Restauración activa (plantación en macizo y nucleación)</w:t>
            </w:r>
          </w:p>
        </w:tc>
        <w:tc>
          <w:tcPr>
            <w:tcW w:type="dxa" w:w="2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Tierra desnuda + vegetación ligera</w:t>
            </w:r>
          </w:p>
        </w:tc>
        <w:tc>
          <w:tcPr>
            <w:tcW w:type="dxa" w:w="16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3,748.05</w:t>
            </w:r>
          </w:p>
        </w:tc>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51.2 %</w:t>
            </w:r>
          </w:p>
        </w:tc>
      </w:tr>
      <w:tr>
        <w:tc>
          <w:tcPr>
            <w:tcW w:type="dxa" w:w="36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Enriquecimiento del dosel existente</w:t>
            </w:r>
          </w:p>
        </w:tc>
        <w:tc>
          <w:tcPr>
            <w:tcW w:type="dxa" w:w="2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Vegetación mediana</w:t>
            </w:r>
          </w:p>
        </w:tc>
        <w:tc>
          <w:tcPr>
            <w:tcW w:type="dxa" w:w="16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2,549.75</w:t>
            </w:r>
          </w:p>
        </w:tc>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34.8 %</w:t>
            </w:r>
          </w:p>
        </w:tc>
      </w:tr>
      <w:tr>
        <w:tc>
          <w:tcPr>
            <w:tcW w:type="dxa" w:w="36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Conservación y fuente semillera</w:t>
            </w:r>
          </w:p>
        </w:tc>
        <w:tc>
          <w:tcPr>
            <w:tcW w:type="dxa" w:w="2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Vegetación alta</w:t>
            </w:r>
          </w:p>
        </w:tc>
        <w:tc>
          <w:tcPr>
            <w:tcW w:type="dxa" w:w="16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1,006.78</w:t>
            </w:r>
          </w:p>
        </w:tc>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13.7 %</w:t>
            </w:r>
          </w:p>
        </w:tc>
      </w:tr>
      <w:tr>
        <w:tc>
          <w:tcPr>
            <w:tcW w:type="dxa" w:w="36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Superficie sin cobertura vegetal registrada</w:t>
            </w:r>
          </w:p>
        </w:tc>
        <w:tc>
          <w:tcPr>
            <w:tcW w:type="dxa" w:w="2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Clase no vegetal</w:t>
            </w:r>
          </w:p>
        </w:tc>
        <w:tc>
          <w:tcPr>
            <w:tcW w:type="dxa" w:w="16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22.69</w:t>
            </w:r>
          </w:p>
        </w:tc>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0.3 %</w:t>
            </w:r>
          </w:p>
        </w:tc>
      </w:tr>
      <w:tr>
        <w:tc>
          <w:tcPr>
            <w:tcW w:type="dxa" w:w="36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6"/>
                <w:szCs w:val="16"/>
              </w:rPr>
              <w:t xml:space="preserve">TOTAL</w:t>
            </w:r>
          </w:p>
        </w:tc>
        <w:tc>
          <w:tcPr>
            <w:tcW w:type="dxa" w:w="26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6"/>
                <w:szCs w:val="16"/>
              </w:rPr>
              <w:t xml:space="preserve">—</w:t>
            </w:r>
          </w:p>
        </w:tc>
        <w:tc>
          <w:tcPr>
            <w:tcW w:type="dxa" w:w="16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7,327.37</w:t>
            </w:r>
          </w:p>
        </w:tc>
        <w:tc>
          <w:tcPr>
            <w:tcW w:type="dxa" w:w="15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100.0 %</w:t>
            </w:r>
          </w:p>
        </w:tc>
      </w:tr>
    </w:tbl>
    <w:p>
      <w:pPr>
        <w:spacing w:after="200" w:line="264"/>
        <w:jc w:val="left"/>
      </w:pPr>
      <w:r>
        <w:rPr>
          <w:rFonts w:ascii="Arial" w:cs="Arial" w:eastAsia="Arial" w:hAnsi="Arial"/>
          <w:b w:val="false"/>
          <w:bCs w:val="false"/>
          <w:i/>
          <w:iCs/>
          <w:color w:val="000000"/>
          <w:sz w:val="16"/>
          <w:szCs w:val="16"/>
        </w:rPr>
        <w:t xml:space="preserve">Tras el ajuste único, la clase «no vegetal» ya no requiere tratarse como límite superior: la superficie atribuible a simbología vial fue depurada en la extracción.</w:t>
      </w:r>
    </w:p>
    <w:p>
      <w:pPr>
        <w:spacing w:after="120" w:line="264"/>
        <w:jc w:val="both"/>
      </w:pPr>
      <w:r>
        <w:rPr>
          <w:rFonts w:ascii="Arial" w:cs="Arial" w:eastAsia="Arial" w:hAnsi="Arial"/>
          <w:b w:val="false"/>
          <w:bCs w:val="false"/>
          <w:i w:val="false"/>
          <w:iCs w:val="false"/>
          <w:color w:val="000000"/>
          <w:sz w:val="20"/>
          <w:szCs w:val="20"/>
        </w:rPr>
        <w:t xml:space="preserve">Más de la mitad del ámbito (3,748.05 ha) carece de cobertura efectiva y exige restauración activa, mientras que solo el 13.7 % conserva cobertura alta. Este resultado es coherente con el indicador de brecha del proyecto y proporciona su cuantificación desagregada por bloque.</w:t>
      </w:r>
    </w:p>
    <w:p>
      <w:pPr>
        <w:spacing w:after="120" w:line="264"/>
        <w:jc w:val="both"/>
      </w:pPr>
      <w:r>
        <w:rPr>
          <w:rFonts w:ascii="Arial" w:cs="Arial" w:eastAsia="Arial" w:hAnsi="Arial"/>
          <w:b w:val="false"/>
          <w:bCs w:val="false"/>
          <w:i w:val="false"/>
          <w:iCs w:val="false"/>
          <w:color w:val="000000"/>
          <w:sz w:val="20"/>
          <w:szCs w:val="20"/>
        </w:rPr>
        <w:t xml:space="preserve">La degradación no se distribuye de manera uniforme: los 11 bloques mayores de 200 ha concentran 4,044.78 ha —el 55.2 % del ámbito— y presentan un MSAVI zonal ponderado de 0.3376, frente a los 18 bloques menores de 50 ha, que suman 409.45 ha y se ubican mayoritariamente en cotas altas y en mejor estado de conservación. La correlación negativa entre superficie del bloque y MSAVI (r = −0.29 sobre el logaritmo del área) indica que la inversión de restauración se concentrará en pocos polígonos grandes y degradados de piso bajo, lo que tiene consecuencias directas sobre la logística, la producción de plantones y el cercado perimetral.</w:t>
      </w:r>
    </w:p>
    <w:p>
      <w:pPr>
        <w:pStyle w:val="Heading1"/>
        <w:spacing w:after="140" w:before="280"/>
      </w:pPr>
      <w:r>
        <w:rPr>
          <w:rFonts w:ascii="Arial" w:cs="Arial" w:eastAsia="Arial" w:hAnsi="Arial"/>
          <w:b/>
          <w:bCs/>
          <w:color w:val="1B4F72"/>
          <w:sz w:val="26"/>
          <w:szCs w:val="26"/>
        </w:rPr>
        <w:t xml:space="preserve">4. Tipología de lectura integrada</w:t>
      </w:r>
    </w:p>
    <w:p>
      <w:pPr>
        <w:spacing w:after="120" w:line="264"/>
        <w:jc w:val="both"/>
      </w:pPr>
      <w:r>
        <w:rPr>
          <w:rFonts w:ascii="Arial" w:cs="Arial" w:eastAsia="Arial" w:hAnsi="Arial"/>
          <w:b w:val="false"/>
          <w:bCs w:val="false"/>
          <w:i w:val="false"/>
          <w:iCs w:val="false"/>
          <w:color w:val="000000"/>
          <w:sz w:val="20"/>
          <w:szCs w:val="20"/>
        </w:rPr>
        <w:t xml:space="preserve">El cruce entre el MSAVI zonal (umbral 0.3813, límite de la clase de cobertura baja) y el porcentaje de superficie sin cobertura efectiva según el NDVI —clases «tierra desnuda» y «vegetación ligera», con umbrales de 60 % y 30 %— clasifica los bloques en cuatro tipologías.</w:t>
      </w:r>
    </w:p>
    <w:p>
      <w:pPr>
        <w:spacing w:after="80" w:line="264"/>
        <w:jc w:val="left"/>
      </w:pPr>
      <w:r>
        <w:rPr>
          <w:rFonts w:ascii="Arial" w:cs="Arial" w:eastAsia="Arial" w:hAnsi="Arial"/>
          <w:b/>
          <w:bCs/>
          <w:i w:val="false"/>
          <w:iCs w:val="false"/>
          <w:color w:val="000000"/>
          <w:sz w:val="20"/>
          <w:szCs w:val="20"/>
        </w:rPr>
        <w:t xml:space="preserve">Tabla 3. Distribución de los bloques por tipología de lectura integrada NDVI–MSAVI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100"/>
        <w:gridCol w:w="1500"/>
        <w:gridCol w:w="1100"/>
        <w:gridCol w:w="1300"/>
        <w:gridCol w:w="1300"/>
      </w:tblGrid>
      <w:tr>
        <w:trPr>
          <w:tblHeader/>
        </w:trPr>
        <w:tc>
          <w:tcPr>
            <w:tcW w:type="dxa" w:w="30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Tipología</w:t>
            </w:r>
          </w:p>
        </w:tc>
        <w:tc>
          <w:tcPr>
            <w:tcW w:type="dxa" w:w="11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N.° bloques</w:t>
            </w:r>
          </w:p>
        </w:tc>
        <w:tc>
          <w:tcPr>
            <w:tcW w:type="dxa" w:w="15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Superficie (ha)</w:t>
            </w:r>
          </w:p>
        </w:tc>
        <w:tc>
          <w:tcPr>
            <w:tcW w:type="dxa" w:w="11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 ámbito</w:t>
            </w:r>
          </w:p>
        </w:tc>
        <w:tc>
          <w:tcPr>
            <w:tcW w:type="dxa" w:w="13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MSAVI ponderado</w:t>
            </w:r>
          </w:p>
        </w:tc>
        <w:tc>
          <w:tcPr>
            <w:tcW w:type="dxa" w:w="13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Restauración activa (ha)</w:t>
            </w:r>
          </w:p>
        </w:tc>
      </w:tr>
      <w:tr>
        <w:tc>
          <w:tcPr>
            <w:tcW w:type="dxa" w:w="30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A. Degradación convergente</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16</w:t>
            </w:r>
          </w:p>
        </w:tc>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3,113.08</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42.5 %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0.3218</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2,489.10</w:t>
            </w:r>
          </w:p>
        </w:tc>
      </w:tr>
      <w:tr>
        <w:tc>
          <w:tcPr>
            <w:tcW w:type="dxa" w:w="30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B. Degradación estructural enmascarada por verdor estacional</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15</w:t>
            </w:r>
          </w:p>
        </w:tc>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2,177.54</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29.7 %</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0.3300</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891.20</w:t>
            </w:r>
          </w:p>
        </w:tc>
      </w:tr>
      <w:tr>
        <w:tc>
          <w:tcPr>
            <w:tcW w:type="dxa" w:w="30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C. Cobertura media con núcleos degradados</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6</w:t>
            </w:r>
          </w:p>
        </w:tc>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755.11</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10.3 %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0.4126</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313.37</w:t>
            </w:r>
          </w:p>
        </w:tc>
      </w:tr>
      <w:tr>
        <w:tc>
          <w:tcPr>
            <w:tcW w:type="dxa" w:w="30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6"/>
                <w:szCs w:val="16"/>
              </w:rPr>
              <w:t xml:space="preserve">D. Cobertura conservada convergente</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22</w:t>
            </w:r>
          </w:p>
        </w:tc>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1,281.64</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17.5 %</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0.5832</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6"/>
                <w:szCs w:val="16"/>
              </w:rPr>
              <w:t xml:space="preserve">54.38</w:t>
            </w:r>
          </w:p>
        </w:tc>
      </w:tr>
      <w:tr>
        <w:tc>
          <w:tcPr>
            <w:tcW w:type="dxa" w:w="30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6"/>
                <w:szCs w:val="16"/>
              </w:rPr>
              <w:t xml:space="preserve">TOTAL</w:t>
            </w:r>
          </w:p>
        </w:tc>
        <w:tc>
          <w:tcPr>
            <w:tcW w:type="dxa" w:w="11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59</w:t>
            </w:r>
          </w:p>
        </w:tc>
        <w:tc>
          <w:tcPr>
            <w:tcW w:type="dxa" w:w="15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7,327.37</w:t>
            </w:r>
          </w:p>
        </w:tc>
        <w:tc>
          <w:tcPr>
            <w:tcW w:type="dxa" w:w="11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100.0 %</w:t>
            </w:r>
          </w:p>
        </w:tc>
        <w:tc>
          <w:tcPr>
            <w:tcW w:type="dxa" w:w="13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0.3793</w:t>
            </w:r>
          </w:p>
        </w:tc>
        <w:tc>
          <w:tcPr>
            <w:tcW w:type="dxa" w:w="13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3,748.05</w:t>
            </w:r>
          </w:p>
        </w:tc>
      </w:tr>
    </w:tbl>
    <w:p>
      <w:pPr>
        <w:spacing w:after="200" w:line="264"/>
        <w:jc w:val="left"/>
      </w:pPr>
      <w:r>
        <w:rPr>
          <w:rFonts w:ascii="Arial" w:cs="Arial" w:eastAsia="Arial" w:hAnsi="Arial"/>
          <w:b w:val="false"/>
          <w:bCs w:val="false"/>
          <w:i/>
          <w:iCs/>
          <w:color w:val="000000"/>
          <w:sz w:val="16"/>
          <w:szCs w:val="16"/>
        </w:rPr>
        <w:t xml:space="preserve">Tipologías: A = degradación convergente · B = degradación estructural enmascarada por verdor estacional · C = cobertura media con núcleos degradados · D = cobertura conservada convergente.</w:t>
      </w:r>
    </w:p>
    <w:p>
      <w:pPr>
        <w:spacing w:after="120" w:line="264"/>
        <w:jc w:val="both"/>
      </w:pPr>
      <w:r>
        <w:rPr>
          <w:rFonts w:ascii="Arial" w:cs="Arial" w:eastAsia="Arial" w:hAnsi="Arial"/>
          <w:b w:val="false"/>
          <w:bCs w:val="false"/>
          <w:i w:val="false"/>
          <w:iCs w:val="false"/>
          <w:color w:val="000000"/>
          <w:sz w:val="20"/>
          <w:szCs w:val="20"/>
        </w:rPr>
        <w:t xml:space="preserve">La tipología B —15 bloques y 2,177.54 ha, el 29.7 % del ámbito— es la de mayor relevancia metodológica: se trata de bloques cuyo MSAVI los sitúa en cobertura baja pero cuyo NDVI proyecta una imagen sensiblemente más verde. La explicación es la ya documentada en el informe del bloque M6B2-1: en el bosque estacionalmente seco sobre suelos claros, el NDVI incorpora la reflectancia del sustrato y responde al verdor estacional del estrato herbáceo y al rebrote foliar de fin de la temporada de lluvias, fenómenos que no expresan recuperación estructural del dosel. Utilizar el NDVI como criterio de tipificación en estos bloques conduciría a subestimar la degradación y a subdimensionar las metas de restauración.</w:t>
      </w:r>
    </w:p>
    <w:p>
      <w:pPr>
        <w:spacing w:after="120" w:line="264"/>
        <w:jc w:val="both"/>
      </w:pPr>
      <w:r>
        <w:rPr>
          <w:rFonts w:ascii="Arial" w:cs="Arial" w:eastAsia="Arial" w:hAnsi="Arial"/>
          <w:b w:val="false"/>
          <w:bCs w:val="false"/>
          <w:i w:val="false"/>
          <w:iCs w:val="false"/>
          <w:color w:val="000000"/>
          <w:sz w:val="20"/>
          <w:szCs w:val="20"/>
        </w:rPr>
        <w:t xml:space="preserve">La tipología D agrupa 22 bloques pero solo el 17.5 % de la superficie: son los polígonos pequeños de la sierra —Santo Domingo, Yamango, Chalaco y Santa Catalina de Mossa— con cobertura efectiva alta y convergente en ambos índices. Su tratamiento debe orientarse a conservación, clausura y manejo antes que a plantación en macizo, y su pertinencia frente al indicador de brecha debe verificarse expresamente.</w:t>
      </w:r>
    </w:p>
    <w:p>
      <w:pPr>
        <w:pStyle w:val="Heading1"/>
        <w:spacing w:after="140" w:before="280"/>
      </w:pPr>
      <w:r>
        <w:rPr>
          <w:rFonts w:ascii="Arial" w:cs="Arial" w:eastAsia="Arial" w:hAnsi="Arial"/>
          <w:b/>
          <w:bCs/>
          <w:color w:val="1B4F72"/>
          <w:sz w:val="26"/>
          <w:szCs w:val="26"/>
        </w:rPr>
        <w:t xml:space="preserve">5. Brecha entre las lecturas del NDVI y del MSAVI</w:t>
      </w:r>
    </w:p>
    <w:p>
      <w:pPr>
        <w:spacing w:after="120" w:line="264"/>
        <w:jc w:val="both"/>
      </w:pPr>
      <w:r>
        <w:rPr>
          <w:rFonts w:ascii="Arial" w:cs="Arial" w:eastAsia="Arial" w:hAnsi="Arial"/>
          <w:b w:val="false"/>
          <w:bCs w:val="false"/>
          <w:i w:val="false"/>
          <w:iCs w:val="false"/>
          <w:color w:val="000000"/>
          <w:sz w:val="20"/>
          <w:szCs w:val="20"/>
        </w:rPr>
        <w:t xml:space="preserve">El pareo de distribuciones internas permite ahora medir la divergencia de forma directa, y no ya como residual de un ajuste: la brecha se define como la diferencia, en puntos porcentuales, entre la superficie que el NDVI clasifica sin cobertura efectiva y la que el MSAVI clasifica en cobertura baja dentro del mismo bloque. Un valor negativo indica que el NDVI reconoce menos superficie degradada que el MSAVI.</w:t>
      </w:r>
    </w:p>
    <w:p>
      <w:pPr>
        <w:spacing w:after="120" w:line="264"/>
        <w:jc w:val="both"/>
      </w:pPr>
      <w:r>
        <w:rPr>
          <w:rFonts w:ascii="Arial" w:cs="Arial" w:eastAsia="Arial" w:hAnsi="Arial"/>
          <w:b w:val="false"/>
          <w:bCs w:val="false"/>
          <w:i w:val="false"/>
          <w:iCs w:val="false"/>
          <w:color w:val="000000"/>
          <w:sz w:val="20"/>
          <w:szCs w:val="20"/>
        </w:rPr>
        <w:t xml:space="preserve">El resultado es inequívoco y de un solo signo: en el ámbito ponderado el MSAVI sitúa el 60.5 % de la superficie en cobertura baja y el NDVI solo el 51.2 %, una brecha de −9.4 puntos porcentuales. Ningún bloque presenta el caso inverso de forma significativa. La divergencia no es un error de medición sino la expresión de dos dimensiones distintas: el NDVI mide verdor foliar y el MSAVI mide cobertura estructural corregida por el sustrato.</w:t>
      </w:r>
    </w:p>
    <w:p>
      <w:pPr>
        <w:spacing w:after="80" w:line="264"/>
        <w:jc w:val="left"/>
      </w:pPr>
      <w:r>
        <w:rPr>
          <w:rFonts w:ascii="Arial" w:cs="Arial" w:eastAsia="Arial" w:hAnsi="Arial"/>
          <w:b/>
          <w:bCs/>
          <w:i w:val="false"/>
          <w:iCs w:val="false"/>
          <w:color w:val="000000"/>
          <w:sz w:val="20"/>
          <w:szCs w:val="20"/>
        </w:rPr>
        <w:t xml:space="preserve">Tabla 4. Bloques de mayor brecha entre ambas lecturas</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100"/>
        <w:gridCol w:w="1150"/>
        <w:gridCol w:w="1400"/>
        <w:gridCol w:w="1400"/>
        <w:gridCol w:w="1100"/>
        <w:gridCol w:w="700"/>
      </w:tblGrid>
      <w:tr>
        <w:trPr>
          <w:tblHeader/>
        </w:trPr>
        <w:tc>
          <w:tcPr>
            <w:tcW w:type="dxa" w:w="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Bloque</w:t>
            </w:r>
          </w:p>
        </w:tc>
        <w:tc>
          <w:tcPr>
            <w:tcW w:type="dxa" w:w="1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Distrito</w:t>
            </w:r>
          </w:p>
        </w:tc>
        <w:tc>
          <w:tcPr>
            <w:tcW w:type="dxa" w:w="11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Área (ha)</w:t>
            </w:r>
          </w:p>
        </w:tc>
        <w:tc>
          <w:tcPr>
            <w:tcW w:type="dxa" w:w="11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MSAVI 2024</w:t>
            </w:r>
          </w:p>
        </w:tc>
        <w:tc>
          <w:tcPr>
            <w:tcW w:type="dxa" w:w="14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Cobertura baja MSAVI</w:t>
            </w:r>
          </w:p>
        </w:tc>
        <w:tc>
          <w:tcPr>
            <w:tcW w:type="dxa" w:w="14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Sin cobertura NDVI</w:t>
            </w:r>
          </w:p>
        </w:tc>
        <w:tc>
          <w:tcPr>
            <w:tcW w:type="dxa" w:w="11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Brecha (pp)</w:t>
            </w:r>
          </w:p>
        </w:tc>
        <w:tc>
          <w:tcPr>
            <w:tcW w:type="dxa" w:w="7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Tipología</w:t>
            </w:r>
          </w:p>
        </w:tc>
      </w:tr>
      <w:tr>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M2B1</w:t>
            </w:r>
          </w:p>
        </w:tc>
        <w:tc>
          <w:tcPr>
            <w:tcW w:type="dxa" w:w="1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81.80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0.2984</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92.8 %</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4,344.0 %</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-49.3</w:t>
            </w:r>
          </w:p>
        </w:tc>
        <w:tc>
          <w:tcPr>
            <w:tcW w:type="dxa" w:w="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M7B1</w:t>
            </w:r>
          </w:p>
        </w:tc>
        <w:tc>
          <w:tcPr>
            <w:tcW w:type="dxa" w:w="1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130.43</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0.3136</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84.5 %</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3,573.0 %</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-48.8</w:t>
            </w:r>
          </w:p>
        </w:tc>
        <w:tc>
          <w:tcPr>
            <w:tcW w:type="dxa" w:w="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M3B1</w:t>
            </w:r>
          </w:p>
        </w:tc>
        <w:tc>
          <w:tcPr>
            <w:tcW w:type="dxa" w:w="1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80.98</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0.3239</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84.1 %</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3,800.0 %</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-46.1</w:t>
            </w:r>
          </w:p>
        </w:tc>
        <w:tc>
          <w:tcPr>
            <w:tcW w:type="dxa" w:w="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M18B1</w:t>
            </w:r>
          </w:p>
        </w:tc>
        <w:tc>
          <w:tcPr>
            <w:tcW w:type="dxa" w:w="1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BUENOS AIRES</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160.36</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0.3343</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75.0 %</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3,002.0 %</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-45.0</w:t>
            </w:r>
          </w:p>
        </w:tc>
        <w:tc>
          <w:tcPr>
            <w:tcW w:type="dxa" w:w="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5</w:t>
            </w:r>
          </w:p>
        </w:tc>
        <w:tc>
          <w:tcPr>
            <w:tcW w:type="dxa" w:w="1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BUENOS AIRES</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295.73</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0.3394</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74.4 %</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2,956.0 %</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-44.8</w:t>
            </w:r>
          </w:p>
        </w:tc>
        <w:tc>
          <w:tcPr>
            <w:tcW w:type="dxa" w:w="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M7B2</w:t>
            </w:r>
          </w:p>
        </w:tc>
        <w:tc>
          <w:tcPr>
            <w:tcW w:type="dxa" w:w="1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115.38</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0.2877</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92.3 %</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4,790.0 %</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-44.4</w:t>
            </w:r>
          </w:p>
        </w:tc>
        <w:tc>
          <w:tcPr>
            <w:tcW w:type="dxa" w:w="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M7B6</w:t>
            </w:r>
          </w:p>
        </w:tc>
        <w:tc>
          <w:tcPr>
            <w:tcW w:type="dxa" w:w="1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91.29</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0.2878</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94.6 %</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5,208.0 %</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-42.5</w:t>
            </w:r>
          </w:p>
        </w:tc>
        <w:tc>
          <w:tcPr>
            <w:tcW w:type="dxa" w:w="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M7B3</w:t>
            </w:r>
          </w:p>
        </w:tc>
        <w:tc>
          <w:tcPr>
            <w:tcW w:type="dxa" w:w="1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65.75</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0.2980</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93.0 %</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5,127.0 %</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-41.7</w:t>
            </w:r>
          </w:p>
        </w:tc>
        <w:tc>
          <w:tcPr>
            <w:tcW w:type="dxa" w:w="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M3B9</w:t>
            </w:r>
          </w:p>
        </w:tc>
        <w:tc>
          <w:tcPr>
            <w:tcW w:type="dxa" w:w="1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SALITRAL</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294.20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0.3214</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81.5 %</w:t>
            </w:r>
          </w:p>
        </w:tc>
        <w:tc>
          <w:tcPr>
            <w:tcW w:type="dxa" w:w="14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4,962.0 %</w:t>
            </w:r>
          </w:p>
        </w:tc>
        <w:tc>
          <w:tcPr>
            <w:tcW w:type="dxa" w:w="11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-31.8</w:t>
            </w:r>
          </w:p>
        </w:tc>
        <w:tc>
          <w:tcPr>
            <w:tcW w:type="dxa" w:w="7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r>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M3B3</w:t>
            </w:r>
          </w:p>
        </w:tc>
        <w:tc>
          <w:tcPr>
            <w:tcW w:type="dxa" w:w="1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color w:val="000000"/>
                <w:sz w:val="16"/>
                <w:szCs w:val="16"/>
              </w:rPr>
              <w:t xml:space="preserve">SAN JUAN DE BIG</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84.83</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0.2985</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90.0 %</w:t>
            </w:r>
          </w:p>
        </w:tc>
        <w:tc>
          <w:tcPr>
            <w:tcW w:type="dxa" w:w="14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5,823.0 %</w:t>
            </w:r>
          </w:p>
        </w:tc>
        <w:tc>
          <w:tcPr>
            <w:tcW w:type="dxa" w:w="11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-31.7</w:t>
            </w:r>
          </w:p>
        </w:tc>
        <w:tc>
          <w:tcPr>
            <w:tcW w:type="dxa" w:w="7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color w:val="000000"/>
                <w:sz w:val="16"/>
                <w:szCs w:val="16"/>
              </w:rPr>
              <w:t xml:space="preserve">B</w:t>
            </w:r>
          </w:p>
        </w:tc>
      </w:tr>
    </w:tbl>
    <w:p>
      <w:pPr>
        <w:spacing w:after="200" w:line="264"/>
        <w:jc w:val="left"/>
      </w:pPr>
      <w:r>
        <w:rPr>
          <w:rFonts w:ascii="Arial" w:cs="Arial" w:eastAsia="Arial" w:hAnsi="Arial"/>
          <w:b w:val="false"/>
          <w:bCs w:val="false"/>
          <w:i/>
          <w:iCs/>
          <w:color w:val="000000"/>
          <w:sz w:val="16"/>
          <w:szCs w:val="16"/>
        </w:rPr>
        <w:t xml:space="preserve">Los diez bloques donde el NDVI subestima en mayor medida la superficie degradada respecto del MSAVI.</w:t>
      </w:r>
    </w:p>
    <w:p>
      <w:pPr>
        <w:spacing w:after="120" w:line="264"/>
        <w:jc w:val="both"/>
      </w:pPr>
      <w:r>
        <w:rPr>
          <w:rFonts w:ascii="Arial" w:cs="Arial" w:eastAsia="Arial" w:hAnsi="Arial"/>
          <w:b w:val="false"/>
          <w:bCs w:val="false"/>
          <w:i w:val="false"/>
          <w:iCs w:val="false"/>
          <w:color w:val="000000"/>
          <w:sz w:val="20"/>
          <w:szCs w:val="20"/>
        </w:rPr>
        <w:t xml:space="preserve">Los mayores desvíos se concentran en Salitral y Buenos Aires —M2B1, M7B1, M3B1, M18B1 y el bloque 5, con brechas de entre 44 y 49 puntos porcentuales—, es decir en el piso bajo de la cuenca, que es precisamente donde se acumula la mayor superficie del ámbito. En estos bloques la línea base de seguimiento debe fijarse sobre el MSAVI y no sobre el NDVI, so pena de registrar como avance del proyecto una variación puramente climática interanual.</w:t>
      </w:r>
    </w:p>
    <w:p>
      <w:pPr>
        <w:spacing w:after="120" w:line="264"/>
        <w:jc w:val="both"/>
      </w:pPr>
      <w:r>
        <w:rPr>
          <w:rFonts w:ascii="Arial" w:cs="Arial" w:eastAsia="Arial" w:hAnsi="Arial"/>
          <w:b w:val="false"/>
          <w:bCs w:val="false"/>
          <w:i w:val="false"/>
          <w:iCs w:val="false"/>
          <w:color w:val="000000"/>
          <w:sz w:val="20"/>
          <w:szCs w:val="20"/>
        </w:rPr>
        <w:t xml:space="preserve">La conclusión operativa es que ambos índices cumplen funciones distintas y no intercambiables: el MSAVI resuelve la jerarquización entre bloques —qué polígonos presentan mayor pérdida de cobertura y por tanto mayor déficit del servicio ecosistémico— y el NDVI resuelve la delimitación interna —qué porción de cada polígono requiere restauración activa y cuál debe destinarse a conservación—.</w:t>
      </w:r>
    </w:p>
    <w:p>
      <w:pPr>
        <w:pStyle w:val="Heading1"/>
        <w:spacing w:after="140" w:before="280"/>
      </w:pPr>
      <w:r>
        <w:rPr>
          <w:rFonts w:ascii="Arial" w:cs="Arial" w:eastAsia="Arial" w:hAnsi="Arial"/>
          <w:b/>
          <w:bCs/>
          <w:color w:val="1B4F72"/>
          <w:sz w:val="26"/>
          <w:szCs w:val="26"/>
        </w:rPr>
        <w:t xml:space="preserve">6. Focalización por distrito</w:t>
      </w:r>
    </w:p>
    <w:p>
      <w:pPr>
        <w:spacing w:after="80" w:line="264"/>
        <w:jc w:val="left"/>
      </w:pPr>
      <w:r>
        <w:rPr>
          <w:rFonts w:ascii="Arial" w:cs="Arial" w:eastAsia="Arial" w:hAnsi="Arial"/>
          <w:b/>
          <w:bCs/>
          <w:i w:val="false"/>
          <w:iCs w:val="false"/>
          <w:color w:val="000000"/>
          <w:sz w:val="20"/>
          <w:szCs w:val="20"/>
        </w:rPr>
        <w:t xml:space="preserve">Tabla 5. Superficie por modalidad de intervención y déficit de cobertura, por distrito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1200"/>
        <w:gridCol w:w="950"/>
        <w:gridCol w:w="1350"/>
        <w:gridCol w:w="1050"/>
        <w:gridCol w:w="1300"/>
        <w:gridCol w:w="1150"/>
        <w:gridCol w:w="1010"/>
      </w:tblGrid>
      <w:tr>
        <w:trPr>
          <w:tblHeader/>
        </w:trPr>
        <w:tc>
          <w:tcPr>
            <w:tcW w:type="dxa" w:w="15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Distrito</w:t>
            </w:r>
          </w:p>
        </w:tc>
        <w:tc>
          <w:tcPr>
            <w:tcW w:type="dxa" w:w="8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N.° bloques</w:t>
            </w:r>
          </w:p>
        </w:tc>
        <w:tc>
          <w:tcPr>
            <w:tcW w:type="dxa" w:w="12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Superficie (ha)</w:t>
            </w:r>
          </w:p>
        </w:tc>
        <w:tc>
          <w:tcPr>
            <w:tcW w:type="dxa" w:w="9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MSAVI zonal</w:t>
            </w:r>
          </w:p>
        </w:tc>
        <w:tc>
          <w:tcPr>
            <w:tcW w:type="dxa" w:w="13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Cobertura baja MSAVI (ha)</w:t>
            </w:r>
          </w:p>
        </w:tc>
        <w:tc>
          <w:tcPr>
            <w:tcW w:type="dxa" w:w="10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 cobertura baja</w:t>
            </w:r>
          </w:p>
        </w:tc>
        <w:tc>
          <w:tcPr>
            <w:tcW w:type="dxa" w:w="13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Restauración activa (ha)</w:t>
            </w:r>
          </w:p>
        </w:tc>
        <w:tc>
          <w:tcPr>
            <w:tcW w:type="dxa" w:w="11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Enriquecimiento (ha)</w:t>
            </w:r>
          </w:p>
        </w:tc>
        <w:tc>
          <w:tcPr>
            <w:tcW w:type="dxa" w:w="101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Conservación (ha)</w:t>
            </w:r>
          </w:p>
        </w:tc>
      </w:tr>
      <w:tr>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BUENOS AIRES</w:t>
            </w:r>
          </w:p>
        </w:tc>
        <w:tc>
          <w:tcPr>
            <w:tcW w:type="dxa" w:w="8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w:t>
            </w:r>
          </w:p>
        </w:tc>
        <w:tc>
          <w:tcPr>
            <w:tcW w:type="dxa" w:w="1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1,903.12</w:t>
            </w:r>
          </w:p>
        </w:tc>
        <w:tc>
          <w:tcPr>
            <w:tcW w:type="dxa" w:w="9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0.3320</w:t>
            </w:r>
          </w:p>
        </w:tc>
        <w:tc>
          <w:tcPr>
            <w:tcW w:type="dxa" w:w="13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1,420.04</w:t>
            </w:r>
          </w:p>
        </w:tc>
        <w:tc>
          <w:tcPr>
            <w:tcW w:type="dxa" w:w="10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74.6 %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1,116.53</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759.71</w:t>
            </w:r>
          </w:p>
        </w:tc>
        <w:tc>
          <w:tcPr>
            <w:tcW w:type="dxa" w:w="101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24.86</w:t>
            </w:r>
          </w:p>
        </w:tc>
      </w:tr>
      <w:tr>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CHALACO</w:t>
            </w:r>
          </w:p>
        </w:tc>
        <w:tc>
          <w:tcPr>
            <w:tcW w:type="dxa" w:w="8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w:t>
            </w:r>
          </w:p>
        </w:tc>
        <w:tc>
          <w:tcPr>
            <w:tcW w:type="dxa" w:w="12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39.22</w:t>
            </w:r>
          </w:p>
        </w:tc>
        <w:tc>
          <w:tcPr>
            <w:tcW w:type="dxa" w:w="9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0.6071</w:t>
            </w:r>
          </w:p>
        </w:tc>
        <w:tc>
          <w:tcPr>
            <w:tcW w:type="dxa" w:w="13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0.64</w:t>
            </w:r>
          </w:p>
        </w:tc>
        <w:tc>
          <w:tcPr>
            <w:tcW w:type="dxa" w:w="10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1.6 %</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0.93</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5.16</w:t>
            </w:r>
          </w:p>
        </w:tc>
        <w:tc>
          <w:tcPr>
            <w:tcW w:type="dxa" w:w="101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33.07</w:t>
            </w:r>
          </w:p>
        </w:tc>
      </w:tr>
      <w:tr>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CHULUCANAS</w:t>
            </w:r>
          </w:p>
        </w:tc>
        <w:tc>
          <w:tcPr>
            <w:tcW w:type="dxa" w:w="8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w:t>
            </w:r>
          </w:p>
        </w:tc>
        <w:tc>
          <w:tcPr>
            <w:tcW w:type="dxa" w:w="1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1,450.14</w:t>
            </w:r>
          </w:p>
        </w:tc>
        <w:tc>
          <w:tcPr>
            <w:tcW w:type="dxa" w:w="9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0.3554</w:t>
            </w:r>
          </w:p>
        </w:tc>
        <w:tc>
          <w:tcPr>
            <w:tcW w:type="dxa" w:w="13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932.15</w:t>
            </w:r>
          </w:p>
        </w:tc>
        <w:tc>
          <w:tcPr>
            <w:tcW w:type="dxa" w:w="10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64.3 %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1,176.32</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263.71</w:t>
            </w:r>
          </w:p>
        </w:tc>
        <w:tc>
          <w:tcPr>
            <w:tcW w:type="dxa" w:w="101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5.35</w:t>
            </w:r>
          </w:p>
        </w:tc>
      </w:tr>
      <w:tr>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MORROPON</w:t>
            </w:r>
          </w:p>
        </w:tc>
        <w:tc>
          <w:tcPr>
            <w:tcW w:type="dxa" w:w="8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w:t>
            </w:r>
          </w:p>
        </w:tc>
        <w:tc>
          <w:tcPr>
            <w:tcW w:type="dxa" w:w="12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125.34</w:t>
            </w:r>
          </w:p>
        </w:tc>
        <w:tc>
          <w:tcPr>
            <w:tcW w:type="dxa" w:w="9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0.3947</w:t>
            </w:r>
          </w:p>
        </w:tc>
        <w:tc>
          <w:tcPr>
            <w:tcW w:type="dxa" w:w="13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45.92</w:t>
            </w:r>
          </w:p>
        </w:tc>
        <w:tc>
          <w:tcPr>
            <w:tcW w:type="dxa" w:w="10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36.6 %</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57.09</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67.02</w:t>
            </w:r>
          </w:p>
        </w:tc>
        <w:tc>
          <w:tcPr>
            <w:tcW w:type="dxa" w:w="101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0.96</w:t>
            </w:r>
          </w:p>
        </w:tc>
      </w:tr>
      <w:tr>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SALITRAL</w:t>
            </w:r>
          </w:p>
        </w:tc>
        <w:tc>
          <w:tcPr>
            <w:tcW w:type="dxa" w:w="8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9</w:t>
            </w:r>
          </w:p>
        </w:tc>
        <w:tc>
          <w:tcPr>
            <w:tcW w:type="dxa" w:w="1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1,264.53</w:t>
            </w:r>
          </w:p>
        </w:tc>
        <w:tc>
          <w:tcPr>
            <w:tcW w:type="dxa" w:w="9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0.3263</w:t>
            </w:r>
          </w:p>
        </w:tc>
        <w:tc>
          <w:tcPr>
            <w:tcW w:type="dxa" w:w="13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979.18</w:t>
            </w:r>
          </w:p>
        </w:tc>
        <w:tc>
          <w:tcPr>
            <w:tcW w:type="dxa" w:w="10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77.4 %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504.08</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711.76</w:t>
            </w:r>
          </w:p>
        </w:tc>
        <w:tc>
          <w:tcPr>
            <w:tcW w:type="dxa" w:w="101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42.90</w:t>
            </w:r>
          </w:p>
        </w:tc>
      </w:tr>
      <w:tr>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SAN JUAN DE BIG</w:t>
            </w:r>
          </w:p>
        </w:tc>
        <w:tc>
          <w:tcPr>
            <w:tcW w:type="dxa" w:w="8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12</w:t>
            </w:r>
          </w:p>
        </w:tc>
        <w:tc>
          <w:tcPr>
            <w:tcW w:type="dxa" w:w="12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1,143.87</w:t>
            </w:r>
          </w:p>
        </w:tc>
        <w:tc>
          <w:tcPr>
            <w:tcW w:type="dxa" w:w="9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0.3098</w:t>
            </w:r>
          </w:p>
        </w:tc>
        <w:tc>
          <w:tcPr>
            <w:tcW w:type="dxa" w:w="13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922.40</w:t>
            </w:r>
          </w:p>
        </w:tc>
        <w:tc>
          <w:tcPr>
            <w:tcW w:type="dxa" w:w="10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80.6 %</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744.45</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352.49</w:t>
            </w:r>
          </w:p>
        </w:tc>
        <w:tc>
          <w:tcPr>
            <w:tcW w:type="dxa" w:w="101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41.71</w:t>
            </w:r>
          </w:p>
        </w:tc>
      </w:tr>
      <w:tr>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SANTA CATALINA</w:t>
            </w:r>
          </w:p>
        </w:tc>
        <w:tc>
          <w:tcPr>
            <w:tcW w:type="dxa" w:w="8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4</w:t>
            </w:r>
          </w:p>
        </w:tc>
        <w:tc>
          <w:tcPr>
            <w:tcW w:type="dxa" w:w="1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213.19</w:t>
            </w:r>
          </w:p>
        </w:tc>
        <w:tc>
          <w:tcPr>
            <w:tcW w:type="dxa" w:w="9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0.5681</w:t>
            </w:r>
          </w:p>
        </w:tc>
        <w:tc>
          <w:tcPr>
            <w:tcW w:type="dxa" w:w="13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8.35</w:t>
            </w:r>
          </w:p>
        </w:tc>
        <w:tc>
          <w:tcPr>
            <w:tcW w:type="dxa" w:w="10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3.9 %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8.60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55.12</w:t>
            </w:r>
          </w:p>
        </w:tc>
        <w:tc>
          <w:tcPr>
            <w:tcW w:type="dxa" w:w="101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148.74</w:t>
            </w:r>
          </w:p>
        </w:tc>
      </w:tr>
      <w:tr>
        <w:tc>
          <w:tcPr>
            <w:tcW w:type="dxa" w:w="15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SANTO DOMINGO</w:t>
            </w:r>
          </w:p>
        </w:tc>
        <w:tc>
          <w:tcPr>
            <w:tcW w:type="dxa" w:w="8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10</w:t>
            </w:r>
          </w:p>
        </w:tc>
        <w:tc>
          <w:tcPr>
            <w:tcW w:type="dxa" w:w="12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728.28</w:t>
            </w:r>
          </w:p>
        </w:tc>
        <w:tc>
          <w:tcPr>
            <w:tcW w:type="dxa" w:w="9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0.6294</w:t>
            </w:r>
          </w:p>
        </w:tc>
        <w:tc>
          <w:tcPr>
            <w:tcW w:type="dxa" w:w="13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4.69</w:t>
            </w:r>
          </w:p>
        </w:tc>
        <w:tc>
          <w:tcPr>
            <w:tcW w:type="dxa" w:w="10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0.6 %</w:t>
            </w:r>
          </w:p>
        </w:tc>
        <w:tc>
          <w:tcPr>
            <w:tcW w:type="dxa" w:w="13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14.38</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134.69</w:t>
            </w:r>
          </w:p>
        </w:tc>
        <w:tc>
          <w:tcPr>
            <w:tcW w:type="dxa" w:w="101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577.16</w:t>
            </w:r>
          </w:p>
        </w:tc>
      </w:tr>
      <w:tr>
        <w:tc>
          <w:tcPr>
            <w:tcW w:type="dxa" w:w="15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5"/>
                <w:szCs w:val="15"/>
              </w:rPr>
              <w:t xml:space="preserve">YAMANGO</w:t>
            </w:r>
          </w:p>
        </w:tc>
        <w:tc>
          <w:tcPr>
            <w:tcW w:type="dxa" w:w="8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6</w:t>
            </w:r>
          </w:p>
        </w:tc>
        <w:tc>
          <w:tcPr>
            <w:tcW w:type="dxa" w:w="12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459.67</w:t>
            </w:r>
          </w:p>
        </w:tc>
        <w:tc>
          <w:tcPr>
            <w:tcW w:type="dxa" w:w="9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0.4621</w:t>
            </w:r>
          </w:p>
        </w:tc>
        <w:tc>
          <w:tcPr>
            <w:tcW w:type="dxa" w:w="13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120.69</w:t>
            </w:r>
          </w:p>
        </w:tc>
        <w:tc>
          <w:tcPr>
            <w:tcW w:type="dxa" w:w="10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26.3 %</w:t>
            </w:r>
          </w:p>
        </w:tc>
        <w:tc>
          <w:tcPr>
            <w:tcW w:type="dxa" w:w="13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125.66</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200.08</w:t>
            </w:r>
          </w:p>
        </w:tc>
        <w:tc>
          <w:tcPr>
            <w:tcW w:type="dxa" w:w="101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5"/>
                <w:szCs w:val="15"/>
              </w:rPr>
              <w:t xml:space="preserve">132.01</w:t>
            </w:r>
          </w:p>
        </w:tc>
      </w:tr>
      <w:tr>
        <w:tc>
          <w:tcPr>
            <w:tcW w:type="dxa" w:w="15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5"/>
                <w:szCs w:val="15"/>
              </w:rPr>
              <w:t xml:space="preserve">TOTAL</w:t>
            </w:r>
          </w:p>
        </w:tc>
        <w:tc>
          <w:tcPr>
            <w:tcW w:type="dxa" w:w="85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59</w:t>
            </w:r>
          </w:p>
        </w:tc>
        <w:tc>
          <w:tcPr>
            <w:tcW w:type="dxa" w:w="12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7,327.37</w:t>
            </w:r>
          </w:p>
        </w:tc>
        <w:tc>
          <w:tcPr>
            <w:tcW w:type="dxa" w:w="95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0.3793</w:t>
            </w:r>
          </w:p>
        </w:tc>
        <w:tc>
          <w:tcPr>
            <w:tcW w:type="dxa" w:w="135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4,434.07</w:t>
            </w:r>
          </w:p>
        </w:tc>
        <w:tc>
          <w:tcPr>
            <w:tcW w:type="dxa" w:w="105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60.5 %</w:t>
            </w:r>
          </w:p>
        </w:tc>
        <w:tc>
          <w:tcPr>
            <w:tcW w:type="dxa" w:w="13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3,748.05</w:t>
            </w:r>
          </w:p>
        </w:tc>
        <w:tc>
          <w:tcPr>
            <w:tcW w:type="dxa" w:w="115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2,549.75</w:t>
            </w:r>
          </w:p>
        </w:tc>
        <w:tc>
          <w:tcPr>
            <w:tcW w:type="dxa" w:w="101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5"/>
                <w:szCs w:val="15"/>
              </w:rPr>
              <w:t xml:space="preserve">1,006.78</w:t>
            </w:r>
          </w:p>
        </w:tc>
      </w:tr>
    </w:tbl>
    <w:p>
      <w:pPr>
        <w:spacing w:after="200" w:line="264"/>
        <w:jc w:val="left"/>
      </w:pPr>
      <w:r>
        <w:rPr>
          <w:rFonts w:ascii="Arial" w:cs="Arial" w:eastAsia="Arial" w:hAnsi="Arial"/>
          <w:b w:val="false"/>
          <w:bCs w:val="false"/>
          <w:i/>
          <w:iCs/>
          <w:color w:val="000000"/>
          <w:sz w:val="16"/>
          <w:szCs w:val="16"/>
        </w:rPr>
        <w:t xml:space="preserve">Todos los bloques del presente análisis pertenecen a la provincia de Morropón.</w:t>
      </w:r>
    </w:p>
    <w:p>
      <w:pPr>
        <w:spacing w:after="120" w:line="264"/>
        <w:jc w:val="both"/>
      </w:pPr>
      <w:r>
        <w:rPr>
          <w:rFonts w:ascii="Arial" w:cs="Arial" w:eastAsia="Arial" w:hAnsi="Arial"/>
          <w:b w:val="false"/>
          <w:bCs w:val="false"/>
          <w:i w:val="false"/>
          <w:iCs w:val="false"/>
          <w:color w:val="000000"/>
          <w:sz w:val="20"/>
          <w:szCs w:val="20"/>
        </w:rPr>
        <w:t xml:space="preserve">El déficit de cobertura se concentra en cuatro distritos del piso bajo: San Juan de Bigote (80.6 % de su superficie en cobertura baja), Salitral (77.4 %), Buenos Aires (74.6 %) y Chulucanas (64.3 %), que reúnen entre los cuatro 4,253.78 ha de las 4,434.07 ha de cobertura baja del ámbito. En el extremo opuesto, Santo Domingo (0.6 %), Chalaco (1.6 %) y Santa Catalina de Mossa (3.9 %) conservan cobertura efectiva prácticamente en la totalidad de sus bloques.</w:t>
      </w:r>
    </w:p>
    <w:p>
      <w:pPr>
        <w:pStyle w:val="Heading1"/>
        <w:spacing w:after="140" w:before="280"/>
      </w:pPr>
      <w:r>
        <w:rPr>
          <w:rFonts w:ascii="Arial" w:cs="Arial" w:eastAsia="Arial" w:hAnsi="Arial"/>
          <w:b/>
          <w:bCs/>
          <w:color w:val="1B4F72"/>
          <w:sz w:val="26"/>
          <w:szCs w:val="26"/>
        </w:rPr>
        <w:t xml:space="preserve">7. Conclusiones</w:t>
      </w:r>
    </w:p>
    <w:p>
      <w:pPr>
        <w:spacing w:after="80" w:line="264"/>
        <w:jc w:val="both"/>
      </w:pPr>
      <w:r>
        <w:rPr>
          <w:rFonts w:ascii="Arial" w:cs="Arial" w:eastAsia="Arial" w:hAnsi="Arial"/>
          <w:b w:val="false"/>
          <w:bCs w:val="false"/>
          <w:i w:val="false"/>
          <w:iCs w:val="false"/>
          <w:color w:val="000000"/>
          <w:sz w:val="20"/>
          <w:szCs w:val="20"/>
        </w:rPr>
        <w:t xml:space="preserve">1. Se dispone de la distribución interna de clases del NDVI mediana 2025 y del MSAVI 2024 para los 59 bloques de la provincia de Morropón, extraída bajo un único ajuste de clasificación. El MSAVI reconstruido reproduce el valor zonal del catálogo V6 con r = 0.9983 y una diferencia absoluta media de 0.0072.</w:t>
      </w:r>
    </w:p>
    <w:p>
      <w:pPr>
        <w:spacing w:after="80" w:line="264"/>
        <w:jc w:val="both"/>
      </w:pPr>
      <w:r>
        <w:rPr>
          <w:rFonts w:ascii="Arial" w:cs="Arial" w:eastAsia="Arial" w:hAnsi="Arial"/>
          <w:b w:val="false"/>
          <w:bCs w:val="false"/>
          <w:i w:val="false"/>
          <w:iCs w:val="false"/>
          <w:color w:val="000000"/>
          <w:sz w:val="20"/>
          <w:szCs w:val="20"/>
        </w:rPr>
        <w:t xml:space="preserve">2. El MSAVI 2024 sitúa 4,434.07 ha —el 60.5 % del ámbito— en cobertura baja (≤ 0.3813). La clasificación del NDVI asigna 3,748.05 ha (51.2 %) a restauración activa, 2,549.75 ha (34.8 %) a enriquecimiento del dosel y 1,006.78 ha (13.7 %) a conservación y fuente semillera.</w:t>
      </w:r>
    </w:p>
    <w:p>
      <w:pPr>
        <w:spacing w:after="80" w:line="264"/>
        <w:jc w:val="both"/>
      </w:pPr>
      <w:r>
        <w:rPr>
          <w:rFonts w:ascii="Arial" w:cs="Arial" w:eastAsia="Arial" w:hAnsi="Arial"/>
          <w:b w:val="false"/>
          <w:bCs w:val="false"/>
          <w:i w:val="false"/>
          <w:iCs w:val="false"/>
          <w:color w:val="000000"/>
          <w:sz w:val="20"/>
          <w:szCs w:val="20"/>
        </w:rPr>
        <w:t xml:space="preserve">3. Quince bloques (2,177.54 ha, 29.7 % del ámbito) presentan degradación estructural enmascarada por verdor estacional. En ellos el NDVI, leído aisladamente, subestima la degradación.</w:t>
      </w:r>
    </w:p>
    <w:p>
      <w:pPr>
        <w:spacing w:after="80" w:line="264"/>
        <w:jc w:val="both"/>
      </w:pPr>
      <w:r>
        <w:rPr>
          <w:rFonts w:ascii="Arial" w:cs="Arial" w:eastAsia="Arial" w:hAnsi="Arial"/>
          <w:b w:val="false"/>
          <w:bCs w:val="false"/>
          <w:i w:val="false"/>
          <w:iCs w:val="false"/>
          <w:color w:val="000000"/>
          <w:sz w:val="20"/>
          <w:szCs w:val="20"/>
        </w:rPr>
        <w:t xml:space="preserve">4. La brecha entre ambas lecturas es sistemática y de un solo signo: −9.4 puntos porcentuales en el ámbito ponderado, con máximos de entre 44 y 49 puntos en los bloques de piso bajo de Salitral y Buenos Aires. Es la expresión de dos dimensiones de medida distintas, no un error de procedimiento.</w:t>
      </w:r>
    </w:p>
    <w:p>
      <w:pPr>
        <w:spacing w:after="80" w:line="264"/>
        <w:jc w:val="both"/>
      </w:pPr>
      <w:r>
        <w:rPr>
          <w:rFonts w:ascii="Arial" w:cs="Arial" w:eastAsia="Arial" w:hAnsi="Arial"/>
          <w:b w:val="false"/>
          <w:bCs w:val="false"/>
          <w:i w:val="false"/>
          <w:iCs w:val="false"/>
          <w:color w:val="000000"/>
          <w:sz w:val="20"/>
          <w:szCs w:val="20"/>
        </w:rPr>
        <w:t xml:space="preserve">5. La degradación se concentra en pocos polígonos grandes de piso bajo: 11 bloques mayores de 200 ha reúnen el 55.2 % de la superficie con un MSAVI zonal ponderado de 0.3376.</w:t>
      </w:r>
    </w:p>
    <w:p>
      <w:pPr>
        <w:spacing w:after="80" w:line="264"/>
        <w:jc w:val="both"/>
      </w:pPr>
      <w:r>
        <w:rPr>
          <w:rFonts w:ascii="Arial" w:cs="Arial" w:eastAsia="Arial" w:hAnsi="Arial"/>
          <w:b w:val="false"/>
          <w:bCs w:val="false"/>
          <w:i w:val="false"/>
          <w:iCs w:val="false"/>
          <w:color w:val="000000"/>
          <w:sz w:val="20"/>
          <w:szCs w:val="20"/>
        </w:rPr>
        <w:t xml:space="preserve">6. La advertencia de la versión 1.0 sobre la clase «no vegetal» queda subsanada: el filtro de canal azul del ajuste único reduce esa clase de 148.16 ha a 22.69 ha y ningún bloque supera el 3 %.</w:t>
      </w:r>
    </w:p>
    <w:p>
      <w:pPr>
        <w:spacing w:after="80" w:line="264"/>
        <w:jc w:val="both"/>
      </w:pPr>
      <w:r>
        <w:rPr>
          <w:rFonts w:ascii="Arial" w:cs="Arial" w:eastAsia="Arial" w:hAnsi="Arial"/>
          <w:b w:val="false"/>
          <w:bCs w:val="false"/>
          <w:i w:val="false"/>
          <w:iCs w:val="false"/>
          <w:color w:val="000000"/>
          <w:sz w:val="20"/>
          <w:szCs w:val="20"/>
        </w:rPr>
        <w:t xml:space="preserve">7. Ocho láminas del ámbito contienen, además del bloque rotulado, el ráster de un bloque colindante. Al no disponerse del vectorial de bloques, la clasificación abarca el ráster visible; el efecto queda acotado por el contraste contra el catálogo y los casos están señalados bloque por bloque en la matriz.</w:t>
      </w:r>
    </w:p>
    <w:p>
      <w:pPr>
        <w:pStyle w:val="Heading1"/>
        <w:spacing w:after="140" w:before="280"/>
      </w:pPr>
      <w:r>
        <w:rPr>
          <w:rFonts w:ascii="Arial" w:cs="Arial" w:eastAsia="Arial" w:hAnsi="Arial"/>
          <w:b/>
          <w:bCs/>
          <w:color w:val="1B4F72"/>
          <w:sz w:val="26"/>
          <w:szCs w:val="26"/>
        </w:rPr>
        <w:t xml:space="preserve">8. Recomendaciones</w:t>
      </w:r>
    </w:p>
    <w:p>
      <w:pPr>
        <w:spacing w:after="80" w:line="264"/>
        <w:jc w:val="both"/>
      </w:pPr>
      <w:r>
        <w:rPr>
          <w:rFonts w:ascii="Arial" w:cs="Arial" w:eastAsia="Arial" w:hAnsi="Arial"/>
          <w:b w:val="false"/>
          <w:bCs w:val="false"/>
          <w:i w:val="false"/>
          <w:iCs w:val="false"/>
          <w:color w:val="000000"/>
          <w:sz w:val="20"/>
          <w:szCs w:val="20"/>
        </w:rPr>
        <w:t xml:space="preserve">1. Adoptar el MSAVI 2024 como métrica de línea base y de seguimiento del indicador de brecha (RM N.° 00213-2024-MINAM), y el NDVI como instrumento de delimitación interna de los bloques. Registrar ambos criterios de forma explícita en el Capítulo de Identificación.</w:t>
      </w:r>
    </w:p>
    <w:p>
      <w:pPr>
        <w:spacing w:after="80" w:line="264"/>
        <w:jc w:val="both"/>
      </w:pPr>
      <w:r>
        <w:rPr>
          <w:rFonts w:ascii="Arial" w:cs="Arial" w:eastAsia="Arial" w:hAnsi="Arial"/>
          <w:b w:val="false"/>
          <w:bCs w:val="false"/>
          <w:i w:val="false"/>
          <w:iCs w:val="false"/>
          <w:color w:val="000000"/>
          <w:sz w:val="20"/>
          <w:szCs w:val="20"/>
        </w:rPr>
        <w:t xml:space="preserve">2. Incorporar al catálogo tbl_Bloques, como campos obligatorios de la versión V7, la distribución porcentual de las cinco clases de ambos índices, de modo que la lectura deje de depender de la clasificación de cartografía temática.</w:t>
      </w:r>
    </w:p>
    <w:p>
      <w:pPr>
        <w:spacing w:after="80" w:line="264"/>
        <w:jc w:val="both"/>
      </w:pPr>
      <w:r>
        <w:rPr>
          <w:rFonts w:ascii="Arial" w:cs="Arial" w:eastAsia="Arial" w:hAnsi="Arial"/>
          <w:b w:val="false"/>
          <w:bCs w:val="false"/>
          <w:i w:val="false"/>
          <w:iCs w:val="false"/>
          <w:color w:val="000000"/>
          <w:sz w:val="20"/>
          <w:szCs w:val="20"/>
        </w:rPr>
        <w:t xml:space="preserve">3. Rehacer la estadística zonal en el SIG con el vectorial de bloques V6 antes de citar la distribución interna en el estudio definitivo, en particular en las ocho láminas que contienen bloques colindantes.</w:t>
      </w:r>
    </w:p>
    <w:p>
      <w:pPr>
        <w:spacing w:after="80" w:line="264"/>
        <w:jc w:val="both"/>
      </w:pPr>
      <w:r>
        <w:rPr>
          <w:rFonts w:ascii="Arial" w:cs="Arial" w:eastAsia="Arial" w:hAnsi="Arial"/>
          <w:b w:val="false"/>
          <w:bCs w:val="false"/>
          <w:i w:val="false"/>
          <w:iCs w:val="false"/>
          <w:color w:val="000000"/>
          <w:sz w:val="20"/>
          <w:szCs w:val="20"/>
        </w:rPr>
        <w:t xml:space="preserve">4. Emplear las superficies por modalidad de la matriz como insumo preliminar para el costeo de las MRR-CCC de infraestructura natural, aplicando los costos unitarios diferenciados de plantación en macizo, nucleación y enriquecimiento, y contrastándolas con la verificación de campo de las fichas F-DT.</w:t>
      </w:r>
    </w:p>
    <w:p>
      <w:pPr>
        <w:spacing w:after="80" w:line="264"/>
        <w:jc w:val="both"/>
      </w:pPr>
      <w:r>
        <w:rPr>
          <w:rFonts w:ascii="Arial" w:cs="Arial" w:eastAsia="Arial" w:hAnsi="Arial"/>
          <w:b w:val="false"/>
          <w:bCs w:val="false"/>
          <w:i w:val="false"/>
          <w:iCs w:val="false"/>
          <w:color w:val="000000"/>
          <w:sz w:val="20"/>
          <w:szCs w:val="20"/>
        </w:rPr>
        <w:t xml:space="preserve">5. Combinar toda medida de revegetación con obras de control de erosión —zanjas de infiltración, terrazas de formación lenta y barreras vivas— en las laderas de pendiente superior al 25 %, conforme al criterio establecido en los informes de diagnóstico territorial por bloque.</w:t>
      </w:r>
    </w:p>
    <w:p>
      <w:pPr>
        <w:spacing w:after="80" w:line="264"/>
        <w:jc w:val="both"/>
      </w:pPr>
      <w:r>
        <w:rPr>
          <w:rFonts w:ascii="Arial" w:cs="Arial" w:eastAsia="Arial" w:hAnsi="Arial"/>
          <w:b w:val="false"/>
          <w:bCs w:val="false"/>
          <w:i w:val="false"/>
          <w:iCs w:val="false"/>
          <w:color w:val="000000"/>
          <w:sz w:val="20"/>
          <w:szCs w:val="20"/>
        </w:rPr>
        <w:t xml:space="preserve">6. Revisar la pertinencia de los 22 bloques de tipología D frente al indicador de brecha, dado que su cobertura efectiva alta los aproxima a intervenciones de conservación antes que de recuperación de ecosistemas degradados.</w:t>
      </w:r>
    </w:p>
    <w:p>
      <w:pPr>
        <w:spacing w:after="80" w:line="264"/>
        <w:jc w:val="both"/>
      </w:pPr>
      <w:r>
        <w:rPr>
          <w:rFonts w:ascii="Arial" w:cs="Arial" w:eastAsia="Arial" w:hAnsi="Arial"/>
          <w:b w:val="false"/>
          <w:bCs w:val="false"/>
          <w:i w:val="false"/>
          <w:iCs w:val="false"/>
          <w:color w:val="000000"/>
          <w:sz w:val="20"/>
          <w:szCs w:val="20"/>
        </w:rPr>
        <w:t xml:space="preserve">7. Priorizar el dimensionamiento de metas físicas y la logística de producción de plantones en los cuatro distritos de piso bajo —San Juan de Bigote, Salitral, Buenos Aires y Chulucanas—, que concentran el 95.9 % de la superficie de cobertura baja del ámbito.</w:t>
      </w:r>
    </w:p>
    <w:p>
      <w:pPr>
        <w:pStyle w:val="Heading1"/>
        <w:spacing w:after="140" w:before="280"/>
      </w:pPr>
      <w:r>
        <w:rPr>
          <w:rFonts w:ascii="Arial" w:cs="Arial" w:eastAsia="Arial" w:hAnsi="Arial"/>
          <w:b/>
          <w:bCs/>
          <w:color w:val="1B4F72"/>
          <w:sz w:val="26"/>
          <w:szCs w:val="26"/>
        </w:rPr>
        <w:t xml:space="preserve">9. Referencias</w:t>
      </w:r>
    </w:p>
    <w:p>
      <w:pPr>
        <w:spacing w:after="60" w:line="264"/>
        <w:jc w:val="both"/>
      </w:pPr>
      <w:r>
        <w:rPr>
          <w:rFonts w:ascii="Arial" w:cs="Arial" w:eastAsia="Arial" w:hAnsi="Arial"/>
          <w:b w:val="false"/>
          <w:bCs w:val="false"/>
          <w:i w:val="false"/>
          <w:iCs w:val="false"/>
          <w:color w:val="000000"/>
          <w:sz w:val="20"/>
          <w:szCs w:val="20"/>
        </w:rPr>
        <w:t xml:space="preserve">ANIN — DIME/SESDI (2026). tbl_Bloques — Reporte de Bloques V6. Proyecto IN Piura, CUI 2669244.</w:t>
      </w:r>
    </w:p>
    <w:p>
      <w:pPr>
        <w:spacing w:after="60" w:line="264"/>
        <w:jc w:val="both"/>
      </w:pPr>
      <w:r>
        <w:rPr>
          <w:rFonts w:ascii="Arial" w:cs="Arial" w:eastAsia="Arial" w:hAnsi="Arial"/>
          <w:b w:val="false"/>
          <w:bCs w:val="false"/>
          <w:i w:val="false"/>
          <w:iCs w:val="false"/>
          <w:color w:val="000000"/>
          <w:sz w:val="20"/>
          <w:szCs w:val="20"/>
        </w:rPr>
        <w:t xml:space="preserve">ANIN — DIME/SESDI (2026). Informe Técnico de Diagnóstico Territorial del bloque M6B2-1. Proyecto IN Piura.</w:t>
      </w:r>
    </w:p>
    <w:p>
      <w:pPr>
        <w:spacing w:after="60" w:line="264"/>
        <w:jc w:val="both"/>
      </w:pPr>
      <w:r>
        <w:rPr>
          <w:rFonts w:ascii="Arial" w:cs="Arial" w:eastAsia="Arial" w:hAnsi="Arial"/>
          <w:b w:val="false"/>
          <w:bCs w:val="false"/>
          <w:i w:val="false"/>
          <w:iCs w:val="false"/>
          <w:color w:val="000000"/>
          <w:sz w:val="20"/>
          <w:szCs w:val="20"/>
        </w:rPr>
        <w:t xml:space="preserve">ANIN — DIME (2023). Nota Técnica de Meso y Microlocalización de Infraestructura Natural. Lima.</w:t>
      </w:r>
    </w:p>
    <w:p>
      <w:pPr>
        <w:spacing w:after="60" w:line="264"/>
        <w:jc w:val="both"/>
      </w:pPr>
      <w:r>
        <w:rPr>
          <w:rFonts w:ascii="Arial" w:cs="Arial" w:eastAsia="Arial" w:hAnsi="Arial"/>
          <w:b w:val="false"/>
          <w:bCs w:val="false"/>
          <w:i w:val="false"/>
          <w:iCs w:val="false"/>
          <w:color w:val="000000"/>
          <w:sz w:val="20"/>
          <w:szCs w:val="20"/>
        </w:rPr>
        <w:t xml:space="preserve">DGPMI — MEF (2022). Guía General para la Identificación, Formulación y Evaluación de Proyectos de Inversión. Anexo 2: Gestión del Riesgo en contexto de Cambio Climático. Lima.</w:t>
      </w:r>
    </w:p>
    <w:p>
      <w:pPr>
        <w:spacing w:after="60" w:line="264"/>
        <w:jc w:val="both"/>
      </w:pPr>
      <w:r>
        <w:rPr>
          <w:rFonts w:ascii="Arial" w:cs="Arial" w:eastAsia="Arial" w:hAnsi="Arial"/>
          <w:b w:val="false"/>
          <w:bCs w:val="false"/>
          <w:i w:val="false"/>
          <w:iCs w:val="false"/>
          <w:color w:val="000000"/>
          <w:sz w:val="20"/>
          <w:szCs w:val="20"/>
        </w:rPr>
        <w:t xml:space="preserve">MINAM (2022). Procedimiento para la identificación de áreas degradadas. Lima.</w:t>
      </w:r>
    </w:p>
    <w:p>
      <w:pPr>
        <w:spacing w:after="60" w:line="264"/>
        <w:jc w:val="both"/>
      </w:pPr>
      <w:r>
        <w:rPr>
          <w:rFonts w:ascii="Arial" w:cs="Arial" w:eastAsia="Arial" w:hAnsi="Arial"/>
          <w:b w:val="false"/>
          <w:bCs w:val="false"/>
          <w:i w:val="false"/>
          <w:iCs w:val="false"/>
          <w:color w:val="000000"/>
          <w:sz w:val="20"/>
          <w:szCs w:val="20"/>
        </w:rPr>
        <w:t xml:space="preserve">MINAM (2024). Resolución Ministerial N.° 00213-2024-MINAM.</w:t>
      </w:r>
    </w:p>
    <w:p>
      <w:pPr>
        <w:spacing w:after="60" w:line="264"/>
        <w:jc w:val="both"/>
      </w:pPr>
      <w:r>
        <w:rPr>
          <w:rFonts w:ascii="Arial" w:cs="Arial" w:eastAsia="Arial" w:hAnsi="Arial"/>
          <w:b w:val="false"/>
          <w:bCs w:val="false"/>
          <w:i w:val="false"/>
          <w:iCs w:val="false"/>
          <w:color w:val="000000"/>
          <w:sz w:val="20"/>
          <w:szCs w:val="20"/>
        </w:rPr>
        <w:t xml:space="preserve">Qi, J., Chehbouni, A., Huete, A. R., Kerr, Y. H. y Sorooshian, S. (1994). A modified soil adjusted vegetation index. Remote Sensing of Environment, 48(2), 119–126.</w:t>
      </w:r>
    </w:p>
    <w:p>
      <w:pPr>
        <w:sectPr>
          <w:headerReference w:type="default" r:id="rId7"/>
          <w:footerReference w:type="default" r:id="rId8"/>
          <w:pgSz w:w="12240" w:h="15840" w:orient="portrait"/>
          <w:pgMar w:top="1134" w:right="1134" w:bottom="1134" w:left="1134" w:header="708" w:footer="708" w:gutter="0"/>
          <w:pgNumType/>
          <w:docGrid w:linePitch="360"/>
        </w:sectPr>
      </w:pPr>
    </w:p>
    <w:p>
      <w:pPr>
        <w:pStyle w:val="Heading1"/>
        <w:spacing w:after="140" w:before="280"/>
      </w:pPr>
      <w:r>
        <w:rPr>
          <w:rFonts w:ascii="Arial" w:cs="Arial" w:eastAsia="Arial" w:hAnsi="Arial"/>
          <w:b/>
          <w:bCs/>
          <w:color w:val="1B4F72"/>
          <w:sz w:val="26"/>
          <w:szCs w:val="26"/>
        </w:rPr>
        <w:t xml:space="preserve">Anexo. Matriz pareada por bloque</w:t>
      </w:r>
    </w:p>
    <w:p>
      <w:pPr>
        <w:spacing w:after="120" w:line="264"/>
        <w:jc w:val="both"/>
      </w:pPr>
      <w:r>
        <w:rPr>
          <w:rFonts w:ascii="Arial" w:cs="Arial" w:eastAsia="Arial" w:hAnsi="Arial"/>
          <w:b w:val="false"/>
          <w:bCs w:val="false"/>
          <w:i w:val="false"/>
          <w:iCs w:val="false"/>
          <w:color w:val="000000"/>
          <w:sz w:val="20"/>
          <w:szCs w:val="20"/>
        </w:rPr>
        <w:t xml:space="preserve">Distribución interna de clases del MSAVI 2024 y del NDVI mediana 2025, y superficies derivadas por modalidad de intervención, para los 59 bloques preliminares. Extracción bajo ajuste único.</w:t>
      </w:r>
    </w:p>
    <w:p>
      <w:pPr>
        <w:spacing w:after="80" w:line="264"/>
        <w:jc w:val="left"/>
      </w:pPr>
      <w:r>
        <w:rPr>
          <w:rFonts w:ascii="Arial" w:cs="Arial" w:eastAsia="Arial" w:hAnsi="Arial"/>
          <w:b/>
          <w:bCs/>
          <w:i w:val="false"/>
          <w:iCs w:val="false"/>
          <w:color w:val="000000"/>
          <w:sz w:val="20"/>
          <w:szCs w:val="20"/>
        </w:rPr>
        <w:t xml:space="preserve">Tabla A.1. Distribución de clases del MSAVI 2024 y superficie de cobertura baja</w:t>
      </w:r>
    </w:p>
    <w:tbl>
      <w:tblPr>
        <w:tblW w:type="dxa" w:w="13380"/>
        <w:tblBorders>
          <w:top w:val="single" w:color="auto" w:sz="4"/>
          <w:left w:val="single" w:color="auto" w:sz="4"/>
          <w:bottom w:val="single" w:color="auto" w:sz="4"/>
          <w:right w:val="single" w:color="auto" w:sz="4"/>
          <w:insideH w:val="single" w:color="auto" w:sz="4"/>
          <w:insideV w:val="single" w:color="auto" w:sz="4"/>
        </w:tblBorders>
      </w:tblPr>
      <w:tblGrid>
        <w:gridCol w:w="820"/>
        <w:gridCol w:w="1180"/>
        <w:gridCol w:w="1520"/>
        <w:gridCol w:w="880"/>
        <w:gridCol w:w="780"/>
        <w:gridCol w:w="760"/>
        <w:gridCol w:w="660"/>
        <w:gridCol w:w="900"/>
        <w:gridCol w:w="1080"/>
        <w:gridCol w:w="1080"/>
        <w:gridCol w:w="1080"/>
        <w:gridCol w:w="860"/>
        <w:gridCol w:w="880"/>
        <w:gridCol w:w="900"/>
      </w:tblGrid>
      <w:tr>
        <w:trPr>
          <w:tblHeader/>
        </w:trPr>
        <w:tc>
          <w:tcPr>
            <w:tcW w:type="dxa" w:w="82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Bloque</w:t>
            </w:r>
          </w:p>
        </w:tc>
        <w:tc>
          <w:tcPr>
            <w:tcW w:type="dxa" w:w="11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Microcuenca</w:t>
            </w:r>
          </w:p>
        </w:tc>
        <w:tc>
          <w:tcPr>
            <w:tcW w:type="dxa" w:w="152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Distrito</w:t>
            </w:r>
          </w:p>
        </w:tc>
        <w:tc>
          <w:tcPr>
            <w:tcW w:type="dxa" w:w="8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Área (ha)</w:t>
            </w:r>
          </w:p>
        </w:tc>
        <w:tc>
          <w:tcPr>
            <w:tcW w:type="dxa" w:w="7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MSAVI V6</w:t>
            </w:r>
          </w:p>
        </w:tc>
        <w:tc>
          <w:tcPr>
            <w:tcW w:type="dxa" w:w="7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Recon.</w:t>
            </w:r>
          </w:p>
        </w:tc>
        <w:tc>
          <w:tcPr>
            <w:tcW w:type="dxa" w:w="6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Δ</w:t>
            </w:r>
          </w:p>
        </w:tc>
        <w:tc>
          <w:tcPr>
            <w:tcW w:type="dxa" w:w="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≤0.2650 %</w:t>
            </w:r>
          </w:p>
        </w:tc>
        <w:tc>
          <w:tcPr>
            <w:tcW w:type="dxa" w:w="10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0.2650–0.3813 %</w:t>
            </w:r>
          </w:p>
        </w:tc>
        <w:tc>
          <w:tcPr>
            <w:tcW w:type="dxa" w:w="10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0.3813–0.4976 %</w:t>
            </w:r>
          </w:p>
        </w:tc>
        <w:tc>
          <w:tcPr>
            <w:tcW w:type="dxa" w:w="10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0.4976–0.6139 %</w:t>
            </w:r>
          </w:p>
        </w:tc>
        <w:tc>
          <w:tcPr>
            <w:tcW w:type="dxa" w:w="8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&gt;0.6139 %</w:t>
            </w:r>
          </w:p>
        </w:tc>
        <w:tc>
          <w:tcPr>
            <w:tcW w:type="dxa" w:w="8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Cob. baja %</w:t>
            </w:r>
          </w:p>
        </w:tc>
        <w:tc>
          <w:tcPr>
            <w:tcW w:type="dxa" w:w="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Cob. baja (ha)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C1077-Q9566</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295.73</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0.3394</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0.3444</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0.0050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7.3</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74.4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219.93</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M18B1</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C1077-Q9579</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160.36</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0.3343</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0.3356</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0.0013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75.0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120.24</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M1B1</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C1077-Q9580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188.80</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0.3193</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0.3223</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0.0030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14.3</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72.0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86.3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162.88</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M6B10</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C1077-Q9566</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249.89</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0.3099</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0.3135</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0.0036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53.2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199.79</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M6B2-1</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C1077-Q9566</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514.36</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0.3381</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0.3499</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0.0118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71.5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367.97</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M6B2-2</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C1077-Q9566</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333.01</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0.3026</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0.3167</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0.0141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69.9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87.8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292.28</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M6B2-3</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C1077-Q9566</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160.98</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0.4063</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0.4078</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0.0015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54.9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56.95</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57</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C1086-Q9576</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CHALACO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25.67</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0.6031</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0.6119</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0.0088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37.9</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59</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CHALACO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13.55</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0.6147</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0.6274</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0.0127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30.1</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57.3</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0.64</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2</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C1096-Q9558</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330.60</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0.3586</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0.3591</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0.0005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66.9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226.00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22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C1096-Q9556</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79.33</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0.4232</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0.4245</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0.0013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74.1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6.4</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15.42</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M10B4</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C1096-Q9547</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68.89</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0.3133</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0.3195</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12.3</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78.3</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90.6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62.40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M17B1</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C1096-Q9556</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42.45</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0.3323</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0.3380</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0.0057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72.9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34.02</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M17B4</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C1096-Q9556</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124.71</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0.4235</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0.4237</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0.0002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70.6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27.12</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M27B1</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C1096-Q9557</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448.80</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0.3632</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0.3684</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0.0052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257.21</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M9B1</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C1096-Q9545</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355.36</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0.3143</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0.3171</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0.0028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17.5</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69.7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87.2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309.98</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M19B2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MORROPON</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74.37</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0.4012</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0.4107</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0.0095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21.78</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M32B3</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C1086-Q9569</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MORROPON</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50.97</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0.3852</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0.3888</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0.0036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45.7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24.14</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M18B3</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C1077-Q9579</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373.81</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0.3694</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0.3756</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53.0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54.8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204.66</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M2B1</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C1076-Q9584</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81.80</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0.2984</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0.3111</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0.0127</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76.0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75.86</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M2B5</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C1076-Q9584</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30.91</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0.3047</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0.3109</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86.3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26.69</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M3B1</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80.98</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0.3239</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0.3214</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0.0025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15.3</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84.1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68.09</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M3B9</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294.20</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0.3214</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0.3241</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0.0027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64.3</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239.66</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M7B1</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C1076-Q9581</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130.43</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0.3136</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0.3295</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0.0159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73.4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84.5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110.26</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C1076-Q9581</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115.38</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0.2877</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0.3070</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0.0193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70.8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106.49</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M7B3</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C1076-Q9581</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65.75</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0.2980</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0.3139</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0.0159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93.0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61.11</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M7B6</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C1076-Q9581</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91.29</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0.2878</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0.2923</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0.0045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64.6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94.6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86.36</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77</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17.82</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0.2725</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0.2706</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0.0019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95.3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16.98</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83</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24.34</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0.3055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0.3051</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0.0004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55.8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84.9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20.67</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84</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5.10</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0.2516</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0.2553</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0.0037</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4.72</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85</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11.91</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0.2289</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0.2173</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0.0116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85.2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14.3</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99.5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11.84</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86</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30.00</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0.2735</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0.2672</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41.4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93.1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27.92</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87</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62.22</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0.2487</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0.2295</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0.0192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96.9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60.30</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M11B3</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C1081-Q9583</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106.03</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0.3956</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0.3974</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0.0018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41.8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10.8</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47.12</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M3B3</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84.83</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0.2985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0.3066</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0.0081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66.5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76.31</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M3B5</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52.74</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0.2830</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0.2834</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0.0004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94.6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49.90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M3B6</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60.35</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0.3425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0.3376</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0.0049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73.4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44.28</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M3B7</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122.95</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0.3707</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0.3689</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0.0018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33.3</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62.7</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77.14</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M3B8</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C1081-Q9582</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565.58</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0.2934</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0.3108</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0.0174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85.8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485.21</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14</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92.91</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0.5197</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0.5220</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0.0023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12.3</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5.21</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42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80.62</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0.6348</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0.6481</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0.0133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28.3</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63.7</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0.95</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58</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C1086-Q9569</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11.48</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0.4203</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0.4238</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0.0035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1.85</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M36B2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C1086-Q9576</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28.19</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0.5974</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0.6063</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0.0089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36.6</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0.34</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11</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103.95</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0.6047</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0.6113</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45.7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42.4</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0.06</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119.54</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0.7067</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0.7014</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0.0053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89.3</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13</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C1096-Q9564</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100.51</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0.6711</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0.6642</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23.5</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70.4</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15</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86.15</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0.5605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0.5759</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0.0154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49.1</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28.8</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0.72</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17</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96.08</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0.6479</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0.6328</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0.0151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32.6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56.2</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1.01</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23</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81.78</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0.5731</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0.5858</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0.0127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46.2</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33.8</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0.87</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78</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35.10</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0.7074</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0.6913</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0.0161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84.1</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0.02</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35.66</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0.6283</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0.6158</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0.0125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47.1</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0.17</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M19B7</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C1086-Q9570</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34.17</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0.5919</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0.6048</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0.0129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60.2</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34.0</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M8B2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C1096-Q9558</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35.35</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0.5305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0.5359</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0.0054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14.1</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1.85</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49</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C1086-Q9575</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15.84</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0.6860</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0.6792</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0.0068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78.1</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C1086-Q9575</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11.06</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0.6685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0.6637</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0.0048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26.9</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68.8</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55</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C1086-Q9575</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0.86</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0.6300</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0.6423</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0.0123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43.4</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54.4</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M28B2</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C1086-Q9575</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90.20</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0.4753</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0.4780</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0.0027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54.7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6.75</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M28B3</w:t>
            </w:r>
          </w:p>
        </w:tc>
        <w:tc>
          <w:tcPr>
            <w:tcW w:type="dxa" w:w="11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C1086-Q9575</w:t>
            </w:r>
          </w:p>
        </w:tc>
        <w:tc>
          <w:tcPr>
            <w:tcW w:type="dxa" w:w="15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58.29</w:t>
            </w:r>
          </w:p>
        </w:tc>
        <w:tc>
          <w:tcPr>
            <w:tcW w:type="dxa" w:w="7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0.5075</w:t>
            </w:r>
          </w:p>
        </w:tc>
        <w:tc>
          <w:tcPr>
            <w:tcW w:type="dxa" w:w="7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0.5077</w:t>
            </w:r>
          </w:p>
        </w:tc>
        <w:tc>
          <w:tcPr>
            <w:tcW w:type="dxa" w:w="6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0.0002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9.5</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14.3</w:t>
            </w:r>
          </w:p>
        </w:tc>
        <w:tc>
          <w:tcPr>
            <w:tcW w:type="dxa" w:w="8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6.07</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M28B4</w:t>
            </w:r>
          </w:p>
        </w:tc>
        <w:tc>
          <w:tcPr>
            <w:tcW w:type="dxa" w:w="11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C1086-Q9575</w:t>
            </w:r>
          </w:p>
        </w:tc>
        <w:tc>
          <w:tcPr>
            <w:tcW w:type="dxa" w:w="15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283.43</w:t>
            </w:r>
          </w:p>
        </w:tc>
        <w:tc>
          <w:tcPr>
            <w:tcW w:type="dxa" w:w="7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0.4275</w:t>
            </w:r>
          </w:p>
        </w:tc>
        <w:tc>
          <w:tcPr>
            <w:tcW w:type="dxa" w:w="7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0.4246</w:t>
            </w:r>
          </w:p>
        </w:tc>
        <w:tc>
          <w:tcPr>
            <w:tcW w:type="dxa" w:w="6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0.0029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24.4</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8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38.1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107.87</w:t>
            </w:r>
          </w:p>
        </w:tc>
      </w:tr>
      <w:tr>
        <w:tc>
          <w:tcPr>
            <w:tcW w:type="dxa" w:w="82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3"/>
                <w:szCs w:val="13"/>
              </w:rPr>
              <w:t xml:space="preserve">TOTAL</w:t>
            </w:r>
          </w:p>
        </w:tc>
        <w:tc>
          <w:tcPr>
            <w:tcW w:type="dxa" w:w="11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3"/>
                <w:szCs w:val="13"/>
              </w:rPr>
              <w:t xml:space="preserve">—</w:t>
            </w:r>
          </w:p>
        </w:tc>
        <w:tc>
          <w:tcPr>
            <w:tcW w:type="dxa" w:w="152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3"/>
                <w:szCs w:val="13"/>
              </w:rPr>
              <w:t xml:space="preserve">—</w:t>
            </w:r>
          </w:p>
        </w:tc>
        <w:tc>
          <w:tcPr>
            <w:tcW w:type="dxa" w:w="8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7,327.37</w:t>
            </w:r>
          </w:p>
        </w:tc>
        <w:tc>
          <w:tcPr>
            <w:tcW w:type="dxa" w:w="7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0.3793</w:t>
            </w:r>
          </w:p>
        </w:tc>
        <w:tc>
          <w:tcPr>
            <w:tcW w:type="dxa" w:w="7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0.3846</w:t>
            </w:r>
          </w:p>
        </w:tc>
        <w:tc>
          <w:tcPr>
            <w:tcW w:type="dxa" w:w="6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w:t>
            </w:r>
          </w:p>
        </w:tc>
        <w:tc>
          <w:tcPr>
            <w:tcW w:type="dxa" w:w="9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10.9</w:t>
            </w:r>
          </w:p>
        </w:tc>
        <w:tc>
          <w:tcPr>
            <w:tcW w:type="dxa" w:w="10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49.6</w:t>
            </w:r>
          </w:p>
        </w:tc>
        <w:tc>
          <w:tcPr>
            <w:tcW w:type="dxa" w:w="10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24.3</w:t>
            </w:r>
          </w:p>
        </w:tc>
        <w:tc>
          <w:tcPr>
            <w:tcW w:type="dxa" w:w="10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8.1</w:t>
            </w:r>
          </w:p>
        </w:tc>
        <w:tc>
          <w:tcPr>
            <w:tcW w:type="dxa" w:w="8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7.1</w:t>
            </w:r>
          </w:p>
        </w:tc>
        <w:tc>
          <w:tcPr>
            <w:tcW w:type="dxa" w:w="8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60.5</w:t>
            </w:r>
          </w:p>
        </w:tc>
        <w:tc>
          <w:tcPr>
            <w:tcW w:type="dxa" w:w="9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4,434.07</w:t>
            </w:r>
          </w:p>
        </w:tc>
      </w:tr>
    </w:tbl>
    <w:p>
      <w:pPr>
        <w:spacing w:after="160"/>
      </w:pPr>
    </w:p>
    <w:p>
      <w:pPr>
        <w:spacing w:after="80" w:line="264"/>
        <w:jc w:val="left"/>
      </w:pPr>
      <w:r>
        <w:rPr>
          <w:rFonts w:ascii="Arial" w:cs="Arial" w:eastAsia="Arial" w:hAnsi="Arial"/>
          <w:b/>
          <w:bCs/>
          <w:i w:val="false"/>
          <w:iCs w:val="false"/>
          <w:color w:val="000000"/>
          <w:sz w:val="20"/>
          <w:szCs w:val="20"/>
        </w:rPr>
        <w:t xml:space="preserve">Tabla A.2. Distribución de clases del NDVI mediana 2025 y superficie por modalidad de intervención</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820"/>
        <w:gridCol w:w="1560"/>
        <w:gridCol w:w="900"/>
        <w:gridCol w:w="860"/>
        <w:gridCol w:w="1000"/>
        <w:gridCol w:w="1000"/>
        <w:gridCol w:w="1080"/>
        <w:gridCol w:w="900"/>
        <w:gridCol w:w="1150"/>
        <w:gridCol w:w="1000"/>
        <w:gridCol w:w="980"/>
        <w:gridCol w:w="900"/>
        <w:gridCol w:w="530"/>
      </w:tblGrid>
      <w:tr>
        <w:trPr>
          <w:tblHeader/>
        </w:trPr>
        <w:tc>
          <w:tcPr>
            <w:tcW w:type="dxa" w:w="82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Bloque</w:t>
            </w:r>
          </w:p>
        </w:tc>
        <w:tc>
          <w:tcPr>
            <w:tcW w:type="dxa" w:w="15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Distrito</w:t>
            </w:r>
          </w:p>
        </w:tc>
        <w:tc>
          <w:tcPr>
            <w:tcW w:type="dxa" w:w="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Área (ha)</w:t>
            </w:r>
          </w:p>
        </w:tc>
        <w:tc>
          <w:tcPr>
            <w:tcW w:type="dxa" w:w="86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No veg. %</w:t>
            </w:r>
          </w:p>
        </w:tc>
        <w:tc>
          <w:tcPr>
            <w:tcW w:type="dxa" w:w="10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T. desnuda %</w:t>
            </w:r>
          </w:p>
        </w:tc>
        <w:tc>
          <w:tcPr>
            <w:tcW w:type="dxa" w:w="10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Veg. ligera %</w:t>
            </w:r>
          </w:p>
        </w:tc>
        <w:tc>
          <w:tcPr>
            <w:tcW w:type="dxa" w:w="10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Veg. mediana %</w:t>
            </w:r>
          </w:p>
        </w:tc>
        <w:tc>
          <w:tcPr>
            <w:tcW w:type="dxa" w:w="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Veg. alta %</w:t>
            </w:r>
          </w:p>
        </w:tc>
        <w:tc>
          <w:tcPr>
            <w:tcW w:type="dxa" w:w="115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Restaur. activa (ha)</w:t>
            </w:r>
          </w:p>
        </w:tc>
        <w:tc>
          <w:tcPr>
            <w:tcW w:type="dxa" w:w="10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Enriquec. (ha)</w:t>
            </w:r>
          </w:p>
        </w:tc>
        <w:tc>
          <w:tcPr>
            <w:tcW w:type="dxa" w:w="98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Conserv. (ha)</w:t>
            </w:r>
          </w:p>
        </w:tc>
        <w:tc>
          <w:tcPr>
            <w:tcW w:type="dxa" w:w="90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Brecha (pp)</w:t>
            </w:r>
          </w:p>
        </w:tc>
        <w:tc>
          <w:tcPr>
            <w:tcW w:type="dxa" w:w="530"/>
            <w:tcBorders>
              <w:top w:val="single" w:color="AEB6BF" w:sz="4"/>
              <w:left w:val="single" w:color="AEB6BF" w:sz="4"/>
              <w:bottom w:val="single" w:color="AEB6BF" w:sz="4"/>
              <w:right w:val="single" w:color="AEB6BF" w:sz="4"/>
            </w:tcBorders>
            <w:shd w:fill="1B4F72" w:color="auto" w:val="clear"/>
            <w:tcMar>
              <w:top w:type="dxa" w:w="50"/>
              <w:left w:type="dxa" w:w="80"/>
              <w:bottom w:type="dxa" w:w="50"/>
              <w:right w:type="dxa" w:w="80"/>
            </w:tcMar>
          </w:tcPr>
          <w:p>
            <w:pPr>
              <w:spacing w:after="0" w:line="230"/>
              <w:jc w:val="center"/>
            </w:pPr>
            <w:r>
              <w:rPr>
                <w:rFonts w:ascii="Arial" w:cs="Arial" w:eastAsia="Arial" w:hAnsi="Arial"/>
                <w:b/>
                <w:bCs/>
                <w:color w:val="FFFFFF"/>
                <w:sz w:val="16"/>
                <w:szCs w:val="16"/>
              </w:rPr>
              <w:t xml:space="preserve">Tipo</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295.73</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87.42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195.00</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11.62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-44.8</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M18B1</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160.36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29.3</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48.14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109.85</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-45.0</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M1B1</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188.80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58.0</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40.9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110.69</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77.16</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-27.6</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M6B10</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249.89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192.27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57.50</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M6B2-1</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514.36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348.12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164.23</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M6B2-2</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333.01</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79.1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273.20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58.41</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M6B2-3</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BUENOS AIRES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160.98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56.70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97.55</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C</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57</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CHALACO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25.67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82.4</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4.25</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21.15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59</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CHALACO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13.55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88.0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0.91</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2</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330.60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70.7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237.24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92.20</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22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79.33</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32.6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53.25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25.89</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47.7</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C</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M10B4</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68.89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22.6</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75.0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67.23</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7.0</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M17B1</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42.45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82.1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36.34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5.93</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5.5</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M17B4</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124.71</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15.5</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3.2</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19.28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101.00</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4.02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-6.3</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M27B1</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448.80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82.8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434.98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10.05</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39.6</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M9B1</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CHULUCANAS</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355.36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79.9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328.00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26.97</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M19B2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MORROPON</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74.37</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63.9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25.90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47.50</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5.5</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C</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M32B3</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MORROPON</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50.97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59.5</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38.3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31.19</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19.52</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13.8</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C</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M18B3</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373.81</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69.4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90.46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259.24</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24.11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-30.6</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M2B1</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81.80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35.53</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45.96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-49.3</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M2B5</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30.91</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18.22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11.02</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-27.4</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M3B1</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80.98</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36.6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30.77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48.86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-46.1</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M3B9</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294.20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43.8</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145.98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138.83</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8.83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-31.8</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M7B1</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130.43</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35.5</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4.1</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46.60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75.63</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5.40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-48.8</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115.38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55.27</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58.37</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-44.4</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M7B3</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65.75</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50.0</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33.71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30.79</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-41.7</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M7B6</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SALITRAL</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91.29</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47.54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43.06</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-42.5</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77</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17.82</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16.45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83</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24.34</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10.3</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17.46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6.15</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-13.2</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84</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63.2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12.7</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4.33</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0.65</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-7.7</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85</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11.91</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42.7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11.78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0.12</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86</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30.00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70.1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27.04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87</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62.22</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62.2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59.52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2.17</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-1.3</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M11B3</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106.03</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29.2</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50.2</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19.7</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31.86</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53.26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20.91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-14.4</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C</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M3B3</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84.83</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40.2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49.39</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34.13</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-31.7</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M3B5</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52.74</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79.6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46.08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6.61</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-7.3</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M3B6</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60.35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53.1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41.4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33.86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25.00</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0.64</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-17.3</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M3B7</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122.95</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6.4</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57.61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56.64</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-15.9</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B</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M3B8</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 JUAN DE BIG</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565.58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389.07</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163.85</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10.63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-17.0</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A</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14</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92.91</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35.7</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58.5</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4.75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33.15</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54.39</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42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80.62</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88.7</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8.56</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71.52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58</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11.48</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22.4</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77.5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8.89</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6.3</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M36B2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SANTA CATALINA</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28.19</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0.76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4.52</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22.83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11</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103.95</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77.6</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22.12</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80.67</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119.54</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99.5</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0.07</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118.99</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13</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100.51</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89.3</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0.94</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9.82</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89.75</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15</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86.15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57.1</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34.10</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49.18</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2.1</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17</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96.08</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80.7</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2.49</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15.61</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77.53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23</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81.78</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4.6</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59.1</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3.85</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29.10</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48.33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78</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35.10</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88.7</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0.32</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3.65</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31.13</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82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35.66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8.2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90.9</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0.17</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2.93</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32.43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M19B7</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34.17</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19.6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78.7</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0.57</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6.70</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26.90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1.7</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M8B2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SANTO DOMINGO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35.35</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5.2</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30.0</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63.0</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1.86</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10.59</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22.26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49</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15.84</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98.8</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0.02</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0.17</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15.64</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11.06</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97.3</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0.29</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10.75</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55</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0.86</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99.9</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0.00</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M28B2</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90.20</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7.4</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53.6</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36.9</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7.44</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48.37</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33.32</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M28B3</w:t>
            </w:r>
          </w:p>
        </w:tc>
        <w:tc>
          <w:tcPr>
            <w:tcW w:type="dxa" w:w="15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58.29</w:t>
            </w:r>
          </w:p>
        </w:tc>
        <w:tc>
          <w:tcPr>
            <w:tcW w:type="dxa" w:w="86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0.8</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0.2</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6.1</w:t>
            </w:r>
          </w:p>
        </w:tc>
        <w:tc>
          <w:tcPr>
            <w:tcW w:type="dxa" w:w="10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48.8</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44.0</w:t>
            </w:r>
          </w:p>
        </w:tc>
        <w:tc>
          <w:tcPr>
            <w:tcW w:type="dxa" w:w="115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3.71</w:t>
            </w:r>
          </w:p>
        </w:tc>
        <w:tc>
          <w:tcPr>
            <w:tcW w:type="dxa" w:w="10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28.46</w:t>
            </w:r>
          </w:p>
        </w:tc>
        <w:tc>
          <w:tcPr>
            <w:tcW w:type="dxa" w:w="98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25.66</w:t>
            </w:r>
          </w:p>
        </w:tc>
        <w:tc>
          <w:tcPr>
            <w:tcW w:type="dxa" w:w="90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-4.1</w:t>
            </w:r>
          </w:p>
        </w:tc>
        <w:tc>
          <w:tcPr>
            <w:tcW w:type="dxa" w:w="530"/>
            <w:tcBorders>
              <w:top w:val="single" w:color="AEB6BF" w:sz="4"/>
              <w:left w:val="single" w:color="AEB6BF" w:sz="4"/>
              <w:bottom w:val="single" w:color="AEB6BF" w:sz="4"/>
              <w:right w:val="single" w:color="AEB6BF" w:sz="4"/>
            </w:tcBorders>
            <w:shd w:fill="F2F6F9"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D</w:t>
            </w:r>
          </w:p>
        </w:tc>
      </w:tr>
      <w:tr>
        <w:tc>
          <w:tcPr>
            <w:tcW w:type="dxa" w:w="82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M28B4</w:t>
            </w:r>
          </w:p>
        </w:tc>
        <w:tc>
          <w:tcPr>
            <w:tcW w:type="dxa" w:w="15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left"/>
            </w:pPr>
            <w:r>
              <w:rPr>
                <w:rFonts w:ascii="Arial" w:cs="Arial" w:eastAsia="Arial" w:hAnsi="Arial"/>
                <w:b w:val="false"/>
                <w:bCs w:val="false"/>
                <w:color w:val="000000"/>
                <w:sz w:val="13"/>
                <w:szCs w:val="13"/>
              </w:rPr>
              <w:t xml:space="preserve">YAMANGO</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283.43</w:t>
            </w:r>
          </w:p>
        </w:tc>
        <w:tc>
          <w:tcPr>
            <w:tcW w:type="dxa" w:w="86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0.1</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0.9</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39.5</w:t>
            </w:r>
          </w:p>
        </w:tc>
        <w:tc>
          <w:tcPr>
            <w:tcW w:type="dxa" w:w="10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43.3</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16.2</w:t>
            </w:r>
          </w:p>
        </w:tc>
        <w:tc>
          <w:tcPr>
            <w:tcW w:type="dxa" w:w="115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114.48</w:t>
            </w:r>
          </w:p>
        </w:tc>
        <w:tc>
          <w:tcPr>
            <w:tcW w:type="dxa" w:w="10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122.78</w:t>
            </w:r>
          </w:p>
        </w:tc>
        <w:tc>
          <w:tcPr>
            <w:tcW w:type="dxa" w:w="98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45.77</w:t>
            </w:r>
          </w:p>
        </w:tc>
        <w:tc>
          <w:tcPr>
            <w:tcW w:type="dxa" w:w="90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2.3</w:t>
            </w:r>
          </w:p>
        </w:tc>
        <w:tc>
          <w:tcPr>
            <w:tcW w:type="dxa" w:w="530"/>
            <w:tcBorders>
              <w:top w:val="single" w:color="AEB6BF" w:sz="4"/>
              <w:left w:val="single" w:color="AEB6BF" w:sz="4"/>
              <w:bottom w:val="single" w:color="AEB6BF" w:sz="4"/>
              <w:right w:val="single" w:color="AEB6BF" w:sz="4"/>
            </w:tcBorders>
            <w:shd w:fill="FFFFFF" w:color="auto" w:val="clear"/>
            <w:tcMar>
              <w:top w:type="dxa" w:w="50"/>
              <w:left w:type="dxa" w:w="80"/>
              <w:bottom w:type="dxa" w:w="50"/>
              <w:right w:type="dxa" w:w="80"/>
            </w:tcMar>
          </w:tcPr>
          <w:p>
            <w:pPr>
              <w:spacing w:after="0" w:line="230"/>
              <w:jc w:val="center"/>
            </w:pPr>
            <w:r>
              <w:rPr>
                <w:rFonts w:ascii="Arial" w:cs="Arial" w:eastAsia="Arial" w:hAnsi="Arial"/>
                <w:b w:val="false"/>
                <w:bCs w:val="false"/>
                <w:color w:val="000000"/>
                <w:sz w:val="13"/>
                <w:szCs w:val="13"/>
              </w:rPr>
              <w:t xml:space="preserve">C</w:t>
            </w:r>
          </w:p>
        </w:tc>
      </w:tr>
      <w:tr>
        <w:tc>
          <w:tcPr>
            <w:tcW w:type="dxa" w:w="82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3"/>
                <w:szCs w:val="13"/>
              </w:rPr>
              <w:t xml:space="preserve">TOTAL</w:t>
            </w:r>
          </w:p>
        </w:tc>
        <w:tc>
          <w:tcPr>
            <w:tcW w:type="dxa" w:w="15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left"/>
            </w:pPr>
            <w:r>
              <w:rPr>
                <w:rFonts w:ascii="Arial" w:cs="Arial" w:eastAsia="Arial" w:hAnsi="Arial"/>
                <w:b/>
                <w:bCs/>
                <w:color w:val="FFFFFF"/>
                <w:sz w:val="13"/>
                <w:szCs w:val="13"/>
              </w:rPr>
              <w:t xml:space="preserve">—</w:t>
            </w:r>
          </w:p>
        </w:tc>
        <w:tc>
          <w:tcPr>
            <w:tcW w:type="dxa" w:w="9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7,327.37</w:t>
            </w:r>
          </w:p>
        </w:tc>
        <w:tc>
          <w:tcPr>
            <w:tcW w:type="dxa" w:w="86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0.3</w:t>
            </w:r>
          </w:p>
        </w:tc>
        <w:tc>
          <w:tcPr>
            <w:tcW w:type="dxa" w:w="10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4.5</w:t>
            </w:r>
          </w:p>
        </w:tc>
        <w:tc>
          <w:tcPr>
            <w:tcW w:type="dxa" w:w="10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46.6</w:t>
            </w:r>
          </w:p>
        </w:tc>
        <w:tc>
          <w:tcPr>
            <w:tcW w:type="dxa" w:w="10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34.8</w:t>
            </w:r>
          </w:p>
        </w:tc>
        <w:tc>
          <w:tcPr>
            <w:tcW w:type="dxa" w:w="9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13.7</w:t>
            </w:r>
          </w:p>
        </w:tc>
        <w:tc>
          <w:tcPr>
            <w:tcW w:type="dxa" w:w="115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3,748.05</w:t>
            </w:r>
          </w:p>
        </w:tc>
        <w:tc>
          <w:tcPr>
            <w:tcW w:type="dxa" w:w="10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2,549.75</w:t>
            </w:r>
          </w:p>
        </w:tc>
        <w:tc>
          <w:tcPr>
            <w:tcW w:type="dxa" w:w="98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1,006.78</w:t>
            </w:r>
          </w:p>
        </w:tc>
        <w:tc>
          <w:tcPr>
            <w:tcW w:type="dxa" w:w="90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-9.4</w:t>
            </w:r>
          </w:p>
        </w:tc>
        <w:tc>
          <w:tcPr>
            <w:tcW w:type="dxa" w:w="530"/>
            <w:tcBorders>
              <w:top w:val="single" w:color="AEB6BF" w:sz="4"/>
              <w:left w:val="single" w:color="AEB6BF" w:sz="4"/>
              <w:bottom w:val="single" w:color="AEB6BF" w:sz="4"/>
              <w:right w:val="single" w:color="AEB6BF" w:sz="4"/>
            </w:tcBorders>
            <w:shd w:fill="2E86AB" w:color="auto" w:val="clear"/>
            <w:tcMar>
              <w:top w:type="dxa" w:w="50"/>
              <w:left w:type="dxa" w:w="80"/>
              <w:bottom w:type="dxa" w:w="50"/>
              <w:right w:type="dxa" w:w="80"/>
            </w:tcMar>
          </w:tcPr>
          <w:p>
            <w:pPr>
              <w:spacing w:after="0" w:line="230"/>
              <w:jc w:val="center"/>
            </w:pPr>
            <w:r>
              <w:rPr>
                <w:rFonts w:ascii="Arial" w:cs="Arial" w:eastAsia="Arial" w:hAnsi="Arial"/>
                <w:b/>
                <w:bCs/>
                <w:color w:val="FFFFFF"/>
                <w:sz w:val="13"/>
                <w:szCs w:val="13"/>
              </w:rPr>
              <w:t xml:space="preserve">—</w:t>
            </w:r>
          </w:p>
        </w:tc>
      </w:tr>
    </w:tbl>
    <w:p>
      <w:pPr>
        <w:spacing w:after="200" w:line="264"/>
        <w:jc w:val="left"/>
      </w:pPr>
      <w:r>
        <w:rPr>
          <w:rFonts w:ascii="Arial" w:cs="Arial" w:eastAsia="Arial" w:hAnsi="Arial"/>
          <w:b w:val="false"/>
          <w:bCs w:val="false"/>
          <w:i/>
          <w:iCs/>
          <w:color w:val="000000"/>
          <w:sz w:val="16"/>
          <w:szCs w:val="16"/>
        </w:rPr>
        <w:t xml:space="preserve">Tipologías: A = degradación convergente · B = degradación estructural enmascarada por verdor estacional · C = cobertura media con núcleos degradados · D = cobertura conservada convergente. Brecha = superficie sin cobertura efectiva según NDVI menos superficie de cobertura baja según MSAVI, en puntos porcentuales.</w:t>
      </w:r>
    </w:p>
    <w:sectPr>
      <w:headerReference w:type="default" r:id="rId9"/>
      <w:footerReference w:type="default" r:id="rId10"/>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Informe de Lectura Integrada NDVI–MSAVI v2.0  ·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Informe de Lectura Integrada NDVI–MSAVI v2.0  ·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86AB"/>
        <w:sz w:val="14"/>
        <w:szCs w:val="14"/>
      </w:rPr>
      <w:t xml:space="preserve">ANIN — DIME — SESDI · Proyecto IN Piura · CUI 2669244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86AB"/>
        <w:sz w:val="14"/>
        <w:szCs w:val="14"/>
      </w:rPr>
      <w:t xml:space="preserve">ANIN — DIME — SESDI · Proyecto IN Piura · CUI 2669244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2026-08-23T09:11:36.461Z</dcterms:created>
  <dcterms:modified xsi:type="dcterms:W3CDTF">2026-08-23T09:11:36.462Z</dcterms:modified>
</cp:coreProperties>
</file>

<file path=docProps/custom.xml><?xml version="1.0" encoding="utf-8"?>
<Properties xmlns="http://schemas.openxmlformats.org/officeDocument/2006/custom-properties" xmlns:vt="http://schemas.openxmlformats.org/officeDocument/2006/docPropsVTypes"/>
</file>