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C6C84" w14:textId="77777777" w:rsidR="00216A07" w:rsidRDefault="00000000">
      <w:pPr>
        <w:spacing w:before="1700"/>
        <w:jc w:val="center"/>
      </w:pPr>
      <w:r>
        <w:rPr>
          <w:b/>
          <w:color w:val="17365D"/>
          <w:sz w:val="64"/>
        </w:rPr>
        <w:t>MEDISCOPE</w:t>
      </w:r>
    </w:p>
    <w:p w14:paraId="0FABF2C6" w14:textId="77777777" w:rsidR="00216A07" w:rsidRDefault="00000000">
      <w:pPr>
        <w:jc w:val="center"/>
      </w:pPr>
      <w:r>
        <w:rPr>
          <w:color w:val="3C556E"/>
          <w:sz w:val="34"/>
        </w:rPr>
        <w:t>Hospital Intelligence &amp; Performance Analytics</w:t>
      </w:r>
    </w:p>
    <w:p w14:paraId="528D6248" w14:textId="77777777" w:rsidR="00216A07" w:rsidRDefault="00000000">
      <w:pPr>
        <w:spacing w:before="360"/>
        <w:jc w:val="center"/>
      </w:pPr>
      <w:r>
        <w:rPr>
          <w:b/>
          <w:sz w:val="40"/>
        </w:rPr>
        <w:t>BUSINESS ANALYSIS REPORT</w:t>
      </w:r>
    </w:p>
    <w:p w14:paraId="15004185" w14:textId="77777777" w:rsidR="00216A07" w:rsidRDefault="00000000">
      <w:pPr>
        <w:spacing w:before="280"/>
        <w:jc w:val="center"/>
      </w:pPr>
      <w:r>
        <w:rPr>
          <w:sz w:val="22"/>
        </w:rPr>
        <w:t>Project review • Power BI dashboard • Data analysis &amp; findings</w:t>
      </w:r>
    </w:p>
    <w:p w14:paraId="45DE4B3B" w14:textId="74B0A629" w:rsidR="00216A07" w:rsidRDefault="00000000">
      <w:pPr>
        <w:spacing w:before="1100"/>
        <w:jc w:val="center"/>
      </w:pPr>
      <w:r>
        <w:rPr>
          <w:sz w:val="24"/>
        </w:rPr>
        <w:t>Prepared by Saloni Patel</w:t>
      </w:r>
      <w:r>
        <w:rPr>
          <w:sz w:val="24"/>
        </w:rPr>
        <w:br/>
      </w:r>
      <w:r w:rsidR="006279CE">
        <w:rPr>
          <w:sz w:val="24"/>
        </w:rPr>
        <w:t xml:space="preserve">updated on </w:t>
      </w:r>
      <w:r>
        <w:rPr>
          <w:sz w:val="24"/>
        </w:rPr>
        <w:t>28 October 2026</w:t>
      </w:r>
    </w:p>
    <w:p w14:paraId="7BF8EDF2" w14:textId="77777777" w:rsidR="00216A07" w:rsidRDefault="00000000">
      <w:pPr>
        <w:spacing w:before="1200"/>
        <w:jc w:val="center"/>
      </w:pPr>
      <w:r>
        <w:rPr>
          <w:i/>
          <w:color w:val="5A646E"/>
          <w:sz w:val="18"/>
        </w:rPr>
        <w:t>Portfolio case study based on the supplied Power BI dashboard and Excel source files</w:t>
      </w:r>
    </w:p>
    <w:p w14:paraId="17CD631D" w14:textId="77777777" w:rsidR="00216A07" w:rsidRDefault="00000000">
      <w:r>
        <w:br w:type="page"/>
      </w:r>
    </w:p>
    <w:p w14:paraId="3D600F4D" w14:textId="77777777" w:rsidR="00216A07" w:rsidRDefault="00000000">
      <w:pPr>
        <w:pStyle w:val="Heading1"/>
        <w:spacing w:before="160" w:after="80"/>
      </w:pPr>
      <w:r>
        <w:lastRenderedPageBreak/>
        <w:t>Table of Contents</w:t>
      </w:r>
    </w:p>
    <w:tbl>
      <w:tblPr>
        <w:tblStyle w:val="TableGrid"/>
        <w:tblW w:w="0" w:type="auto"/>
        <w:jc w:val="center"/>
        <w:tblLook w:val="04A0" w:firstRow="1" w:lastRow="0" w:firstColumn="1" w:lastColumn="0" w:noHBand="0" w:noVBand="1"/>
      </w:tblPr>
      <w:tblGrid>
        <w:gridCol w:w="1152"/>
        <w:gridCol w:w="8064"/>
        <w:gridCol w:w="1008"/>
      </w:tblGrid>
      <w:tr w:rsidR="00216A07" w14:paraId="45D6F1AA" w14:textId="77777777">
        <w:trPr>
          <w:jc w:val="center"/>
        </w:trPr>
        <w:tc>
          <w:tcPr>
            <w:tcW w:w="1152" w:type="dxa"/>
            <w:shd w:val="clear" w:color="auto" w:fill="17365D"/>
            <w:vAlign w:val="center"/>
          </w:tcPr>
          <w:p w14:paraId="2937C68E" w14:textId="77777777" w:rsidR="00216A07" w:rsidRDefault="00000000">
            <w:pPr>
              <w:spacing w:after="20"/>
            </w:pPr>
            <w:r>
              <w:rPr>
                <w:b/>
                <w:color w:val="FFFFFF"/>
                <w:sz w:val="18"/>
              </w:rPr>
              <w:t>Section</w:t>
            </w:r>
          </w:p>
        </w:tc>
        <w:tc>
          <w:tcPr>
            <w:tcW w:w="8064" w:type="dxa"/>
            <w:shd w:val="clear" w:color="auto" w:fill="17365D"/>
            <w:vAlign w:val="center"/>
          </w:tcPr>
          <w:p w14:paraId="5BC8F74C" w14:textId="77777777" w:rsidR="00216A07" w:rsidRDefault="00000000">
            <w:pPr>
              <w:spacing w:after="20"/>
            </w:pPr>
            <w:r>
              <w:rPr>
                <w:b/>
                <w:color w:val="FFFFFF"/>
                <w:sz w:val="18"/>
              </w:rPr>
              <w:t>Contents</w:t>
            </w:r>
          </w:p>
        </w:tc>
        <w:tc>
          <w:tcPr>
            <w:tcW w:w="1008" w:type="dxa"/>
            <w:shd w:val="clear" w:color="auto" w:fill="17365D"/>
            <w:vAlign w:val="center"/>
          </w:tcPr>
          <w:p w14:paraId="47C403EA" w14:textId="77777777" w:rsidR="00216A07" w:rsidRDefault="00000000">
            <w:pPr>
              <w:spacing w:after="20"/>
            </w:pPr>
            <w:r>
              <w:rPr>
                <w:b/>
                <w:color w:val="FFFFFF"/>
                <w:sz w:val="18"/>
              </w:rPr>
              <w:t>Page</w:t>
            </w:r>
          </w:p>
        </w:tc>
      </w:tr>
      <w:tr w:rsidR="00216A07" w14:paraId="0E856829" w14:textId="77777777">
        <w:trPr>
          <w:jc w:val="center"/>
        </w:trPr>
        <w:tc>
          <w:tcPr>
            <w:tcW w:w="1152" w:type="dxa"/>
            <w:vAlign w:val="center"/>
          </w:tcPr>
          <w:p w14:paraId="6201CF70" w14:textId="77777777" w:rsidR="00216A07" w:rsidRDefault="00000000">
            <w:pPr>
              <w:spacing w:after="20"/>
            </w:pPr>
            <w:r>
              <w:rPr>
                <w:sz w:val="17"/>
              </w:rPr>
              <w:t>1</w:t>
            </w:r>
          </w:p>
        </w:tc>
        <w:tc>
          <w:tcPr>
            <w:tcW w:w="8064" w:type="dxa"/>
            <w:vAlign w:val="center"/>
          </w:tcPr>
          <w:p w14:paraId="7A7FDCDE" w14:textId="77777777" w:rsidR="00216A07" w:rsidRDefault="00000000">
            <w:pPr>
              <w:spacing w:after="20"/>
            </w:pPr>
            <w:r>
              <w:rPr>
                <w:sz w:val="17"/>
              </w:rPr>
              <w:t>Executive Summary</w:t>
            </w:r>
          </w:p>
        </w:tc>
        <w:tc>
          <w:tcPr>
            <w:tcW w:w="1008" w:type="dxa"/>
            <w:vAlign w:val="center"/>
          </w:tcPr>
          <w:p w14:paraId="1649210B" w14:textId="77777777" w:rsidR="00216A07" w:rsidRDefault="00000000">
            <w:r>
              <w:t>3</w:t>
            </w:r>
          </w:p>
        </w:tc>
      </w:tr>
      <w:tr w:rsidR="00216A07" w14:paraId="20E12191" w14:textId="77777777">
        <w:trPr>
          <w:jc w:val="center"/>
        </w:trPr>
        <w:tc>
          <w:tcPr>
            <w:tcW w:w="1152" w:type="dxa"/>
            <w:shd w:val="clear" w:color="auto" w:fill="F1F5F9"/>
            <w:vAlign w:val="center"/>
          </w:tcPr>
          <w:p w14:paraId="2EF9931C" w14:textId="77777777" w:rsidR="00216A07" w:rsidRDefault="00000000">
            <w:pPr>
              <w:spacing w:after="20"/>
            </w:pPr>
            <w:r>
              <w:rPr>
                <w:sz w:val="17"/>
              </w:rPr>
              <w:t>2</w:t>
            </w:r>
          </w:p>
        </w:tc>
        <w:tc>
          <w:tcPr>
            <w:tcW w:w="8064" w:type="dxa"/>
            <w:shd w:val="clear" w:color="auto" w:fill="F1F5F9"/>
            <w:vAlign w:val="center"/>
          </w:tcPr>
          <w:p w14:paraId="378D6513" w14:textId="77777777" w:rsidR="00216A07" w:rsidRDefault="00000000">
            <w:pPr>
              <w:spacing w:after="20"/>
            </w:pPr>
            <w:r>
              <w:rPr>
                <w:sz w:val="17"/>
              </w:rPr>
              <w:t>Project Overview &amp; Dashboard Pages</w:t>
            </w:r>
          </w:p>
        </w:tc>
        <w:tc>
          <w:tcPr>
            <w:tcW w:w="1008" w:type="dxa"/>
            <w:shd w:val="clear" w:color="auto" w:fill="F1F5F9"/>
            <w:vAlign w:val="center"/>
          </w:tcPr>
          <w:p w14:paraId="466B63D1" w14:textId="77777777" w:rsidR="00216A07" w:rsidRDefault="00000000">
            <w:r>
              <w:t>3</w:t>
            </w:r>
          </w:p>
        </w:tc>
      </w:tr>
      <w:tr w:rsidR="00216A07" w14:paraId="3D93F6AE" w14:textId="77777777">
        <w:trPr>
          <w:jc w:val="center"/>
        </w:trPr>
        <w:tc>
          <w:tcPr>
            <w:tcW w:w="1152" w:type="dxa"/>
            <w:vAlign w:val="center"/>
          </w:tcPr>
          <w:p w14:paraId="77D18CF1" w14:textId="77777777" w:rsidR="00216A07" w:rsidRDefault="00000000">
            <w:pPr>
              <w:spacing w:after="20"/>
            </w:pPr>
            <w:r>
              <w:rPr>
                <w:sz w:val="17"/>
              </w:rPr>
              <w:t>3</w:t>
            </w:r>
          </w:p>
        </w:tc>
        <w:tc>
          <w:tcPr>
            <w:tcW w:w="8064" w:type="dxa"/>
            <w:vAlign w:val="center"/>
          </w:tcPr>
          <w:p w14:paraId="3D18EE84" w14:textId="77777777" w:rsidR="00216A07" w:rsidRDefault="00000000">
            <w:pPr>
              <w:spacing w:after="20"/>
            </w:pPr>
            <w:r>
              <w:rPr>
                <w:sz w:val="17"/>
              </w:rPr>
              <w:t>Project Phases — Work Completed</w:t>
            </w:r>
          </w:p>
        </w:tc>
        <w:tc>
          <w:tcPr>
            <w:tcW w:w="1008" w:type="dxa"/>
            <w:vAlign w:val="center"/>
          </w:tcPr>
          <w:p w14:paraId="00830643" w14:textId="77777777" w:rsidR="00216A07" w:rsidRDefault="00000000">
            <w:r>
              <w:t>4</w:t>
            </w:r>
          </w:p>
        </w:tc>
      </w:tr>
      <w:tr w:rsidR="00216A07" w14:paraId="0DCB10FA" w14:textId="77777777">
        <w:trPr>
          <w:jc w:val="center"/>
        </w:trPr>
        <w:tc>
          <w:tcPr>
            <w:tcW w:w="1152" w:type="dxa"/>
            <w:shd w:val="clear" w:color="auto" w:fill="F1F5F9"/>
            <w:vAlign w:val="center"/>
          </w:tcPr>
          <w:p w14:paraId="706B4FD8" w14:textId="77777777" w:rsidR="00216A07" w:rsidRDefault="00000000">
            <w:pPr>
              <w:spacing w:after="20"/>
            </w:pPr>
            <w:r>
              <w:rPr>
                <w:sz w:val="17"/>
              </w:rPr>
              <w:t>4</w:t>
            </w:r>
          </w:p>
        </w:tc>
        <w:tc>
          <w:tcPr>
            <w:tcW w:w="8064" w:type="dxa"/>
            <w:shd w:val="clear" w:color="auto" w:fill="F1F5F9"/>
            <w:vAlign w:val="center"/>
          </w:tcPr>
          <w:p w14:paraId="5FE30694" w14:textId="77777777" w:rsidR="00216A07" w:rsidRDefault="00000000">
            <w:pPr>
              <w:spacing w:after="20"/>
            </w:pPr>
            <w:r>
              <w:rPr>
                <w:sz w:val="17"/>
              </w:rPr>
              <w:t>Data Analysis &amp; Key Findings</w:t>
            </w:r>
          </w:p>
        </w:tc>
        <w:tc>
          <w:tcPr>
            <w:tcW w:w="1008" w:type="dxa"/>
            <w:shd w:val="clear" w:color="auto" w:fill="F1F5F9"/>
            <w:vAlign w:val="center"/>
          </w:tcPr>
          <w:p w14:paraId="23805860" w14:textId="77777777" w:rsidR="00216A07" w:rsidRDefault="00000000">
            <w:r>
              <w:t>5–6</w:t>
            </w:r>
          </w:p>
        </w:tc>
      </w:tr>
      <w:tr w:rsidR="00216A07" w14:paraId="661EAE16" w14:textId="77777777">
        <w:trPr>
          <w:jc w:val="center"/>
        </w:trPr>
        <w:tc>
          <w:tcPr>
            <w:tcW w:w="1152" w:type="dxa"/>
            <w:vAlign w:val="center"/>
          </w:tcPr>
          <w:p w14:paraId="4256FFD7" w14:textId="77777777" w:rsidR="00216A07" w:rsidRDefault="00000000">
            <w:pPr>
              <w:spacing w:after="20"/>
            </w:pPr>
            <w:r>
              <w:rPr>
                <w:sz w:val="17"/>
              </w:rPr>
              <w:t>5</w:t>
            </w:r>
          </w:p>
        </w:tc>
        <w:tc>
          <w:tcPr>
            <w:tcW w:w="8064" w:type="dxa"/>
            <w:vAlign w:val="center"/>
          </w:tcPr>
          <w:p w14:paraId="1EA1BDB7" w14:textId="77777777" w:rsidR="00216A07" w:rsidRDefault="00000000">
            <w:pPr>
              <w:spacing w:after="20"/>
            </w:pPr>
            <w:r>
              <w:rPr>
                <w:sz w:val="17"/>
              </w:rPr>
              <w:t>Recommendations &amp; Business Value</w:t>
            </w:r>
          </w:p>
        </w:tc>
        <w:tc>
          <w:tcPr>
            <w:tcW w:w="1008" w:type="dxa"/>
            <w:vAlign w:val="center"/>
          </w:tcPr>
          <w:p w14:paraId="3DF7CA75" w14:textId="77777777" w:rsidR="00216A07" w:rsidRDefault="00000000">
            <w:r>
              <w:t>7</w:t>
            </w:r>
          </w:p>
        </w:tc>
      </w:tr>
      <w:tr w:rsidR="00216A07" w14:paraId="26D825F4" w14:textId="77777777">
        <w:trPr>
          <w:jc w:val="center"/>
        </w:trPr>
        <w:tc>
          <w:tcPr>
            <w:tcW w:w="1152" w:type="dxa"/>
            <w:shd w:val="clear" w:color="auto" w:fill="F1F5F9"/>
            <w:vAlign w:val="center"/>
          </w:tcPr>
          <w:p w14:paraId="42097C0D" w14:textId="77777777" w:rsidR="00216A07" w:rsidRDefault="00000000">
            <w:pPr>
              <w:spacing w:after="20"/>
            </w:pPr>
            <w:r>
              <w:rPr>
                <w:sz w:val="17"/>
              </w:rPr>
              <w:t>6</w:t>
            </w:r>
          </w:p>
        </w:tc>
        <w:tc>
          <w:tcPr>
            <w:tcW w:w="8064" w:type="dxa"/>
            <w:shd w:val="clear" w:color="auto" w:fill="F1F5F9"/>
            <w:vAlign w:val="center"/>
          </w:tcPr>
          <w:p w14:paraId="00E8D472" w14:textId="77777777" w:rsidR="00216A07" w:rsidRDefault="00000000">
            <w:pPr>
              <w:spacing w:after="20"/>
            </w:pPr>
            <w:r>
              <w:rPr>
                <w:sz w:val="17"/>
              </w:rPr>
              <w:t>Conclusion</w:t>
            </w:r>
          </w:p>
        </w:tc>
        <w:tc>
          <w:tcPr>
            <w:tcW w:w="1008" w:type="dxa"/>
            <w:shd w:val="clear" w:color="auto" w:fill="F1F5F9"/>
            <w:vAlign w:val="center"/>
          </w:tcPr>
          <w:p w14:paraId="7F2AC518" w14:textId="77777777" w:rsidR="00216A07" w:rsidRDefault="00000000">
            <w:r>
              <w:t>7</w:t>
            </w:r>
          </w:p>
        </w:tc>
      </w:tr>
      <w:tr w:rsidR="00216A07" w14:paraId="3FC8251D" w14:textId="77777777">
        <w:trPr>
          <w:jc w:val="center"/>
        </w:trPr>
        <w:tc>
          <w:tcPr>
            <w:tcW w:w="1152" w:type="dxa"/>
            <w:vAlign w:val="center"/>
          </w:tcPr>
          <w:p w14:paraId="4D34C6CD" w14:textId="77777777" w:rsidR="00216A07" w:rsidRDefault="00000000">
            <w:pPr>
              <w:spacing w:after="20"/>
            </w:pPr>
            <w:r>
              <w:rPr>
                <w:sz w:val="17"/>
              </w:rPr>
              <w:t>Appendix</w:t>
            </w:r>
          </w:p>
        </w:tc>
        <w:tc>
          <w:tcPr>
            <w:tcW w:w="8064" w:type="dxa"/>
            <w:vAlign w:val="center"/>
          </w:tcPr>
          <w:p w14:paraId="7CBB730C" w14:textId="77777777" w:rsidR="00216A07" w:rsidRDefault="00000000">
            <w:pPr>
              <w:spacing w:after="20"/>
            </w:pPr>
            <w:r>
              <w:rPr>
                <w:sz w:val="17"/>
              </w:rPr>
              <w:t>Source Files &amp; Interpretation Notes</w:t>
            </w:r>
          </w:p>
        </w:tc>
        <w:tc>
          <w:tcPr>
            <w:tcW w:w="1008" w:type="dxa"/>
            <w:vAlign w:val="center"/>
          </w:tcPr>
          <w:p w14:paraId="3E3985A0" w14:textId="77777777" w:rsidR="00216A07" w:rsidRDefault="00000000">
            <w:r>
              <w:t>7–8</w:t>
            </w:r>
          </w:p>
        </w:tc>
      </w:tr>
    </w:tbl>
    <w:p w14:paraId="7C44A924" w14:textId="77777777" w:rsidR="00216A07" w:rsidRDefault="00216A07">
      <w:pPr>
        <w:spacing w:after="20"/>
      </w:pPr>
    </w:p>
    <w:p w14:paraId="7119C196" w14:textId="77777777" w:rsidR="00216A07" w:rsidRDefault="00000000">
      <w:pPr>
        <w:spacing w:before="160"/>
      </w:pPr>
      <w:r>
        <w:t>Report focus: what was reviewed, what was analyzed, what the data showed, and what actions the findings suggest. This report is written as a completed project summary—not a project initiation or requirements-planning document.</w:t>
      </w:r>
    </w:p>
    <w:p w14:paraId="04248CE9" w14:textId="77777777" w:rsidR="00216A07" w:rsidRDefault="00000000">
      <w:r>
        <w:br w:type="page"/>
      </w:r>
    </w:p>
    <w:p w14:paraId="093E6C0A" w14:textId="77777777" w:rsidR="00216A07" w:rsidRDefault="00000000">
      <w:pPr>
        <w:pStyle w:val="Heading1"/>
        <w:spacing w:before="160" w:after="80"/>
      </w:pPr>
      <w:r>
        <w:lastRenderedPageBreak/>
        <w:t>1. Executive Summary</w:t>
      </w:r>
    </w:p>
    <w:p w14:paraId="3AC3613F" w14:textId="77777777" w:rsidR="00216A07" w:rsidRDefault="00000000">
      <w:r>
        <w:t>MediScope is a hospital operations and finance analytics case study using a Power BI dashboard and seven Excel workbooks. The dashboard brings together patient information, billing, doctor-related indicators, appointments, diagnostic tests, medicine usage, inventory, and bed status. The analysis focused on understanding what the dashboard communicates, checking key figures against the supplied workbooks, and identifying the business meaning and data-quality limitations behind the reported metrics.</w:t>
      </w:r>
    </w:p>
    <w:tbl>
      <w:tblPr>
        <w:tblStyle w:val="TableGrid"/>
        <w:tblW w:w="0" w:type="auto"/>
        <w:jc w:val="center"/>
        <w:tblLook w:val="04A0" w:firstRow="1" w:lastRow="0" w:firstColumn="1" w:lastColumn="0" w:noHBand="0" w:noVBand="1"/>
      </w:tblPr>
      <w:tblGrid>
        <w:gridCol w:w="1944"/>
        <w:gridCol w:w="2304"/>
        <w:gridCol w:w="5904"/>
      </w:tblGrid>
      <w:tr w:rsidR="00216A07" w14:paraId="02DAA54D" w14:textId="77777777">
        <w:trPr>
          <w:jc w:val="center"/>
        </w:trPr>
        <w:tc>
          <w:tcPr>
            <w:tcW w:w="1944" w:type="dxa"/>
            <w:shd w:val="clear" w:color="auto" w:fill="17365D"/>
            <w:vAlign w:val="center"/>
          </w:tcPr>
          <w:p w14:paraId="74768EC4" w14:textId="77777777" w:rsidR="00216A07" w:rsidRDefault="00000000">
            <w:pPr>
              <w:spacing w:after="20"/>
            </w:pPr>
            <w:r>
              <w:rPr>
                <w:b/>
                <w:color w:val="FFFFFF"/>
                <w:sz w:val="18"/>
              </w:rPr>
              <w:t>Headline metric</w:t>
            </w:r>
          </w:p>
        </w:tc>
        <w:tc>
          <w:tcPr>
            <w:tcW w:w="2304" w:type="dxa"/>
            <w:shd w:val="clear" w:color="auto" w:fill="17365D"/>
            <w:vAlign w:val="center"/>
          </w:tcPr>
          <w:p w14:paraId="034FF017" w14:textId="77777777" w:rsidR="00216A07" w:rsidRDefault="00000000">
            <w:pPr>
              <w:spacing w:after="20"/>
            </w:pPr>
            <w:r>
              <w:rPr>
                <w:b/>
                <w:color w:val="FFFFFF"/>
                <w:sz w:val="18"/>
              </w:rPr>
              <w:t>Observed result</w:t>
            </w:r>
          </w:p>
        </w:tc>
        <w:tc>
          <w:tcPr>
            <w:tcW w:w="5904" w:type="dxa"/>
            <w:shd w:val="clear" w:color="auto" w:fill="17365D"/>
            <w:vAlign w:val="center"/>
          </w:tcPr>
          <w:p w14:paraId="2CBA51A3" w14:textId="77777777" w:rsidR="00216A07" w:rsidRDefault="00000000">
            <w:pPr>
              <w:spacing w:after="20"/>
            </w:pPr>
            <w:r>
              <w:rPr>
                <w:b/>
                <w:color w:val="FFFFFF"/>
                <w:sz w:val="18"/>
              </w:rPr>
              <w:t>Business interpretation</w:t>
            </w:r>
          </w:p>
        </w:tc>
      </w:tr>
      <w:tr w:rsidR="00216A07" w14:paraId="2A43DAFC" w14:textId="77777777">
        <w:trPr>
          <w:jc w:val="center"/>
        </w:trPr>
        <w:tc>
          <w:tcPr>
            <w:tcW w:w="1944" w:type="dxa"/>
            <w:vAlign w:val="center"/>
          </w:tcPr>
          <w:p w14:paraId="19041F3E" w14:textId="77777777" w:rsidR="00216A07" w:rsidRDefault="00000000">
            <w:pPr>
              <w:spacing w:after="20"/>
            </w:pPr>
            <w:r>
              <w:rPr>
                <w:sz w:val="17"/>
              </w:rPr>
              <w:t>Patient records</w:t>
            </w:r>
          </w:p>
        </w:tc>
        <w:tc>
          <w:tcPr>
            <w:tcW w:w="2304" w:type="dxa"/>
            <w:vAlign w:val="center"/>
          </w:tcPr>
          <w:p w14:paraId="4E2F3DB4" w14:textId="77777777" w:rsidR="00216A07" w:rsidRDefault="00000000">
            <w:pPr>
              <w:spacing w:after="20"/>
            </w:pPr>
            <w:r>
              <w:rPr>
                <w:sz w:val="17"/>
              </w:rPr>
              <w:t>30</w:t>
            </w:r>
          </w:p>
        </w:tc>
        <w:tc>
          <w:tcPr>
            <w:tcW w:w="5904" w:type="dxa"/>
            <w:vAlign w:val="center"/>
          </w:tcPr>
          <w:p w14:paraId="055F0B5E" w14:textId="77777777" w:rsidR="00216A07" w:rsidRDefault="00000000">
            <w:pPr>
              <w:spacing w:after="20"/>
            </w:pPr>
            <w:r>
              <w:rPr>
                <w:sz w:val="17"/>
              </w:rPr>
              <w:t>Small sample; useful for demonstrating dashboard analysis, not for hospital-wide generalization.</w:t>
            </w:r>
          </w:p>
        </w:tc>
      </w:tr>
      <w:tr w:rsidR="00216A07" w14:paraId="235196BB" w14:textId="77777777">
        <w:trPr>
          <w:jc w:val="center"/>
        </w:trPr>
        <w:tc>
          <w:tcPr>
            <w:tcW w:w="1944" w:type="dxa"/>
            <w:shd w:val="clear" w:color="auto" w:fill="F1F5F9"/>
            <w:vAlign w:val="center"/>
          </w:tcPr>
          <w:p w14:paraId="0834B41E" w14:textId="77777777" w:rsidR="00216A07" w:rsidRDefault="00000000">
            <w:pPr>
              <w:spacing w:after="20"/>
            </w:pPr>
            <w:r>
              <w:rPr>
                <w:sz w:val="17"/>
              </w:rPr>
              <w:t>Bill-line value</w:t>
            </w:r>
          </w:p>
        </w:tc>
        <w:tc>
          <w:tcPr>
            <w:tcW w:w="2304" w:type="dxa"/>
            <w:shd w:val="clear" w:color="auto" w:fill="F1F5F9"/>
            <w:vAlign w:val="center"/>
          </w:tcPr>
          <w:p w14:paraId="68EE89B6" w14:textId="77777777" w:rsidR="00216A07" w:rsidRDefault="00000000">
            <w:pPr>
              <w:spacing w:after="20"/>
            </w:pPr>
            <w:r>
              <w:rPr>
                <w:sz w:val="17"/>
              </w:rPr>
              <w:t>727,105</w:t>
            </w:r>
          </w:p>
        </w:tc>
        <w:tc>
          <w:tcPr>
            <w:tcW w:w="5904" w:type="dxa"/>
            <w:shd w:val="clear" w:color="auto" w:fill="F1F5F9"/>
            <w:vAlign w:val="center"/>
          </w:tcPr>
          <w:p w14:paraId="2225E868" w14:textId="77777777" w:rsidR="00216A07" w:rsidRDefault="00000000">
            <w:pPr>
              <w:spacing w:after="20"/>
            </w:pPr>
            <w:r>
              <w:rPr>
                <w:sz w:val="17"/>
              </w:rPr>
              <w:t>Largest value categories are Surgery and Room; currency and accounting meaning are not confirmed.</w:t>
            </w:r>
          </w:p>
        </w:tc>
      </w:tr>
      <w:tr w:rsidR="00216A07" w14:paraId="247ADD85" w14:textId="77777777">
        <w:trPr>
          <w:jc w:val="center"/>
        </w:trPr>
        <w:tc>
          <w:tcPr>
            <w:tcW w:w="1944" w:type="dxa"/>
            <w:vAlign w:val="center"/>
          </w:tcPr>
          <w:p w14:paraId="0C103936" w14:textId="77777777" w:rsidR="00216A07" w:rsidRDefault="00000000">
            <w:pPr>
              <w:spacing w:after="20"/>
            </w:pPr>
            <w:r>
              <w:rPr>
                <w:sz w:val="17"/>
              </w:rPr>
              <w:t>Average patient age</w:t>
            </w:r>
          </w:p>
        </w:tc>
        <w:tc>
          <w:tcPr>
            <w:tcW w:w="2304" w:type="dxa"/>
            <w:vAlign w:val="center"/>
          </w:tcPr>
          <w:p w14:paraId="656F85B6" w14:textId="77777777" w:rsidR="00216A07" w:rsidRDefault="00000000">
            <w:pPr>
              <w:spacing w:after="20"/>
            </w:pPr>
            <w:r>
              <w:rPr>
                <w:sz w:val="17"/>
              </w:rPr>
              <w:t>45.57 years</w:t>
            </w:r>
          </w:p>
        </w:tc>
        <w:tc>
          <w:tcPr>
            <w:tcW w:w="5904" w:type="dxa"/>
            <w:vAlign w:val="center"/>
          </w:tcPr>
          <w:p w14:paraId="026980B2" w14:textId="77777777" w:rsidR="00216A07" w:rsidRDefault="00000000">
            <w:pPr>
              <w:spacing w:after="20"/>
            </w:pPr>
            <w:r>
              <w:rPr>
                <w:sz w:val="17"/>
              </w:rPr>
              <w:t>Descriptive profile of the sample only.</w:t>
            </w:r>
          </w:p>
        </w:tc>
      </w:tr>
      <w:tr w:rsidR="00216A07" w14:paraId="25C7529C" w14:textId="77777777">
        <w:trPr>
          <w:jc w:val="center"/>
        </w:trPr>
        <w:tc>
          <w:tcPr>
            <w:tcW w:w="1944" w:type="dxa"/>
            <w:shd w:val="clear" w:color="auto" w:fill="F1F5F9"/>
            <w:vAlign w:val="center"/>
          </w:tcPr>
          <w:p w14:paraId="1890FB48" w14:textId="77777777" w:rsidR="00216A07" w:rsidRDefault="00000000">
            <w:pPr>
              <w:spacing w:after="20"/>
            </w:pPr>
            <w:r>
              <w:rPr>
                <w:sz w:val="17"/>
              </w:rPr>
              <w:t>Bed snapshot</w:t>
            </w:r>
          </w:p>
        </w:tc>
        <w:tc>
          <w:tcPr>
            <w:tcW w:w="2304" w:type="dxa"/>
            <w:shd w:val="clear" w:color="auto" w:fill="F1F5F9"/>
            <w:vAlign w:val="center"/>
          </w:tcPr>
          <w:p w14:paraId="0D04B9F9" w14:textId="77777777" w:rsidR="00216A07" w:rsidRDefault="00000000">
            <w:pPr>
              <w:spacing w:after="20"/>
            </w:pPr>
            <w:r>
              <w:rPr>
                <w:sz w:val="17"/>
              </w:rPr>
              <w:t>16 Available; 9 Occupied</w:t>
            </w:r>
          </w:p>
        </w:tc>
        <w:tc>
          <w:tcPr>
            <w:tcW w:w="5904" w:type="dxa"/>
            <w:shd w:val="clear" w:color="auto" w:fill="F1F5F9"/>
            <w:vAlign w:val="center"/>
          </w:tcPr>
          <w:p w14:paraId="095F3D82" w14:textId="77777777" w:rsidR="00216A07" w:rsidRDefault="00000000">
            <w:pPr>
              <w:spacing w:after="20"/>
            </w:pPr>
            <w:r>
              <w:rPr>
                <w:sz w:val="17"/>
              </w:rPr>
              <w:t>64% available and 36% occupied in this supplied snapshot; not a historical utilization rate.</w:t>
            </w:r>
          </w:p>
        </w:tc>
      </w:tr>
      <w:tr w:rsidR="00216A07" w14:paraId="1A231F90" w14:textId="77777777">
        <w:trPr>
          <w:jc w:val="center"/>
        </w:trPr>
        <w:tc>
          <w:tcPr>
            <w:tcW w:w="1944" w:type="dxa"/>
            <w:vAlign w:val="center"/>
          </w:tcPr>
          <w:p w14:paraId="6AB8EEDB" w14:textId="77777777" w:rsidR="00216A07" w:rsidRDefault="00000000">
            <w:pPr>
              <w:spacing w:after="20"/>
            </w:pPr>
            <w:r>
              <w:rPr>
                <w:sz w:val="17"/>
              </w:rPr>
              <w:t>Appointments</w:t>
            </w:r>
          </w:p>
        </w:tc>
        <w:tc>
          <w:tcPr>
            <w:tcW w:w="2304" w:type="dxa"/>
            <w:vAlign w:val="center"/>
          </w:tcPr>
          <w:p w14:paraId="53B02CA3" w14:textId="77777777" w:rsidR="00216A07" w:rsidRDefault="00000000">
            <w:pPr>
              <w:spacing w:after="20"/>
            </w:pPr>
            <w:r>
              <w:rPr>
                <w:sz w:val="17"/>
              </w:rPr>
              <w:t>30 Completed; 5 Scheduled</w:t>
            </w:r>
          </w:p>
        </w:tc>
        <w:tc>
          <w:tcPr>
            <w:tcW w:w="5904" w:type="dxa"/>
            <w:vAlign w:val="center"/>
          </w:tcPr>
          <w:p w14:paraId="28AD4454" w14:textId="77777777" w:rsidR="00216A07" w:rsidRDefault="00000000">
            <w:pPr>
              <w:spacing w:after="20"/>
            </w:pPr>
            <w:r>
              <w:rPr>
                <w:sz w:val="17"/>
              </w:rPr>
              <w:t>Status distribution in the 35 appointment records.</w:t>
            </w:r>
          </w:p>
        </w:tc>
      </w:tr>
      <w:tr w:rsidR="00216A07" w14:paraId="334FC260" w14:textId="77777777">
        <w:trPr>
          <w:jc w:val="center"/>
        </w:trPr>
        <w:tc>
          <w:tcPr>
            <w:tcW w:w="1944" w:type="dxa"/>
            <w:shd w:val="clear" w:color="auto" w:fill="F1F5F9"/>
            <w:vAlign w:val="center"/>
          </w:tcPr>
          <w:p w14:paraId="507E9102" w14:textId="77777777" w:rsidR="00216A07" w:rsidRDefault="00000000">
            <w:pPr>
              <w:spacing w:after="20"/>
            </w:pPr>
            <w:r>
              <w:rPr>
                <w:sz w:val="17"/>
              </w:rPr>
              <w:t>Medicine usage</w:t>
            </w:r>
          </w:p>
        </w:tc>
        <w:tc>
          <w:tcPr>
            <w:tcW w:w="2304" w:type="dxa"/>
            <w:shd w:val="clear" w:color="auto" w:fill="F1F5F9"/>
            <w:vAlign w:val="center"/>
          </w:tcPr>
          <w:p w14:paraId="228DCE53" w14:textId="77777777" w:rsidR="00216A07" w:rsidRDefault="00000000">
            <w:pPr>
              <w:spacing w:after="20"/>
            </w:pPr>
            <w:r>
              <w:rPr>
                <w:sz w:val="17"/>
              </w:rPr>
              <w:t>3,928 total quantity across 517 rows</w:t>
            </w:r>
          </w:p>
        </w:tc>
        <w:tc>
          <w:tcPr>
            <w:tcW w:w="5904" w:type="dxa"/>
            <w:shd w:val="clear" w:color="auto" w:fill="F1F5F9"/>
            <w:vAlign w:val="center"/>
          </w:tcPr>
          <w:p w14:paraId="3530FC67" w14:textId="77777777" w:rsidR="00216A07" w:rsidRDefault="00000000">
            <w:pPr>
              <w:spacing w:after="20"/>
            </w:pPr>
            <w:r>
              <w:rPr>
                <w:sz w:val="17"/>
              </w:rPr>
              <w:t>Usage quantity is not the same as staff count or revenue.</w:t>
            </w:r>
          </w:p>
        </w:tc>
      </w:tr>
    </w:tbl>
    <w:p w14:paraId="15E0B73E" w14:textId="77777777" w:rsidR="00216A07" w:rsidRDefault="00216A07">
      <w:pPr>
        <w:spacing w:after="20"/>
      </w:pPr>
    </w:p>
    <w:p w14:paraId="68E27B3F" w14:textId="77777777" w:rsidR="00216A07" w:rsidRDefault="00000000">
      <w:pPr>
        <w:pStyle w:val="Heading2"/>
        <w:spacing w:before="160" w:after="80"/>
      </w:pPr>
      <w:r>
        <w:t>Overall takeaway</w:t>
      </w:r>
    </w:p>
    <w:p w14:paraId="539F02CB" w14:textId="77777777" w:rsidR="00216A07" w:rsidRDefault="00000000">
      <w:r>
        <w:t>The dashboard offers a useful consolidated view across hospital functions. The strongest evidence-led finding is that Surgery and Room charges dominate the bill-line values. The most important caution is that some headline metrics need reconciliation: the two patient-status columns disagree, doctor salary can be double-counted when repeated across patient rows, and inventory expiry dates are historical relative to October 2026. These issues should be clearly addressed before the dashboard is used for real operational decisions.</w:t>
      </w:r>
    </w:p>
    <w:p w14:paraId="163AF699" w14:textId="77777777" w:rsidR="00216A07" w:rsidRDefault="00000000">
      <w:pPr>
        <w:pStyle w:val="Heading1"/>
        <w:spacing w:before="160" w:after="80"/>
      </w:pPr>
      <w:r>
        <w:t>2. Project Overview &amp; Dashboard Pages</w:t>
      </w:r>
    </w:p>
    <w:p w14:paraId="6F12FEAE" w14:textId="77777777" w:rsidR="00216A07" w:rsidRDefault="00000000">
      <w:r>
        <w:t>The supplied Power BI file and repository README describe a multi-page dashboard with a navigation/cover page and pages focused on overview, patients, doctors, hospital operations, and finance. The source files cover the operational domains below.</w:t>
      </w:r>
    </w:p>
    <w:tbl>
      <w:tblPr>
        <w:tblStyle w:val="TableGrid"/>
        <w:tblW w:w="0" w:type="auto"/>
        <w:jc w:val="center"/>
        <w:tblLook w:val="04A0" w:firstRow="1" w:lastRow="0" w:firstColumn="1" w:lastColumn="0" w:noHBand="0" w:noVBand="1"/>
      </w:tblPr>
      <w:tblGrid>
        <w:gridCol w:w="1800"/>
        <w:gridCol w:w="4464"/>
        <w:gridCol w:w="3888"/>
      </w:tblGrid>
      <w:tr w:rsidR="00216A07" w14:paraId="11F7C7FF" w14:textId="77777777">
        <w:trPr>
          <w:jc w:val="center"/>
        </w:trPr>
        <w:tc>
          <w:tcPr>
            <w:tcW w:w="1800" w:type="dxa"/>
            <w:shd w:val="clear" w:color="auto" w:fill="17365D"/>
            <w:vAlign w:val="center"/>
          </w:tcPr>
          <w:p w14:paraId="46C154C5" w14:textId="77777777" w:rsidR="00216A07" w:rsidRDefault="00000000">
            <w:pPr>
              <w:spacing w:after="20"/>
            </w:pPr>
            <w:r>
              <w:rPr>
                <w:b/>
                <w:color w:val="FFFFFF"/>
                <w:sz w:val="18"/>
              </w:rPr>
              <w:t>Dashboard area</w:t>
            </w:r>
          </w:p>
        </w:tc>
        <w:tc>
          <w:tcPr>
            <w:tcW w:w="4464" w:type="dxa"/>
            <w:shd w:val="clear" w:color="auto" w:fill="17365D"/>
            <w:vAlign w:val="center"/>
          </w:tcPr>
          <w:p w14:paraId="01DDD147" w14:textId="77777777" w:rsidR="00216A07" w:rsidRDefault="00000000">
            <w:pPr>
              <w:spacing w:after="20"/>
            </w:pPr>
            <w:r>
              <w:rPr>
                <w:b/>
                <w:color w:val="FFFFFF"/>
                <w:sz w:val="18"/>
              </w:rPr>
              <w:t>What was reviewed / analyzed</w:t>
            </w:r>
          </w:p>
        </w:tc>
        <w:tc>
          <w:tcPr>
            <w:tcW w:w="3888" w:type="dxa"/>
            <w:shd w:val="clear" w:color="auto" w:fill="17365D"/>
            <w:vAlign w:val="center"/>
          </w:tcPr>
          <w:p w14:paraId="35B23DC0" w14:textId="77777777" w:rsidR="00216A07" w:rsidRDefault="00000000">
            <w:pPr>
              <w:spacing w:after="20"/>
            </w:pPr>
            <w:r>
              <w:rPr>
                <w:b/>
                <w:color w:val="FFFFFF"/>
                <w:sz w:val="18"/>
              </w:rPr>
              <w:t>Business use</w:t>
            </w:r>
          </w:p>
        </w:tc>
      </w:tr>
      <w:tr w:rsidR="00216A07" w14:paraId="43314646" w14:textId="77777777">
        <w:trPr>
          <w:jc w:val="center"/>
        </w:trPr>
        <w:tc>
          <w:tcPr>
            <w:tcW w:w="1800" w:type="dxa"/>
            <w:vAlign w:val="center"/>
          </w:tcPr>
          <w:p w14:paraId="69C03290" w14:textId="77777777" w:rsidR="00216A07" w:rsidRDefault="00000000">
            <w:pPr>
              <w:spacing w:after="20"/>
            </w:pPr>
            <w:r>
              <w:rPr>
                <w:sz w:val="17"/>
              </w:rPr>
              <w:t>Overview</w:t>
            </w:r>
          </w:p>
        </w:tc>
        <w:tc>
          <w:tcPr>
            <w:tcW w:w="4464" w:type="dxa"/>
            <w:vAlign w:val="center"/>
          </w:tcPr>
          <w:p w14:paraId="0D60AF9C" w14:textId="77777777" w:rsidR="00216A07" w:rsidRDefault="00000000">
            <w:pPr>
              <w:spacing w:after="20"/>
            </w:pPr>
            <w:r>
              <w:rPr>
                <w:sz w:val="17"/>
              </w:rPr>
              <w:t>Patient profile, status/discharge indicators, charge breakdown, and medicine patterns</w:t>
            </w:r>
          </w:p>
        </w:tc>
        <w:tc>
          <w:tcPr>
            <w:tcW w:w="3888" w:type="dxa"/>
            <w:vAlign w:val="center"/>
          </w:tcPr>
          <w:p w14:paraId="513D995C" w14:textId="77777777" w:rsidR="00216A07" w:rsidRDefault="00000000">
            <w:pPr>
              <w:spacing w:after="20"/>
            </w:pPr>
            <w:r>
              <w:rPr>
                <w:sz w:val="17"/>
              </w:rPr>
              <w:t>Quick management snapshot and identification of major activity/value drivers.</w:t>
            </w:r>
          </w:p>
        </w:tc>
      </w:tr>
      <w:tr w:rsidR="00216A07" w14:paraId="12838467" w14:textId="77777777">
        <w:trPr>
          <w:jc w:val="center"/>
        </w:trPr>
        <w:tc>
          <w:tcPr>
            <w:tcW w:w="1800" w:type="dxa"/>
            <w:shd w:val="clear" w:color="auto" w:fill="F1F5F9"/>
            <w:vAlign w:val="center"/>
          </w:tcPr>
          <w:p w14:paraId="5461BBD4" w14:textId="77777777" w:rsidR="00216A07" w:rsidRDefault="00000000">
            <w:pPr>
              <w:spacing w:after="20"/>
            </w:pPr>
            <w:r>
              <w:rPr>
                <w:sz w:val="17"/>
              </w:rPr>
              <w:t>Patients</w:t>
            </w:r>
          </w:p>
        </w:tc>
        <w:tc>
          <w:tcPr>
            <w:tcW w:w="4464" w:type="dxa"/>
            <w:shd w:val="clear" w:color="auto" w:fill="F1F5F9"/>
            <w:vAlign w:val="center"/>
          </w:tcPr>
          <w:p w14:paraId="446F8A09" w14:textId="77777777" w:rsidR="00216A07" w:rsidRDefault="00000000">
            <w:pPr>
              <w:spacing w:after="20"/>
            </w:pPr>
            <w:r>
              <w:rPr>
                <w:sz w:val="17"/>
              </w:rPr>
              <w:t>Patient-level details, charges, medicine quantities, and feedback fields</w:t>
            </w:r>
          </w:p>
        </w:tc>
        <w:tc>
          <w:tcPr>
            <w:tcW w:w="3888" w:type="dxa"/>
            <w:shd w:val="clear" w:color="auto" w:fill="F1F5F9"/>
            <w:vAlign w:val="center"/>
          </w:tcPr>
          <w:p w14:paraId="060F42D4" w14:textId="77777777" w:rsidR="00216A07" w:rsidRDefault="00000000">
            <w:pPr>
              <w:spacing w:after="20"/>
            </w:pPr>
            <w:r>
              <w:rPr>
                <w:sz w:val="17"/>
              </w:rPr>
              <w:t>Understand sample patient characteristics and cost/experience patterns.</w:t>
            </w:r>
          </w:p>
        </w:tc>
      </w:tr>
      <w:tr w:rsidR="00216A07" w14:paraId="2F9E8AC2" w14:textId="77777777">
        <w:trPr>
          <w:jc w:val="center"/>
        </w:trPr>
        <w:tc>
          <w:tcPr>
            <w:tcW w:w="1800" w:type="dxa"/>
            <w:vAlign w:val="center"/>
          </w:tcPr>
          <w:p w14:paraId="5A7B1E89" w14:textId="77777777" w:rsidR="00216A07" w:rsidRDefault="00000000">
            <w:pPr>
              <w:spacing w:after="20"/>
            </w:pPr>
            <w:r>
              <w:rPr>
                <w:sz w:val="17"/>
              </w:rPr>
              <w:t>Doctors</w:t>
            </w:r>
          </w:p>
        </w:tc>
        <w:tc>
          <w:tcPr>
            <w:tcW w:w="4464" w:type="dxa"/>
            <w:vAlign w:val="center"/>
          </w:tcPr>
          <w:p w14:paraId="404F53AC" w14:textId="77777777" w:rsidR="00216A07" w:rsidRDefault="00000000">
            <w:pPr>
              <w:spacing w:after="20"/>
            </w:pPr>
            <w:r>
              <w:rPr>
                <w:sz w:val="17"/>
              </w:rPr>
              <w:t>Doctor-linked activity, commission, and compensation fields</w:t>
            </w:r>
          </w:p>
        </w:tc>
        <w:tc>
          <w:tcPr>
            <w:tcW w:w="3888" w:type="dxa"/>
            <w:vAlign w:val="center"/>
          </w:tcPr>
          <w:p w14:paraId="3E49C886" w14:textId="77777777" w:rsidR="00216A07" w:rsidRDefault="00000000">
            <w:pPr>
              <w:spacing w:after="20"/>
            </w:pPr>
            <w:r>
              <w:rPr>
                <w:sz w:val="17"/>
              </w:rPr>
              <w:t>Review doctor-related activity while checking aggregation grain.</w:t>
            </w:r>
          </w:p>
        </w:tc>
      </w:tr>
      <w:tr w:rsidR="00216A07" w14:paraId="49D89F59" w14:textId="77777777">
        <w:trPr>
          <w:jc w:val="center"/>
        </w:trPr>
        <w:tc>
          <w:tcPr>
            <w:tcW w:w="1800" w:type="dxa"/>
            <w:shd w:val="clear" w:color="auto" w:fill="F1F5F9"/>
            <w:vAlign w:val="center"/>
          </w:tcPr>
          <w:p w14:paraId="703DF24A" w14:textId="77777777" w:rsidR="00216A07" w:rsidRDefault="00000000">
            <w:pPr>
              <w:spacing w:after="20"/>
            </w:pPr>
            <w:r>
              <w:rPr>
                <w:sz w:val="17"/>
              </w:rPr>
              <w:t>Hospital operations</w:t>
            </w:r>
          </w:p>
        </w:tc>
        <w:tc>
          <w:tcPr>
            <w:tcW w:w="4464" w:type="dxa"/>
            <w:shd w:val="clear" w:color="auto" w:fill="F1F5F9"/>
            <w:vAlign w:val="center"/>
          </w:tcPr>
          <w:p w14:paraId="1384FB78" w14:textId="77777777" w:rsidR="00216A07" w:rsidRDefault="00000000">
            <w:pPr>
              <w:spacing w:after="20"/>
            </w:pPr>
            <w:r>
              <w:rPr>
                <w:sz w:val="17"/>
              </w:rPr>
              <w:t>Beds, appointments, tests, and inventory fields</w:t>
            </w:r>
          </w:p>
        </w:tc>
        <w:tc>
          <w:tcPr>
            <w:tcW w:w="3888" w:type="dxa"/>
            <w:shd w:val="clear" w:color="auto" w:fill="F1F5F9"/>
            <w:vAlign w:val="center"/>
          </w:tcPr>
          <w:p w14:paraId="6FAFE45C" w14:textId="77777777" w:rsidR="00216A07" w:rsidRDefault="00000000">
            <w:pPr>
              <w:spacing w:after="20"/>
            </w:pPr>
            <w:r>
              <w:rPr>
                <w:sz w:val="17"/>
              </w:rPr>
              <w:t>Capacity, scheduling, diagnostic workflow, and stock visibility.</w:t>
            </w:r>
          </w:p>
        </w:tc>
      </w:tr>
      <w:tr w:rsidR="00216A07" w14:paraId="34A45837" w14:textId="77777777">
        <w:trPr>
          <w:jc w:val="center"/>
        </w:trPr>
        <w:tc>
          <w:tcPr>
            <w:tcW w:w="1800" w:type="dxa"/>
            <w:vAlign w:val="center"/>
          </w:tcPr>
          <w:p w14:paraId="1665F1FA" w14:textId="77777777" w:rsidR="00216A07" w:rsidRDefault="00000000">
            <w:pPr>
              <w:spacing w:after="20"/>
            </w:pPr>
            <w:r>
              <w:rPr>
                <w:sz w:val="17"/>
              </w:rPr>
              <w:t>Finance</w:t>
            </w:r>
          </w:p>
        </w:tc>
        <w:tc>
          <w:tcPr>
            <w:tcW w:w="4464" w:type="dxa"/>
            <w:vAlign w:val="center"/>
          </w:tcPr>
          <w:p w14:paraId="6000B2B9" w14:textId="77777777" w:rsidR="00216A07" w:rsidRDefault="00000000">
            <w:pPr>
              <w:spacing w:after="20"/>
            </w:pPr>
            <w:r>
              <w:rPr>
                <w:sz w:val="17"/>
              </w:rPr>
              <w:t>Bill charge categories, payment status, doctor compensation, and stock/supplier information</w:t>
            </w:r>
          </w:p>
        </w:tc>
        <w:tc>
          <w:tcPr>
            <w:tcW w:w="3888" w:type="dxa"/>
            <w:vAlign w:val="center"/>
          </w:tcPr>
          <w:p w14:paraId="15D5582C" w14:textId="77777777" w:rsidR="00216A07" w:rsidRDefault="00000000">
            <w:pPr>
              <w:spacing w:after="20"/>
            </w:pPr>
            <w:r>
              <w:rPr>
                <w:sz w:val="17"/>
              </w:rPr>
              <w:t>Charge mix and financial interpretation, subject to reconciliation.</w:t>
            </w:r>
          </w:p>
        </w:tc>
      </w:tr>
    </w:tbl>
    <w:p w14:paraId="1FD913B8" w14:textId="77777777" w:rsidR="00216A07" w:rsidRDefault="00216A07">
      <w:pPr>
        <w:spacing w:after="20"/>
      </w:pPr>
    </w:p>
    <w:p w14:paraId="65D6363C" w14:textId="77777777" w:rsidR="00216A07" w:rsidRDefault="00000000">
      <w:pPr>
        <w:pStyle w:val="Heading1"/>
        <w:pageBreakBefore/>
        <w:spacing w:before="160" w:after="80"/>
      </w:pPr>
      <w:r>
        <w:lastRenderedPageBreak/>
        <w:t>3. Project Phases — Work Completed</w:t>
      </w:r>
    </w:p>
    <w:p w14:paraId="65EB8512" w14:textId="77777777" w:rsidR="00216A07" w:rsidRDefault="00000000">
      <w:r>
        <w:t>The work is presented in the order a Business Analyst would typically carry out and document the project. These are phases of the completed review, not a proposal for future project delivery.</w:t>
      </w:r>
    </w:p>
    <w:p w14:paraId="175CE540" w14:textId="77777777" w:rsidR="00216A07" w:rsidRDefault="00000000">
      <w:pPr>
        <w:pStyle w:val="Heading2"/>
        <w:spacing w:before="160" w:after="80"/>
      </w:pPr>
      <w:r>
        <w:t>Phase 1 — Business understanding</w:t>
      </w:r>
    </w:p>
    <w:p w14:paraId="61D37654" w14:textId="77777777" w:rsidR="00216A07" w:rsidRDefault="00000000">
      <w:pPr>
        <w:pStyle w:val="ListBullet"/>
        <w:spacing w:after="60"/>
      </w:pPr>
      <w:r>
        <w:t>Identified the dashboard’s business purpose: provide a combined view of patient flow, billing, doctor-related indicators, appointments, diagnostic tests, beds, medicine usage, and medical inventory.</w:t>
      </w:r>
    </w:p>
    <w:p w14:paraId="086F698F" w14:textId="77777777" w:rsidR="00216A07" w:rsidRDefault="00000000">
      <w:pPr>
        <w:pStyle w:val="ListBullet"/>
        <w:spacing w:after="60"/>
      </w:pPr>
      <w:r>
        <w:t>Mapped the dashboard areas to the decisions they could support: service and capacity monitoring, charge-mix review, appointment visibility, and stock follow-up.</w:t>
      </w:r>
    </w:p>
    <w:p w14:paraId="35313BC9" w14:textId="77777777" w:rsidR="00216A07" w:rsidRDefault="00000000">
      <w:pPr>
        <w:pStyle w:val="Heading2"/>
        <w:spacing w:before="160" w:after="80"/>
      </w:pPr>
      <w:r>
        <w:t>Phase 2 — Data familiarization and source review</w:t>
      </w:r>
    </w:p>
    <w:p w14:paraId="3CCF67A2" w14:textId="77777777" w:rsidR="00216A07" w:rsidRDefault="00000000">
      <w:pPr>
        <w:pStyle w:val="ListBullet"/>
        <w:spacing w:after="60"/>
      </w:pPr>
      <w:r>
        <w:t>Reviewed seven Excel workbooks: patient_info, bills, medicine_patient, patient_tests, appointments, medical_stock_info, and Beds.</w:t>
      </w:r>
    </w:p>
    <w:p w14:paraId="7BC794FA" w14:textId="77777777" w:rsidR="00216A07" w:rsidRDefault="00000000">
      <w:pPr>
        <w:pStyle w:val="ListBullet"/>
        <w:spacing w:after="60"/>
      </w:pPr>
      <w:r>
        <w:t>Checked record counts, key fields, status categories, bill values, bed statuses, appointment/test statuses, medicine quantities, and stock expiry fields.</w:t>
      </w:r>
    </w:p>
    <w:p w14:paraId="32AB46F0" w14:textId="77777777" w:rsidR="00216A07" w:rsidRDefault="00000000">
      <w:pPr>
        <w:pStyle w:val="ListBullet"/>
        <w:spacing w:after="60"/>
      </w:pPr>
      <w:r>
        <w:t>Noted that patient_info contains direct identifiers and sensitive fields; such data should not be exposed in a public portfolio version.</w:t>
      </w:r>
    </w:p>
    <w:p w14:paraId="6FCD3270" w14:textId="77777777" w:rsidR="00216A07" w:rsidRDefault="00000000">
      <w:pPr>
        <w:pStyle w:val="Heading2"/>
        <w:spacing w:before="160" w:after="80"/>
      </w:pPr>
      <w:r>
        <w:t>Phase 3 — Dashboard review and analytical checks</w:t>
      </w:r>
    </w:p>
    <w:p w14:paraId="2E14D6F1" w14:textId="77777777" w:rsidR="00216A07" w:rsidRDefault="00000000">
      <w:pPr>
        <w:pStyle w:val="ListBullet"/>
        <w:spacing w:after="60"/>
      </w:pPr>
      <w:r>
        <w:t>Reviewed the documented dashboard sections and compared selected dashboard headline figures with calculations from the source workbooks.</w:t>
      </w:r>
    </w:p>
    <w:p w14:paraId="7086B6E3" w14:textId="77777777" w:rsidR="00216A07" w:rsidRDefault="00000000">
      <w:pPr>
        <w:pStyle w:val="ListBullet"/>
        <w:spacing w:after="60"/>
      </w:pPr>
      <w:r>
        <w:t>Summarized bill-line values by charge type, compared the two patient-status fields, reviewed the bed-status snapshot, and checked how repeated doctor salary values affect aggregation.</w:t>
      </w:r>
    </w:p>
    <w:p w14:paraId="7B230C69" w14:textId="77777777" w:rsidR="00216A07" w:rsidRDefault="00000000">
      <w:pPr>
        <w:pStyle w:val="Heading2"/>
        <w:spacing w:before="160" w:after="80"/>
      </w:pPr>
      <w:r>
        <w:t>Phase 4 — Findings and interpretation</w:t>
      </w:r>
    </w:p>
    <w:p w14:paraId="0AA0125B" w14:textId="77777777" w:rsidR="00216A07" w:rsidRDefault="00000000">
      <w:pPr>
        <w:pStyle w:val="ListBullet"/>
        <w:spacing w:after="60"/>
      </w:pPr>
      <w:r>
        <w:t>Separated what the source data directly shows from interpretations that need confirmation, such as whether bill-line values represent recognized revenue or collected cash.</w:t>
      </w:r>
    </w:p>
    <w:p w14:paraId="39ECEA6D" w14:textId="77777777" w:rsidR="00216A07" w:rsidRDefault="00000000">
      <w:pPr>
        <w:pStyle w:val="ListBullet"/>
        <w:spacing w:after="60"/>
      </w:pPr>
      <w:r>
        <w:t>Identified reconciliation and freshness issues that can materially change how stakeholders interpret KPIs.</w:t>
      </w:r>
    </w:p>
    <w:p w14:paraId="50EA285F" w14:textId="77777777" w:rsidR="00216A07" w:rsidRDefault="00000000">
      <w:pPr>
        <w:pStyle w:val="Heading2"/>
        <w:spacing w:before="160" w:after="80"/>
      </w:pPr>
      <w:r>
        <w:t>Phase 5 — Recommendations and reporting</w:t>
      </w:r>
    </w:p>
    <w:p w14:paraId="421B9702" w14:textId="77777777" w:rsidR="00216A07" w:rsidRDefault="00000000">
      <w:pPr>
        <w:pStyle w:val="ListBullet"/>
        <w:spacing w:after="60"/>
      </w:pPr>
      <w:r>
        <w:t>Converted findings into practical actions: standardize status definitions, validate financial semantics, aggregate salaries at the correct grain, label data periods, and protect patient information.</w:t>
      </w:r>
    </w:p>
    <w:p w14:paraId="377D010B" w14:textId="77777777" w:rsidR="00216A07" w:rsidRDefault="00000000">
      <w:pPr>
        <w:pStyle w:val="ListBullet"/>
        <w:spacing w:after="60"/>
      </w:pPr>
      <w:r>
        <w:t>Documented the findings and recommendations in this report with visual summaries for a portfolio-ready business narrative.</w:t>
      </w:r>
    </w:p>
    <w:p w14:paraId="519DCA41" w14:textId="77777777" w:rsidR="00216A07" w:rsidRDefault="00000000">
      <w:pPr>
        <w:pStyle w:val="Heading2"/>
        <w:spacing w:before="160" w:after="80"/>
      </w:pPr>
      <w:r>
        <w:t>Deliverables from the analysis</w:t>
      </w:r>
    </w:p>
    <w:tbl>
      <w:tblPr>
        <w:tblStyle w:val="TableGrid"/>
        <w:tblW w:w="0" w:type="auto"/>
        <w:jc w:val="center"/>
        <w:tblLook w:val="04A0" w:firstRow="1" w:lastRow="0" w:firstColumn="1" w:lastColumn="0" w:noHBand="0" w:noVBand="1"/>
      </w:tblPr>
      <w:tblGrid>
        <w:gridCol w:w="2592"/>
        <w:gridCol w:w="7488"/>
      </w:tblGrid>
      <w:tr w:rsidR="00216A07" w14:paraId="1D3E097F" w14:textId="77777777">
        <w:trPr>
          <w:jc w:val="center"/>
        </w:trPr>
        <w:tc>
          <w:tcPr>
            <w:tcW w:w="2592" w:type="dxa"/>
            <w:shd w:val="clear" w:color="auto" w:fill="17365D"/>
            <w:vAlign w:val="center"/>
          </w:tcPr>
          <w:p w14:paraId="2D64EF7D" w14:textId="77777777" w:rsidR="00216A07" w:rsidRDefault="00000000">
            <w:pPr>
              <w:spacing w:after="20"/>
            </w:pPr>
            <w:r>
              <w:rPr>
                <w:b/>
                <w:color w:val="FFFFFF"/>
                <w:sz w:val="18"/>
              </w:rPr>
              <w:t>Deliverable</w:t>
            </w:r>
          </w:p>
        </w:tc>
        <w:tc>
          <w:tcPr>
            <w:tcW w:w="7488" w:type="dxa"/>
            <w:shd w:val="clear" w:color="auto" w:fill="17365D"/>
            <w:vAlign w:val="center"/>
          </w:tcPr>
          <w:p w14:paraId="14445A04" w14:textId="77777777" w:rsidR="00216A07" w:rsidRDefault="00000000">
            <w:pPr>
              <w:spacing w:after="20"/>
            </w:pPr>
            <w:r>
              <w:rPr>
                <w:b/>
                <w:color w:val="FFFFFF"/>
                <w:sz w:val="18"/>
              </w:rPr>
              <w:t>Result</w:t>
            </w:r>
          </w:p>
        </w:tc>
      </w:tr>
      <w:tr w:rsidR="00216A07" w14:paraId="6EBF52FC" w14:textId="77777777">
        <w:trPr>
          <w:jc w:val="center"/>
        </w:trPr>
        <w:tc>
          <w:tcPr>
            <w:tcW w:w="2592" w:type="dxa"/>
            <w:vAlign w:val="center"/>
          </w:tcPr>
          <w:p w14:paraId="6FFF0FE5" w14:textId="77777777" w:rsidR="00216A07" w:rsidRDefault="00000000">
            <w:pPr>
              <w:spacing w:after="20"/>
            </w:pPr>
            <w:r>
              <w:rPr>
                <w:sz w:val="17"/>
              </w:rPr>
              <w:t>Dashboard review</w:t>
            </w:r>
          </w:p>
        </w:tc>
        <w:tc>
          <w:tcPr>
            <w:tcW w:w="7488" w:type="dxa"/>
            <w:vAlign w:val="center"/>
          </w:tcPr>
          <w:p w14:paraId="2711BE54" w14:textId="77777777" w:rsidR="00216A07" w:rsidRDefault="00000000">
            <w:pPr>
              <w:spacing w:after="20"/>
            </w:pPr>
            <w:r>
              <w:rPr>
                <w:sz w:val="17"/>
              </w:rPr>
              <w:t>Business purpose and the key analytical areas documented.</w:t>
            </w:r>
          </w:p>
        </w:tc>
      </w:tr>
      <w:tr w:rsidR="00216A07" w14:paraId="50B4836A" w14:textId="77777777">
        <w:trPr>
          <w:jc w:val="center"/>
        </w:trPr>
        <w:tc>
          <w:tcPr>
            <w:tcW w:w="2592" w:type="dxa"/>
            <w:shd w:val="clear" w:color="auto" w:fill="F1F5F9"/>
            <w:vAlign w:val="center"/>
          </w:tcPr>
          <w:p w14:paraId="3CDF8FC6" w14:textId="77777777" w:rsidR="00216A07" w:rsidRDefault="00000000">
            <w:pPr>
              <w:spacing w:after="20"/>
            </w:pPr>
            <w:r>
              <w:rPr>
                <w:sz w:val="17"/>
              </w:rPr>
              <w:t>Source data profile</w:t>
            </w:r>
          </w:p>
        </w:tc>
        <w:tc>
          <w:tcPr>
            <w:tcW w:w="7488" w:type="dxa"/>
            <w:shd w:val="clear" w:color="auto" w:fill="F1F5F9"/>
            <w:vAlign w:val="center"/>
          </w:tcPr>
          <w:p w14:paraId="679B6D14" w14:textId="77777777" w:rsidR="00216A07" w:rsidRDefault="00000000">
            <w:pPr>
              <w:spacing w:after="20"/>
            </w:pPr>
            <w:r>
              <w:rPr>
                <w:sz w:val="17"/>
              </w:rPr>
              <w:t>Seven workbooks reviewed and important fields/counts summarized.</w:t>
            </w:r>
          </w:p>
        </w:tc>
      </w:tr>
      <w:tr w:rsidR="00216A07" w14:paraId="2CF5ECF8" w14:textId="77777777">
        <w:trPr>
          <w:jc w:val="center"/>
        </w:trPr>
        <w:tc>
          <w:tcPr>
            <w:tcW w:w="2592" w:type="dxa"/>
            <w:vAlign w:val="center"/>
          </w:tcPr>
          <w:p w14:paraId="3822499B" w14:textId="77777777" w:rsidR="00216A07" w:rsidRDefault="00000000">
            <w:pPr>
              <w:spacing w:after="20"/>
            </w:pPr>
            <w:r>
              <w:rPr>
                <w:sz w:val="17"/>
              </w:rPr>
              <w:t>Finding visuals</w:t>
            </w:r>
          </w:p>
        </w:tc>
        <w:tc>
          <w:tcPr>
            <w:tcW w:w="7488" w:type="dxa"/>
            <w:vAlign w:val="center"/>
          </w:tcPr>
          <w:p w14:paraId="166E9FD2" w14:textId="77777777" w:rsidR="00216A07" w:rsidRDefault="00000000">
            <w:pPr>
              <w:spacing w:after="20"/>
            </w:pPr>
            <w:r>
              <w:rPr>
                <w:sz w:val="17"/>
              </w:rPr>
              <w:t>Charge mix, patient-status discrepancy, and bed-status snapshot charts.</w:t>
            </w:r>
          </w:p>
        </w:tc>
      </w:tr>
      <w:tr w:rsidR="00216A07" w14:paraId="05E880A4" w14:textId="77777777">
        <w:trPr>
          <w:jc w:val="center"/>
        </w:trPr>
        <w:tc>
          <w:tcPr>
            <w:tcW w:w="2592" w:type="dxa"/>
            <w:shd w:val="clear" w:color="auto" w:fill="F1F5F9"/>
            <w:vAlign w:val="center"/>
          </w:tcPr>
          <w:p w14:paraId="7190A9FA" w14:textId="77777777" w:rsidR="00216A07" w:rsidRDefault="00000000">
            <w:pPr>
              <w:spacing w:after="20"/>
            </w:pPr>
            <w:r>
              <w:rPr>
                <w:sz w:val="17"/>
              </w:rPr>
              <w:t>Data-quality observations</w:t>
            </w:r>
          </w:p>
        </w:tc>
        <w:tc>
          <w:tcPr>
            <w:tcW w:w="7488" w:type="dxa"/>
            <w:shd w:val="clear" w:color="auto" w:fill="F1F5F9"/>
            <w:vAlign w:val="center"/>
          </w:tcPr>
          <w:p w14:paraId="55D5CB63" w14:textId="77777777" w:rsidR="00216A07" w:rsidRDefault="00000000">
            <w:pPr>
              <w:spacing w:after="20"/>
            </w:pPr>
            <w:r>
              <w:rPr>
                <w:sz w:val="17"/>
              </w:rPr>
              <w:t>Conflicting status values, salary aggregation risk, old stock expiry dates, and privacy concern recorded.</w:t>
            </w:r>
          </w:p>
        </w:tc>
      </w:tr>
      <w:tr w:rsidR="00216A07" w14:paraId="1704E5E3" w14:textId="77777777">
        <w:trPr>
          <w:jc w:val="center"/>
        </w:trPr>
        <w:tc>
          <w:tcPr>
            <w:tcW w:w="2592" w:type="dxa"/>
            <w:vAlign w:val="center"/>
          </w:tcPr>
          <w:p w14:paraId="439BC7BA" w14:textId="77777777" w:rsidR="00216A07" w:rsidRDefault="00000000">
            <w:pPr>
              <w:spacing w:after="20"/>
            </w:pPr>
            <w:r>
              <w:rPr>
                <w:sz w:val="17"/>
              </w:rPr>
              <w:t>Action-oriented conclusion</w:t>
            </w:r>
          </w:p>
        </w:tc>
        <w:tc>
          <w:tcPr>
            <w:tcW w:w="7488" w:type="dxa"/>
            <w:vAlign w:val="center"/>
          </w:tcPr>
          <w:p w14:paraId="4A4A1498" w14:textId="77777777" w:rsidR="00216A07" w:rsidRDefault="00000000">
            <w:pPr>
              <w:spacing w:after="20"/>
            </w:pPr>
            <w:r>
              <w:rPr>
                <w:sz w:val="17"/>
              </w:rPr>
              <w:t>Recommended next steps linked directly to observed findings.</w:t>
            </w:r>
          </w:p>
        </w:tc>
      </w:tr>
    </w:tbl>
    <w:p w14:paraId="31F3E0B3" w14:textId="77777777" w:rsidR="00216A07" w:rsidRDefault="00216A07">
      <w:pPr>
        <w:spacing w:after="20"/>
      </w:pPr>
    </w:p>
    <w:p w14:paraId="74000572" w14:textId="77777777" w:rsidR="00216A07" w:rsidRDefault="00000000">
      <w:pPr>
        <w:pStyle w:val="Heading1"/>
        <w:pageBreakBefore/>
        <w:spacing w:before="160" w:after="80"/>
      </w:pPr>
      <w:r>
        <w:lastRenderedPageBreak/>
        <w:t>4. Data Analysis &amp; Key Findings</w:t>
      </w:r>
    </w:p>
    <w:p w14:paraId="3FDDDF20" w14:textId="77777777" w:rsidR="00216A07" w:rsidRDefault="00000000">
      <w:pPr>
        <w:pStyle w:val="Heading2"/>
        <w:spacing w:before="160" w:after="80"/>
      </w:pPr>
      <w:r>
        <w:t>Finding 1 — Surgery and Room are the largest bill-line categories</w:t>
      </w:r>
    </w:p>
    <w:p w14:paraId="3DC59A14" w14:textId="77777777" w:rsidR="00216A07" w:rsidRDefault="00000000">
      <w:r>
        <w:t>The 210 rows in bills.xlsx sum to 727,105 across seven charge categories. Surgery contributes 430,000 (about 59.1% of the total) and Room contributes 174,000 (about 23.9%). Together they represent about 83.0% of the recorded bill-line value. This suggests that surgery-related and room-related charges are the largest categories to examine when explaining the value mix.</w:t>
      </w:r>
    </w:p>
    <w:p w14:paraId="60B4C7BB" w14:textId="77777777" w:rsidR="00216A07" w:rsidRDefault="00000000">
      <w:pPr>
        <w:jc w:val="center"/>
      </w:pPr>
      <w:r>
        <w:rPr>
          <w:noProof/>
        </w:rPr>
        <w:drawing>
          <wp:inline distT="0" distB="0" distL="0" distR="0" wp14:anchorId="6F8C2EBE" wp14:editId="602ABA47">
            <wp:extent cx="5760720" cy="27363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ge_type.png"/>
                    <pic:cNvPicPr/>
                  </pic:nvPicPr>
                  <pic:blipFill>
                    <a:blip r:embed="rId8"/>
                    <a:stretch>
                      <a:fillRect/>
                    </a:stretch>
                  </pic:blipFill>
                  <pic:spPr>
                    <a:xfrm>
                      <a:off x="0" y="0"/>
                      <a:ext cx="5760720" cy="2736342"/>
                    </a:xfrm>
                    <a:prstGeom prst="rect">
                      <a:avLst/>
                    </a:prstGeom>
                  </pic:spPr>
                </pic:pic>
              </a:graphicData>
            </a:graphic>
          </wp:inline>
        </w:drawing>
      </w:r>
    </w:p>
    <w:p w14:paraId="125F424E" w14:textId="77777777" w:rsidR="00216A07" w:rsidRDefault="00000000">
      <w:r>
        <w:rPr>
          <w:i/>
        </w:rPr>
        <w:t>Interpretation caution: the workbook labels every row “Paid,” but charge lines include discounts and zero values. The 727,105 total should therefore be described as summed bill-line value—not automatically as net revenue or cash collected. Currency is not specified in the supplied workbook.</w:t>
      </w:r>
    </w:p>
    <w:p w14:paraId="6B7F56FE" w14:textId="77777777" w:rsidR="00216A07" w:rsidRDefault="00000000">
      <w:pPr>
        <w:pStyle w:val="Heading2"/>
        <w:spacing w:before="160" w:after="80"/>
      </w:pPr>
      <w:r>
        <w:t>Finding 2 — Patient status is inconsistent across two fields</w:t>
      </w:r>
    </w:p>
    <w:p w14:paraId="0F393202" w14:textId="77777777" w:rsidR="00216A07" w:rsidRDefault="00000000">
      <w:r>
        <w:t>The patient_status field records 22 Discharged and 8 Admitted patients (73.3% discharged). The separate patient_admission_status field records 21 Discharge and 9 Admitted. The one-record difference is enough to make the discharge KPI ambiguous until the intended field and definitions are confirmed.</w:t>
      </w:r>
    </w:p>
    <w:p w14:paraId="20402137" w14:textId="77777777" w:rsidR="00216A07" w:rsidRDefault="00000000">
      <w:pPr>
        <w:jc w:val="center"/>
      </w:pPr>
      <w:r>
        <w:rPr>
          <w:noProof/>
        </w:rPr>
        <w:lastRenderedPageBreak/>
        <w:drawing>
          <wp:inline distT="0" distB="0" distL="0" distR="0" wp14:anchorId="02991E7C" wp14:editId="623918EC">
            <wp:extent cx="5303520" cy="26517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us.png"/>
                    <pic:cNvPicPr/>
                  </pic:nvPicPr>
                  <pic:blipFill>
                    <a:blip r:embed="rId9"/>
                    <a:stretch>
                      <a:fillRect/>
                    </a:stretch>
                  </pic:blipFill>
                  <pic:spPr>
                    <a:xfrm>
                      <a:off x="0" y="0"/>
                      <a:ext cx="5303520" cy="2651760"/>
                    </a:xfrm>
                    <a:prstGeom prst="rect">
                      <a:avLst/>
                    </a:prstGeom>
                  </pic:spPr>
                </pic:pic>
              </a:graphicData>
            </a:graphic>
          </wp:inline>
        </w:drawing>
      </w:r>
    </w:p>
    <w:p w14:paraId="5746EE15" w14:textId="77777777" w:rsidR="00216A07" w:rsidRDefault="00000000">
      <w:pPr>
        <w:pStyle w:val="Heading1"/>
        <w:pageBreakBefore/>
        <w:spacing w:before="160" w:after="80"/>
      </w:pPr>
      <w:r>
        <w:lastRenderedPageBreak/>
        <w:t>4. Data Analysis &amp; Key Findings (continued)</w:t>
      </w:r>
    </w:p>
    <w:p w14:paraId="572870D2" w14:textId="77777777" w:rsidR="00216A07" w:rsidRDefault="00000000">
      <w:pPr>
        <w:pStyle w:val="Heading2"/>
        <w:spacing w:before="160" w:after="80"/>
      </w:pPr>
      <w:r>
        <w:t>Finding 3 — Bed snapshot shows 16 available and 9 occupied beds</w:t>
      </w:r>
    </w:p>
    <w:p w14:paraId="457D1649" w14:textId="77777777" w:rsidR="00216A07" w:rsidRDefault="00000000">
      <w:r>
        <w:t>The Beds workbook contains 25 records: 16 marked Available and 9 marked Occupied. In this snapshot, 64% are available and 36% occupied. This is a point-in-time status distribution only; it does not establish average occupancy, bed turnover, or utilization over time.</w:t>
      </w:r>
    </w:p>
    <w:p w14:paraId="6ACCBADF" w14:textId="77777777" w:rsidR="00216A07" w:rsidRDefault="00000000">
      <w:pPr>
        <w:jc w:val="center"/>
      </w:pPr>
      <w:r>
        <w:rPr>
          <w:noProof/>
        </w:rPr>
        <w:drawing>
          <wp:inline distT="0" distB="0" distL="0" distR="0" wp14:anchorId="108FA7BD" wp14:editId="437DFB7D">
            <wp:extent cx="4754880" cy="269443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ds.png"/>
                    <pic:cNvPicPr/>
                  </pic:nvPicPr>
                  <pic:blipFill>
                    <a:blip r:embed="rId10"/>
                    <a:stretch>
                      <a:fillRect/>
                    </a:stretch>
                  </pic:blipFill>
                  <pic:spPr>
                    <a:xfrm>
                      <a:off x="0" y="0"/>
                      <a:ext cx="4754880" cy="2694432"/>
                    </a:xfrm>
                    <a:prstGeom prst="rect">
                      <a:avLst/>
                    </a:prstGeom>
                  </pic:spPr>
                </pic:pic>
              </a:graphicData>
            </a:graphic>
          </wp:inline>
        </w:drawing>
      </w:r>
    </w:p>
    <w:p w14:paraId="4B29DA5F" w14:textId="77777777" w:rsidR="00216A07" w:rsidRDefault="00000000">
      <w:pPr>
        <w:pStyle w:val="Heading2"/>
        <w:spacing w:before="160" w:after="80"/>
      </w:pPr>
      <w:r>
        <w:t>Finding 4 — Doctor salary total depends on aggregation level</w:t>
      </w:r>
    </w:p>
    <w:p w14:paraId="1FAB54F1" w14:textId="77777777" w:rsidR="00216A07" w:rsidRDefault="00000000">
      <w:r>
        <w:t>Summing doctor_salary across all patient rows gives 4,135,000. Summing distinct doctor ID/salary combinations gives 2,075,000 across 15 doctor IDs. The difference indicates that salary values repeat across patient-level rows. Compensation should be aggregated from a doctor/pay-period-level source, not summed directly from a patient-grain table. The correct amount and salary period still require confirmation.</w:t>
      </w:r>
    </w:p>
    <w:p w14:paraId="0AE660A5" w14:textId="77777777" w:rsidR="00216A07" w:rsidRDefault="00000000">
      <w:pPr>
        <w:pStyle w:val="Heading2"/>
        <w:spacing w:before="160" w:after="80"/>
      </w:pPr>
      <w:r>
        <w:t>Finding 5 — Other operational observations</w:t>
      </w:r>
    </w:p>
    <w:tbl>
      <w:tblPr>
        <w:tblStyle w:val="TableGrid"/>
        <w:tblW w:w="0" w:type="auto"/>
        <w:jc w:val="center"/>
        <w:tblLook w:val="04A0" w:firstRow="1" w:lastRow="0" w:firstColumn="1" w:lastColumn="0" w:noHBand="0" w:noVBand="1"/>
      </w:tblPr>
      <w:tblGrid>
        <w:gridCol w:w="1723"/>
        <w:gridCol w:w="3287"/>
        <w:gridCol w:w="5286"/>
      </w:tblGrid>
      <w:tr w:rsidR="00216A07" w14:paraId="0257F09C" w14:textId="77777777">
        <w:trPr>
          <w:jc w:val="center"/>
        </w:trPr>
        <w:tc>
          <w:tcPr>
            <w:tcW w:w="1728" w:type="dxa"/>
            <w:shd w:val="clear" w:color="auto" w:fill="17365D"/>
            <w:vAlign w:val="center"/>
          </w:tcPr>
          <w:p w14:paraId="43164B2B" w14:textId="77777777" w:rsidR="00216A07" w:rsidRDefault="00000000">
            <w:pPr>
              <w:spacing w:after="20"/>
            </w:pPr>
            <w:r>
              <w:rPr>
                <w:b/>
                <w:color w:val="FFFFFF"/>
                <w:sz w:val="18"/>
              </w:rPr>
              <w:t>Area</w:t>
            </w:r>
          </w:p>
        </w:tc>
        <w:tc>
          <w:tcPr>
            <w:tcW w:w="3312" w:type="dxa"/>
            <w:shd w:val="clear" w:color="auto" w:fill="17365D"/>
            <w:vAlign w:val="center"/>
          </w:tcPr>
          <w:p w14:paraId="494E976C" w14:textId="77777777" w:rsidR="00216A07" w:rsidRDefault="00000000">
            <w:pPr>
              <w:spacing w:after="20"/>
            </w:pPr>
            <w:r>
              <w:rPr>
                <w:b/>
                <w:color w:val="FFFFFF"/>
                <w:sz w:val="18"/>
              </w:rPr>
              <w:t>Observed result</w:t>
            </w:r>
          </w:p>
        </w:tc>
        <w:tc>
          <w:tcPr>
            <w:tcW w:w="5328" w:type="dxa"/>
            <w:shd w:val="clear" w:color="auto" w:fill="17365D"/>
            <w:vAlign w:val="center"/>
          </w:tcPr>
          <w:p w14:paraId="6713EC2A" w14:textId="77777777" w:rsidR="00216A07" w:rsidRDefault="00000000">
            <w:pPr>
              <w:spacing w:after="20"/>
            </w:pPr>
            <w:r>
              <w:rPr>
                <w:b/>
                <w:color w:val="FFFFFF"/>
                <w:sz w:val="18"/>
              </w:rPr>
              <w:t>What it means</w:t>
            </w:r>
          </w:p>
        </w:tc>
      </w:tr>
      <w:tr w:rsidR="00216A07" w14:paraId="4CC492C8" w14:textId="77777777">
        <w:trPr>
          <w:jc w:val="center"/>
        </w:trPr>
        <w:tc>
          <w:tcPr>
            <w:tcW w:w="1728" w:type="dxa"/>
            <w:vAlign w:val="center"/>
          </w:tcPr>
          <w:p w14:paraId="02B652FD" w14:textId="77777777" w:rsidR="00216A07" w:rsidRDefault="00000000">
            <w:pPr>
              <w:spacing w:after="20"/>
            </w:pPr>
            <w:r>
              <w:rPr>
                <w:sz w:val="17"/>
              </w:rPr>
              <w:t>Appointments</w:t>
            </w:r>
          </w:p>
        </w:tc>
        <w:tc>
          <w:tcPr>
            <w:tcW w:w="3312" w:type="dxa"/>
            <w:vAlign w:val="center"/>
          </w:tcPr>
          <w:p w14:paraId="279A5DE0" w14:textId="77777777" w:rsidR="00216A07" w:rsidRDefault="00000000">
            <w:pPr>
              <w:spacing w:after="20"/>
            </w:pPr>
            <w:r>
              <w:rPr>
                <w:sz w:val="17"/>
              </w:rPr>
              <w:t>35 records: 30 Completed, 5 Scheduled</w:t>
            </w:r>
          </w:p>
        </w:tc>
        <w:tc>
          <w:tcPr>
            <w:tcW w:w="5328" w:type="dxa"/>
            <w:vAlign w:val="center"/>
          </w:tcPr>
          <w:p w14:paraId="68101A0F" w14:textId="77777777" w:rsidR="00216A07" w:rsidRDefault="00000000">
            <w:pPr>
              <w:spacing w:after="20"/>
            </w:pPr>
            <w:r>
              <w:rPr>
                <w:sz w:val="17"/>
              </w:rPr>
              <w:t>The supplied sample has no other appointment statuses. Confirm whether cancellations/no-shows are absent or simply not captured.</w:t>
            </w:r>
          </w:p>
        </w:tc>
      </w:tr>
      <w:tr w:rsidR="00216A07" w14:paraId="75E8ED02" w14:textId="77777777">
        <w:trPr>
          <w:jc w:val="center"/>
        </w:trPr>
        <w:tc>
          <w:tcPr>
            <w:tcW w:w="1728" w:type="dxa"/>
            <w:shd w:val="clear" w:color="auto" w:fill="F1F5F9"/>
            <w:vAlign w:val="center"/>
          </w:tcPr>
          <w:p w14:paraId="2C3FDAA0" w14:textId="77777777" w:rsidR="00216A07" w:rsidRDefault="00000000">
            <w:pPr>
              <w:spacing w:after="20"/>
            </w:pPr>
            <w:r>
              <w:rPr>
                <w:sz w:val="17"/>
              </w:rPr>
              <w:t>Diagnostic tests</w:t>
            </w:r>
          </w:p>
        </w:tc>
        <w:tc>
          <w:tcPr>
            <w:tcW w:w="3312" w:type="dxa"/>
            <w:shd w:val="clear" w:color="auto" w:fill="F1F5F9"/>
            <w:vAlign w:val="center"/>
          </w:tcPr>
          <w:p w14:paraId="28B2E90B" w14:textId="77777777" w:rsidR="00216A07" w:rsidRDefault="00000000">
            <w:pPr>
              <w:spacing w:after="20"/>
            </w:pPr>
            <w:r>
              <w:rPr>
                <w:sz w:val="17"/>
              </w:rPr>
              <w:t>30 records; all marked Completed</w:t>
            </w:r>
          </w:p>
        </w:tc>
        <w:tc>
          <w:tcPr>
            <w:tcW w:w="5328" w:type="dxa"/>
            <w:shd w:val="clear" w:color="auto" w:fill="F1F5F9"/>
            <w:vAlign w:val="center"/>
          </w:tcPr>
          <w:p w14:paraId="72A31852" w14:textId="77777777" w:rsidR="00216A07" w:rsidRDefault="00000000">
            <w:pPr>
              <w:spacing w:after="20"/>
            </w:pPr>
            <w:r>
              <w:rPr>
                <w:sz w:val="17"/>
              </w:rPr>
              <w:t>This extract cannot show a pending-test backlog; confirm completeness before using it for turnaround monitoring.</w:t>
            </w:r>
          </w:p>
        </w:tc>
      </w:tr>
      <w:tr w:rsidR="00216A07" w14:paraId="63C34BD6" w14:textId="77777777">
        <w:trPr>
          <w:jc w:val="center"/>
        </w:trPr>
        <w:tc>
          <w:tcPr>
            <w:tcW w:w="1728" w:type="dxa"/>
            <w:vAlign w:val="center"/>
          </w:tcPr>
          <w:p w14:paraId="03D9633C" w14:textId="77777777" w:rsidR="00216A07" w:rsidRDefault="00000000">
            <w:pPr>
              <w:spacing w:after="20"/>
            </w:pPr>
            <w:r>
              <w:rPr>
                <w:sz w:val="17"/>
              </w:rPr>
              <w:t>Medicine usage</w:t>
            </w:r>
          </w:p>
        </w:tc>
        <w:tc>
          <w:tcPr>
            <w:tcW w:w="3312" w:type="dxa"/>
            <w:vAlign w:val="center"/>
          </w:tcPr>
          <w:p w14:paraId="45C0B1DD" w14:textId="77777777" w:rsidR="00216A07" w:rsidRDefault="00000000">
            <w:pPr>
              <w:spacing w:after="20"/>
            </w:pPr>
            <w:r>
              <w:rPr>
                <w:sz w:val="17"/>
              </w:rPr>
              <w:t>517 rows; total quantity 3,928 across 15 medicine IDs</w:t>
            </w:r>
          </w:p>
        </w:tc>
        <w:tc>
          <w:tcPr>
            <w:tcW w:w="5328" w:type="dxa"/>
            <w:vAlign w:val="center"/>
          </w:tcPr>
          <w:p w14:paraId="0C74468D" w14:textId="77777777" w:rsidR="00216A07" w:rsidRDefault="00000000">
            <w:pPr>
              <w:spacing w:after="20"/>
            </w:pPr>
            <w:r>
              <w:rPr>
                <w:sz w:val="17"/>
              </w:rPr>
              <w:t>Useful for consumption profiling, but quantities need units and period context.</w:t>
            </w:r>
          </w:p>
        </w:tc>
      </w:tr>
      <w:tr w:rsidR="00216A07" w14:paraId="431A6ADA" w14:textId="77777777">
        <w:trPr>
          <w:jc w:val="center"/>
        </w:trPr>
        <w:tc>
          <w:tcPr>
            <w:tcW w:w="1728" w:type="dxa"/>
            <w:shd w:val="clear" w:color="auto" w:fill="F1F5F9"/>
            <w:vAlign w:val="center"/>
          </w:tcPr>
          <w:p w14:paraId="56414EEC" w14:textId="77777777" w:rsidR="00216A07" w:rsidRDefault="00000000">
            <w:pPr>
              <w:spacing w:after="20"/>
            </w:pPr>
            <w:r>
              <w:rPr>
                <w:sz w:val="17"/>
              </w:rPr>
              <w:t>Inventory</w:t>
            </w:r>
          </w:p>
        </w:tc>
        <w:tc>
          <w:tcPr>
            <w:tcW w:w="3312" w:type="dxa"/>
            <w:shd w:val="clear" w:color="auto" w:fill="F1F5F9"/>
            <w:vAlign w:val="center"/>
          </w:tcPr>
          <w:p w14:paraId="227D8914" w14:textId="77777777" w:rsidR="00216A07" w:rsidRDefault="00000000">
            <w:pPr>
              <w:spacing w:after="20"/>
            </w:pPr>
            <w:r>
              <w:rPr>
                <w:sz w:val="17"/>
              </w:rPr>
              <w:t>15 stock records; all 15 expiry dates are before 28 Oct 2026</w:t>
            </w:r>
          </w:p>
        </w:tc>
        <w:tc>
          <w:tcPr>
            <w:tcW w:w="5328" w:type="dxa"/>
            <w:shd w:val="clear" w:color="auto" w:fill="F1F5F9"/>
            <w:vAlign w:val="center"/>
          </w:tcPr>
          <w:p w14:paraId="450099D5" w14:textId="77777777" w:rsidR="00216A07" w:rsidRDefault="00000000">
            <w:pPr>
              <w:spacing w:after="20"/>
            </w:pPr>
            <w:r>
              <w:rPr>
                <w:sz w:val="17"/>
              </w:rPr>
              <w:t>Treat the inventory as historical/sample data unless refreshed and confirmed. Expired stock must not be counted as usable stock.</w:t>
            </w:r>
          </w:p>
        </w:tc>
      </w:tr>
      <w:tr w:rsidR="00216A07" w14:paraId="659F4255" w14:textId="77777777">
        <w:trPr>
          <w:jc w:val="center"/>
        </w:trPr>
        <w:tc>
          <w:tcPr>
            <w:tcW w:w="1728" w:type="dxa"/>
            <w:vAlign w:val="center"/>
          </w:tcPr>
          <w:p w14:paraId="67820B4E" w14:textId="77777777" w:rsidR="00216A07" w:rsidRDefault="00000000">
            <w:pPr>
              <w:spacing w:after="20"/>
            </w:pPr>
            <w:r>
              <w:rPr>
                <w:sz w:val="17"/>
              </w:rPr>
              <w:t>Patient feedback</w:t>
            </w:r>
          </w:p>
        </w:tc>
        <w:tc>
          <w:tcPr>
            <w:tcW w:w="3312" w:type="dxa"/>
            <w:vAlign w:val="center"/>
          </w:tcPr>
          <w:p w14:paraId="02F88E93" w14:textId="77777777" w:rsidR="00216A07" w:rsidRDefault="00000000">
            <w:pPr>
              <w:spacing w:after="20"/>
            </w:pPr>
            <w:r>
              <w:rPr>
                <w:sz w:val="17"/>
              </w:rPr>
              <w:t>19 non-null ratings; average 4.16/5</w:t>
            </w:r>
          </w:p>
        </w:tc>
        <w:tc>
          <w:tcPr>
            <w:tcW w:w="5328" w:type="dxa"/>
            <w:vAlign w:val="center"/>
          </w:tcPr>
          <w:p w14:paraId="14824BB6" w14:textId="77777777" w:rsidR="00216A07" w:rsidRDefault="00000000">
            <w:pPr>
              <w:spacing w:after="20"/>
            </w:pPr>
            <w:r>
              <w:rPr>
                <w:sz w:val="17"/>
              </w:rPr>
              <w:t>Descriptive only; the rating response count is smaller than the 30 patient records, so the denominator should be shown.</w:t>
            </w:r>
          </w:p>
        </w:tc>
      </w:tr>
    </w:tbl>
    <w:p w14:paraId="29C0B715" w14:textId="77777777" w:rsidR="00216A07" w:rsidRDefault="00216A07">
      <w:pPr>
        <w:spacing w:after="20"/>
      </w:pPr>
    </w:p>
    <w:p w14:paraId="613C724D" w14:textId="77777777" w:rsidR="00216A07" w:rsidRDefault="00000000">
      <w:pPr>
        <w:pStyle w:val="Heading1"/>
        <w:spacing w:before="160" w:after="80"/>
      </w:pPr>
      <w:r>
        <w:t>5. Recommendations &amp; Business Value</w:t>
      </w:r>
    </w:p>
    <w:tbl>
      <w:tblPr>
        <w:tblStyle w:val="TableGrid"/>
        <w:tblW w:w="0" w:type="auto"/>
        <w:jc w:val="center"/>
        <w:tblLook w:val="04A0" w:firstRow="1" w:lastRow="0" w:firstColumn="1" w:lastColumn="0" w:noHBand="0" w:noVBand="1"/>
      </w:tblPr>
      <w:tblGrid>
        <w:gridCol w:w="1005"/>
        <w:gridCol w:w="4648"/>
        <w:gridCol w:w="4643"/>
      </w:tblGrid>
      <w:tr w:rsidR="00216A07" w14:paraId="507EDF72" w14:textId="77777777">
        <w:trPr>
          <w:jc w:val="center"/>
        </w:trPr>
        <w:tc>
          <w:tcPr>
            <w:tcW w:w="1008" w:type="dxa"/>
            <w:shd w:val="clear" w:color="auto" w:fill="17365D"/>
            <w:vAlign w:val="center"/>
          </w:tcPr>
          <w:p w14:paraId="66F9CD5C" w14:textId="77777777" w:rsidR="00216A07" w:rsidRDefault="00000000">
            <w:pPr>
              <w:spacing w:after="20"/>
            </w:pPr>
            <w:r>
              <w:rPr>
                <w:b/>
                <w:color w:val="FFFFFF"/>
                <w:sz w:val="18"/>
              </w:rPr>
              <w:t>Priority</w:t>
            </w:r>
          </w:p>
        </w:tc>
        <w:tc>
          <w:tcPr>
            <w:tcW w:w="4680" w:type="dxa"/>
            <w:shd w:val="clear" w:color="auto" w:fill="17365D"/>
            <w:vAlign w:val="center"/>
          </w:tcPr>
          <w:p w14:paraId="18483703" w14:textId="77777777" w:rsidR="00216A07" w:rsidRDefault="00000000">
            <w:pPr>
              <w:spacing w:after="20"/>
            </w:pPr>
            <w:r>
              <w:rPr>
                <w:b/>
                <w:color w:val="FFFFFF"/>
                <w:sz w:val="18"/>
              </w:rPr>
              <w:t>Recommendation</w:t>
            </w:r>
          </w:p>
        </w:tc>
        <w:tc>
          <w:tcPr>
            <w:tcW w:w="4680" w:type="dxa"/>
            <w:shd w:val="clear" w:color="auto" w:fill="17365D"/>
            <w:vAlign w:val="center"/>
          </w:tcPr>
          <w:p w14:paraId="257339D8" w14:textId="77777777" w:rsidR="00216A07" w:rsidRDefault="00000000">
            <w:pPr>
              <w:spacing w:after="20"/>
            </w:pPr>
            <w:r>
              <w:rPr>
                <w:b/>
                <w:color w:val="FFFFFF"/>
                <w:sz w:val="18"/>
              </w:rPr>
              <w:t>Why it matters</w:t>
            </w:r>
          </w:p>
        </w:tc>
      </w:tr>
      <w:tr w:rsidR="00216A07" w14:paraId="589331EE" w14:textId="77777777">
        <w:trPr>
          <w:jc w:val="center"/>
        </w:trPr>
        <w:tc>
          <w:tcPr>
            <w:tcW w:w="1008" w:type="dxa"/>
            <w:vAlign w:val="center"/>
          </w:tcPr>
          <w:p w14:paraId="2E4EF94C" w14:textId="77777777" w:rsidR="00216A07" w:rsidRDefault="00000000">
            <w:pPr>
              <w:spacing w:after="20"/>
            </w:pPr>
            <w:r>
              <w:rPr>
                <w:sz w:val="17"/>
              </w:rPr>
              <w:t>1</w:t>
            </w:r>
          </w:p>
        </w:tc>
        <w:tc>
          <w:tcPr>
            <w:tcW w:w="4680" w:type="dxa"/>
            <w:vAlign w:val="center"/>
          </w:tcPr>
          <w:p w14:paraId="26BEAD21" w14:textId="77777777" w:rsidR="00216A07" w:rsidRDefault="00000000">
            <w:pPr>
              <w:spacing w:after="20"/>
            </w:pPr>
            <w:r>
              <w:rPr>
                <w:sz w:val="17"/>
              </w:rPr>
              <w:t>Standardize the patient/admission status definition and use one approved field for discharge reporting.</w:t>
            </w:r>
          </w:p>
        </w:tc>
        <w:tc>
          <w:tcPr>
            <w:tcW w:w="4680" w:type="dxa"/>
            <w:vAlign w:val="center"/>
          </w:tcPr>
          <w:p w14:paraId="7C04A0A1" w14:textId="77777777" w:rsidR="00216A07" w:rsidRDefault="00000000">
            <w:pPr>
              <w:spacing w:after="20"/>
            </w:pPr>
            <w:r>
              <w:rPr>
                <w:sz w:val="17"/>
              </w:rPr>
              <w:t>Prevents inconsistent discharge-rate reporting.</w:t>
            </w:r>
          </w:p>
        </w:tc>
      </w:tr>
      <w:tr w:rsidR="00216A07" w14:paraId="23063AFE" w14:textId="77777777">
        <w:trPr>
          <w:jc w:val="center"/>
        </w:trPr>
        <w:tc>
          <w:tcPr>
            <w:tcW w:w="1008" w:type="dxa"/>
            <w:shd w:val="clear" w:color="auto" w:fill="F1F5F9"/>
            <w:vAlign w:val="center"/>
          </w:tcPr>
          <w:p w14:paraId="21EF519A" w14:textId="77777777" w:rsidR="00216A07" w:rsidRDefault="00000000">
            <w:pPr>
              <w:spacing w:after="20"/>
            </w:pPr>
            <w:r>
              <w:rPr>
                <w:sz w:val="17"/>
              </w:rPr>
              <w:t>2</w:t>
            </w:r>
          </w:p>
        </w:tc>
        <w:tc>
          <w:tcPr>
            <w:tcW w:w="4680" w:type="dxa"/>
            <w:shd w:val="clear" w:color="auto" w:fill="F1F5F9"/>
            <w:vAlign w:val="center"/>
          </w:tcPr>
          <w:p w14:paraId="751A4820" w14:textId="77777777" w:rsidR="00216A07" w:rsidRDefault="00000000">
            <w:pPr>
              <w:spacing w:after="20"/>
            </w:pPr>
            <w:r>
              <w:rPr>
                <w:sz w:val="17"/>
              </w:rPr>
              <w:t>Separate gross charges, discounts, net billed amount, payments received, and outstanding balance. Confirm currency and billing grain.</w:t>
            </w:r>
          </w:p>
        </w:tc>
        <w:tc>
          <w:tcPr>
            <w:tcW w:w="4680" w:type="dxa"/>
            <w:shd w:val="clear" w:color="auto" w:fill="F1F5F9"/>
            <w:vAlign w:val="center"/>
          </w:tcPr>
          <w:p w14:paraId="0C4DE2E6" w14:textId="77777777" w:rsidR="00216A07" w:rsidRDefault="00000000">
            <w:pPr>
              <w:spacing w:after="20"/>
            </w:pPr>
            <w:r>
              <w:rPr>
                <w:sz w:val="17"/>
              </w:rPr>
              <w:t>Avoids presenting a charge total as verified revenue or cash collection.</w:t>
            </w:r>
          </w:p>
        </w:tc>
      </w:tr>
      <w:tr w:rsidR="00216A07" w14:paraId="2B0826C9" w14:textId="77777777">
        <w:trPr>
          <w:jc w:val="center"/>
        </w:trPr>
        <w:tc>
          <w:tcPr>
            <w:tcW w:w="1008" w:type="dxa"/>
            <w:vAlign w:val="center"/>
          </w:tcPr>
          <w:p w14:paraId="4111E6E8" w14:textId="77777777" w:rsidR="00216A07" w:rsidRDefault="00000000">
            <w:pPr>
              <w:spacing w:after="20"/>
            </w:pPr>
            <w:r>
              <w:rPr>
                <w:sz w:val="17"/>
              </w:rPr>
              <w:lastRenderedPageBreak/>
              <w:t>3</w:t>
            </w:r>
          </w:p>
        </w:tc>
        <w:tc>
          <w:tcPr>
            <w:tcW w:w="4680" w:type="dxa"/>
            <w:vAlign w:val="center"/>
          </w:tcPr>
          <w:p w14:paraId="66D43ACE" w14:textId="77777777" w:rsidR="00216A07" w:rsidRDefault="00000000">
            <w:pPr>
              <w:spacing w:after="20"/>
            </w:pPr>
            <w:r>
              <w:rPr>
                <w:sz w:val="17"/>
              </w:rPr>
              <w:t>Calculate doctor compensation from a unique doctor and pay-period table; document the salary period.</w:t>
            </w:r>
          </w:p>
        </w:tc>
        <w:tc>
          <w:tcPr>
            <w:tcW w:w="4680" w:type="dxa"/>
            <w:vAlign w:val="center"/>
          </w:tcPr>
          <w:p w14:paraId="76E0D995" w14:textId="77777777" w:rsidR="00216A07" w:rsidRDefault="00000000">
            <w:pPr>
              <w:spacing w:after="20"/>
            </w:pPr>
            <w:r>
              <w:rPr>
                <w:sz w:val="17"/>
              </w:rPr>
              <w:t>Prevents duplicate aggregation and misleading cost totals.</w:t>
            </w:r>
          </w:p>
        </w:tc>
      </w:tr>
      <w:tr w:rsidR="00216A07" w14:paraId="79AEF5D2" w14:textId="77777777">
        <w:trPr>
          <w:jc w:val="center"/>
        </w:trPr>
        <w:tc>
          <w:tcPr>
            <w:tcW w:w="1008" w:type="dxa"/>
            <w:shd w:val="clear" w:color="auto" w:fill="F1F5F9"/>
            <w:vAlign w:val="center"/>
          </w:tcPr>
          <w:p w14:paraId="72C4B805" w14:textId="77777777" w:rsidR="00216A07" w:rsidRDefault="00000000">
            <w:pPr>
              <w:spacing w:after="20"/>
            </w:pPr>
            <w:r>
              <w:rPr>
                <w:sz w:val="17"/>
              </w:rPr>
              <w:t>4</w:t>
            </w:r>
          </w:p>
        </w:tc>
        <w:tc>
          <w:tcPr>
            <w:tcW w:w="4680" w:type="dxa"/>
            <w:shd w:val="clear" w:color="auto" w:fill="F1F5F9"/>
            <w:vAlign w:val="center"/>
          </w:tcPr>
          <w:p w14:paraId="7FD49132" w14:textId="77777777" w:rsidR="00216A07" w:rsidRDefault="00000000">
            <w:pPr>
              <w:spacing w:after="20"/>
            </w:pPr>
            <w:r>
              <w:rPr>
                <w:sz w:val="17"/>
              </w:rPr>
              <w:t>Display bed counts with an as-of timestamp; use occupancy-rate trends only when valid time-based data exists.</w:t>
            </w:r>
          </w:p>
        </w:tc>
        <w:tc>
          <w:tcPr>
            <w:tcW w:w="4680" w:type="dxa"/>
            <w:shd w:val="clear" w:color="auto" w:fill="F1F5F9"/>
            <w:vAlign w:val="center"/>
          </w:tcPr>
          <w:p w14:paraId="18D33542" w14:textId="77777777" w:rsidR="00216A07" w:rsidRDefault="00000000">
            <w:pPr>
              <w:spacing w:after="20"/>
            </w:pPr>
            <w:r>
              <w:rPr>
                <w:sz w:val="17"/>
              </w:rPr>
              <w:t>Distinguishes snapshot status from utilization performance.</w:t>
            </w:r>
          </w:p>
        </w:tc>
      </w:tr>
      <w:tr w:rsidR="00216A07" w14:paraId="7C804DD3" w14:textId="77777777">
        <w:trPr>
          <w:jc w:val="center"/>
        </w:trPr>
        <w:tc>
          <w:tcPr>
            <w:tcW w:w="1008" w:type="dxa"/>
            <w:vAlign w:val="center"/>
          </w:tcPr>
          <w:p w14:paraId="4819791E" w14:textId="77777777" w:rsidR="00216A07" w:rsidRDefault="00000000">
            <w:pPr>
              <w:spacing w:after="20"/>
            </w:pPr>
            <w:r>
              <w:rPr>
                <w:sz w:val="17"/>
              </w:rPr>
              <w:t>5</w:t>
            </w:r>
          </w:p>
        </w:tc>
        <w:tc>
          <w:tcPr>
            <w:tcW w:w="4680" w:type="dxa"/>
            <w:vAlign w:val="center"/>
          </w:tcPr>
          <w:p w14:paraId="1448493F" w14:textId="77777777" w:rsidR="00216A07" w:rsidRDefault="00000000">
            <w:pPr>
              <w:spacing w:after="20"/>
            </w:pPr>
            <w:r>
              <w:rPr>
                <w:sz w:val="17"/>
              </w:rPr>
              <w:t>Refresh inventory data and separate expired stock from available/usable stock.</w:t>
            </w:r>
          </w:p>
        </w:tc>
        <w:tc>
          <w:tcPr>
            <w:tcW w:w="4680" w:type="dxa"/>
            <w:vAlign w:val="center"/>
          </w:tcPr>
          <w:p w14:paraId="342EA518" w14:textId="77777777" w:rsidR="00216A07" w:rsidRDefault="00000000">
            <w:pPr>
              <w:spacing w:after="20"/>
            </w:pPr>
            <w:r>
              <w:rPr>
                <w:sz w:val="17"/>
              </w:rPr>
              <w:t>Supports safer procurement and stock decisions.</w:t>
            </w:r>
          </w:p>
        </w:tc>
      </w:tr>
      <w:tr w:rsidR="00216A07" w14:paraId="0C602670" w14:textId="77777777">
        <w:trPr>
          <w:jc w:val="center"/>
        </w:trPr>
        <w:tc>
          <w:tcPr>
            <w:tcW w:w="1008" w:type="dxa"/>
            <w:shd w:val="clear" w:color="auto" w:fill="F1F5F9"/>
            <w:vAlign w:val="center"/>
          </w:tcPr>
          <w:p w14:paraId="61369C20" w14:textId="77777777" w:rsidR="00216A07" w:rsidRDefault="00000000">
            <w:pPr>
              <w:spacing w:after="20"/>
            </w:pPr>
            <w:r>
              <w:rPr>
                <w:sz w:val="17"/>
              </w:rPr>
              <w:t>6</w:t>
            </w:r>
          </w:p>
        </w:tc>
        <w:tc>
          <w:tcPr>
            <w:tcW w:w="4680" w:type="dxa"/>
            <w:shd w:val="clear" w:color="auto" w:fill="F1F5F9"/>
            <w:vAlign w:val="center"/>
          </w:tcPr>
          <w:p w14:paraId="071056DD" w14:textId="77777777" w:rsidR="00216A07" w:rsidRDefault="00000000">
            <w:pPr>
              <w:spacing w:after="20"/>
            </w:pPr>
            <w:r>
              <w:rPr>
                <w:sz w:val="17"/>
              </w:rPr>
              <w:t>Use synthetic or safely anonymized data in public screenshots and repository files.</w:t>
            </w:r>
          </w:p>
        </w:tc>
        <w:tc>
          <w:tcPr>
            <w:tcW w:w="4680" w:type="dxa"/>
            <w:shd w:val="clear" w:color="auto" w:fill="F1F5F9"/>
            <w:vAlign w:val="center"/>
          </w:tcPr>
          <w:p w14:paraId="18E10A98" w14:textId="77777777" w:rsidR="00216A07" w:rsidRDefault="00000000">
            <w:pPr>
              <w:spacing w:after="20"/>
            </w:pPr>
            <w:r>
              <w:rPr>
                <w:sz w:val="17"/>
              </w:rPr>
              <w:t>Protects patient privacy and makes the portfolio suitable for public review.</w:t>
            </w:r>
          </w:p>
        </w:tc>
      </w:tr>
      <w:tr w:rsidR="00216A07" w14:paraId="6344B7FC" w14:textId="77777777">
        <w:trPr>
          <w:jc w:val="center"/>
        </w:trPr>
        <w:tc>
          <w:tcPr>
            <w:tcW w:w="1008" w:type="dxa"/>
            <w:vAlign w:val="center"/>
          </w:tcPr>
          <w:p w14:paraId="5FAF5986" w14:textId="77777777" w:rsidR="00216A07" w:rsidRDefault="00000000">
            <w:pPr>
              <w:spacing w:after="20"/>
            </w:pPr>
            <w:r>
              <w:rPr>
                <w:sz w:val="17"/>
              </w:rPr>
              <w:t>7</w:t>
            </w:r>
          </w:p>
        </w:tc>
        <w:tc>
          <w:tcPr>
            <w:tcW w:w="4680" w:type="dxa"/>
            <w:vAlign w:val="center"/>
          </w:tcPr>
          <w:p w14:paraId="650A446A" w14:textId="77777777" w:rsidR="00216A07" w:rsidRDefault="00000000">
            <w:pPr>
              <w:spacing w:after="20"/>
            </w:pPr>
            <w:r>
              <w:rPr>
                <w:sz w:val="17"/>
              </w:rPr>
              <w:t>Add metric definitions, source period, and data-quality notes to the dashboard/report.</w:t>
            </w:r>
          </w:p>
        </w:tc>
        <w:tc>
          <w:tcPr>
            <w:tcW w:w="4680" w:type="dxa"/>
            <w:vAlign w:val="center"/>
          </w:tcPr>
          <w:p w14:paraId="55EF956F" w14:textId="77777777" w:rsidR="00216A07" w:rsidRDefault="00000000">
            <w:pPr>
              <w:spacing w:after="20"/>
            </w:pPr>
            <w:r>
              <w:rPr>
                <w:sz w:val="17"/>
              </w:rPr>
              <w:t>Helps stakeholders interpret KPIs consistently.</w:t>
            </w:r>
          </w:p>
        </w:tc>
      </w:tr>
    </w:tbl>
    <w:p w14:paraId="5E5337A1" w14:textId="77777777" w:rsidR="00216A07" w:rsidRDefault="00216A07">
      <w:pPr>
        <w:spacing w:after="20"/>
      </w:pPr>
    </w:p>
    <w:p w14:paraId="398A09B5" w14:textId="77777777" w:rsidR="00216A07" w:rsidRDefault="00000000">
      <w:pPr>
        <w:pStyle w:val="Heading2"/>
        <w:spacing w:before="160" w:after="80"/>
      </w:pPr>
      <w:r>
        <w:t>Business value demonstrated</w:t>
      </w:r>
    </w:p>
    <w:p w14:paraId="7FA34602" w14:textId="77777777" w:rsidR="00216A07" w:rsidRDefault="00000000">
      <w:r>
        <w:t>This analysis demonstrates how a Business Analyst can go beyond presenting visuals: understand the business questions, inspect source data, check whether headline metrics reconcile, interpret patterns in business terms, and turn issues into specific actions. The clearest actionable result is the charge-mix concentration; the most important reliability improvement is to reconcile definitions and aggregation logic before using the KPIs for decisions.</w:t>
      </w:r>
    </w:p>
    <w:p w14:paraId="35C1B217" w14:textId="77777777" w:rsidR="00216A07" w:rsidRDefault="00000000">
      <w:pPr>
        <w:pStyle w:val="Heading1"/>
        <w:spacing w:before="160" w:after="80"/>
      </w:pPr>
      <w:r>
        <w:t>6. Conclusion</w:t>
      </w:r>
    </w:p>
    <w:p w14:paraId="62D9DD77" w14:textId="77777777" w:rsidR="00216A07" w:rsidRDefault="00000000">
      <w:r>
        <w:t>MediScope consolidates several hospital-related analytical areas into one Power BI dashboard experience. The source-data review found meaningful patterns in billing and useful operational snapshots, while also exposing data-quality issues that affect interpretation. The project’s outcome is a documented business analysis of the dashboard, supported by calculated findings and recommendations. It should be presented as a portfolio case study based on the supplied project files—not as proof of live hospital performance or verified financial outcomes.</w:t>
      </w:r>
    </w:p>
    <w:p w14:paraId="5B121883" w14:textId="77777777" w:rsidR="00216A07" w:rsidRDefault="00000000">
      <w:pPr>
        <w:pStyle w:val="Heading1"/>
        <w:spacing w:before="160" w:after="80"/>
      </w:pPr>
      <w:r>
        <w:t>Appendix — Source Files &amp; Interpretation Notes</w:t>
      </w:r>
    </w:p>
    <w:tbl>
      <w:tblPr>
        <w:tblStyle w:val="TableGrid"/>
        <w:tblW w:w="0" w:type="auto"/>
        <w:jc w:val="center"/>
        <w:tblLook w:val="04A0" w:firstRow="1" w:lastRow="0" w:firstColumn="1" w:lastColumn="0" w:noHBand="0" w:noVBand="1"/>
      </w:tblPr>
      <w:tblGrid>
        <w:gridCol w:w="2880"/>
        <w:gridCol w:w="1440"/>
        <w:gridCol w:w="5760"/>
      </w:tblGrid>
      <w:tr w:rsidR="00216A07" w14:paraId="261B5A2C" w14:textId="77777777">
        <w:trPr>
          <w:jc w:val="center"/>
        </w:trPr>
        <w:tc>
          <w:tcPr>
            <w:tcW w:w="2880" w:type="dxa"/>
            <w:shd w:val="clear" w:color="auto" w:fill="17365D"/>
            <w:vAlign w:val="center"/>
          </w:tcPr>
          <w:p w14:paraId="60434436" w14:textId="77777777" w:rsidR="00216A07" w:rsidRDefault="00000000">
            <w:pPr>
              <w:spacing w:after="20"/>
            </w:pPr>
            <w:r>
              <w:rPr>
                <w:b/>
                <w:color w:val="FFFFFF"/>
                <w:sz w:val="18"/>
              </w:rPr>
              <w:t>Source workbook</w:t>
            </w:r>
          </w:p>
        </w:tc>
        <w:tc>
          <w:tcPr>
            <w:tcW w:w="1440" w:type="dxa"/>
            <w:shd w:val="clear" w:color="auto" w:fill="17365D"/>
            <w:vAlign w:val="center"/>
          </w:tcPr>
          <w:p w14:paraId="0F9CB7AB" w14:textId="77777777" w:rsidR="00216A07" w:rsidRDefault="00000000">
            <w:pPr>
              <w:spacing w:after="20"/>
            </w:pPr>
            <w:r>
              <w:rPr>
                <w:b/>
                <w:color w:val="FFFFFF"/>
                <w:sz w:val="18"/>
              </w:rPr>
              <w:t>Rows reviewed</w:t>
            </w:r>
          </w:p>
        </w:tc>
        <w:tc>
          <w:tcPr>
            <w:tcW w:w="5760" w:type="dxa"/>
            <w:shd w:val="clear" w:color="auto" w:fill="17365D"/>
            <w:vAlign w:val="center"/>
          </w:tcPr>
          <w:p w14:paraId="0A3ECBC1" w14:textId="77777777" w:rsidR="00216A07" w:rsidRDefault="00000000">
            <w:pPr>
              <w:spacing w:after="20"/>
            </w:pPr>
            <w:r>
              <w:rPr>
                <w:b/>
                <w:color w:val="FFFFFF"/>
                <w:sz w:val="18"/>
              </w:rPr>
              <w:t>Main analytical use</w:t>
            </w:r>
          </w:p>
        </w:tc>
      </w:tr>
      <w:tr w:rsidR="00216A07" w14:paraId="7F09BD34" w14:textId="77777777">
        <w:trPr>
          <w:jc w:val="center"/>
        </w:trPr>
        <w:tc>
          <w:tcPr>
            <w:tcW w:w="2880" w:type="dxa"/>
            <w:vAlign w:val="center"/>
          </w:tcPr>
          <w:p w14:paraId="025F0029" w14:textId="77777777" w:rsidR="00216A07" w:rsidRDefault="00000000">
            <w:pPr>
              <w:spacing w:after="20"/>
            </w:pPr>
            <w:r>
              <w:rPr>
                <w:sz w:val="17"/>
              </w:rPr>
              <w:t>patient_info.xlsx</w:t>
            </w:r>
          </w:p>
        </w:tc>
        <w:tc>
          <w:tcPr>
            <w:tcW w:w="1440" w:type="dxa"/>
            <w:vAlign w:val="center"/>
          </w:tcPr>
          <w:p w14:paraId="1195E4E3" w14:textId="77777777" w:rsidR="00216A07" w:rsidRDefault="00000000">
            <w:pPr>
              <w:spacing w:after="20"/>
            </w:pPr>
            <w:r>
              <w:rPr>
                <w:sz w:val="17"/>
              </w:rPr>
              <w:t>30</w:t>
            </w:r>
          </w:p>
        </w:tc>
        <w:tc>
          <w:tcPr>
            <w:tcW w:w="5760" w:type="dxa"/>
            <w:vAlign w:val="center"/>
          </w:tcPr>
          <w:p w14:paraId="3E7A9097" w14:textId="77777777" w:rsidR="00216A07" w:rsidRDefault="00000000">
            <w:pPr>
              <w:spacing w:after="20"/>
            </w:pPr>
            <w:r>
              <w:rPr>
                <w:sz w:val="17"/>
              </w:rPr>
              <w:t>Patient profile, status, doctor and satisfaction fields.</w:t>
            </w:r>
          </w:p>
        </w:tc>
      </w:tr>
      <w:tr w:rsidR="00216A07" w14:paraId="5A95CD87" w14:textId="77777777">
        <w:trPr>
          <w:jc w:val="center"/>
        </w:trPr>
        <w:tc>
          <w:tcPr>
            <w:tcW w:w="2880" w:type="dxa"/>
            <w:shd w:val="clear" w:color="auto" w:fill="F1F5F9"/>
            <w:vAlign w:val="center"/>
          </w:tcPr>
          <w:p w14:paraId="33AC779E" w14:textId="77777777" w:rsidR="00216A07" w:rsidRDefault="00000000">
            <w:pPr>
              <w:spacing w:after="20"/>
            </w:pPr>
            <w:r>
              <w:rPr>
                <w:sz w:val="17"/>
              </w:rPr>
              <w:t>bills.xlsx</w:t>
            </w:r>
          </w:p>
        </w:tc>
        <w:tc>
          <w:tcPr>
            <w:tcW w:w="1440" w:type="dxa"/>
            <w:shd w:val="clear" w:color="auto" w:fill="F1F5F9"/>
            <w:vAlign w:val="center"/>
          </w:tcPr>
          <w:p w14:paraId="7A75A875" w14:textId="77777777" w:rsidR="00216A07" w:rsidRDefault="00000000">
            <w:pPr>
              <w:spacing w:after="20"/>
            </w:pPr>
            <w:r>
              <w:rPr>
                <w:sz w:val="17"/>
              </w:rPr>
              <w:t>210</w:t>
            </w:r>
          </w:p>
        </w:tc>
        <w:tc>
          <w:tcPr>
            <w:tcW w:w="5760" w:type="dxa"/>
            <w:shd w:val="clear" w:color="auto" w:fill="F1F5F9"/>
            <w:vAlign w:val="center"/>
          </w:tcPr>
          <w:p w14:paraId="0ECC9C53" w14:textId="77777777" w:rsidR="00216A07" w:rsidRDefault="00000000">
            <w:pPr>
              <w:spacing w:after="20"/>
            </w:pPr>
            <w:r>
              <w:rPr>
                <w:sz w:val="17"/>
              </w:rPr>
              <w:t>Bill-line values by charge type and payment status.</w:t>
            </w:r>
          </w:p>
        </w:tc>
      </w:tr>
      <w:tr w:rsidR="00216A07" w14:paraId="7E3509CE" w14:textId="77777777">
        <w:trPr>
          <w:jc w:val="center"/>
        </w:trPr>
        <w:tc>
          <w:tcPr>
            <w:tcW w:w="2880" w:type="dxa"/>
            <w:vAlign w:val="center"/>
          </w:tcPr>
          <w:p w14:paraId="3FFAA8C8" w14:textId="77777777" w:rsidR="00216A07" w:rsidRDefault="00000000">
            <w:pPr>
              <w:spacing w:after="20"/>
            </w:pPr>
            <w:r>
              <w:rPr>
                <w:sz w:val="17"/>
              </w:rPr>
              <w:t>appointments.xlsx</w:t>
            </w:r>
          </w:p>
        </w:tc>
        <w:tc>
          <w:tcPr>
            <w:tcW w:w="1440" w:type="dxa"/>
            <w:vAlign w:val="center"/>
          </w:tcPr>
          <w:p w14:paraId="0E29DA59" w14:textId="77777777" w:rsidR="00216A07" w:rsidRDefault="00000000">
            <w:pPr>
              <w:spacing w:after="20"/>
            </w:pPr>
            <w:r>
              <w:rPr>
                <w:sz w:val="17"/>
              </w:rPr>
              <w:t>35</w:t>
            </w:r>
          </w:p>
        </w:tc>
        <w:tc>
          <w:tcPr>
            <w:tcW w:w="5760" w:type="dxa"/>
            <w:vAlign w:val="center"/>
          </w:tcPr>
          <w:p w14:paraId="76AA4C10" w14:textId="77777777" w:rsidR="00216A07" w:rsidRDefault="00000000">
            <w:pPr>
              <w:spacing w:after="20"/>
            </w:pPr>
            <w:r>
              <w:rPr>
                <w:sz w:val="17"/>
              </w:rPr>
              <w:t>Appointment status distribution.</w:t>
            </w:r>
          </w:p>
        </w:tc>
      </w:tr>
      <w:tr w:rsidR="00216A07" w14:paraId="42D4C895" w14:textId="77777777">
        <w:trPr>
          <w:jc w:val="center"/>
        </w:trPr>
        <w:tc>
          <w:tcPr>
            <w:tcW w:w="2880" w:type="dxa"/>
            <w:shd w:val="clear" w:color="auto" w:fill="F1F5F9"/>
            <w:vAlign w:val="center"/>
          </w:tcPr>
          <w:p w14:paraId="53C617C0" w14:textId="77777777" w:rsidR="00216A07" w:rsidRDefault="00000000">
            <w:pPr>
              <w:spacing w:after="20"/>
            </w:pPr>
            <w:r>
              <w:rPr>
                <w:sz w:val="17"/>
              </w:rPr>
              <w:t>patient_tests.xlsx</w:t>
            </w:r>
          </w:p>
        </w:tc>
        <w:tc>
          <w:tcPr>
            <w:tcW w:w="1440" w:type="dxa"/>
            <w:shd w:val="clear" w:color="auto" w:fill="F1F5F9"/>
            <w:vAlign w:val="center"/>
          </w:tcPr>
          <w:p w14:paraId="7189FA96" w14:textId="77777777" w:rsidR="00216A07" w:rsidRDefault="00000000">
            <w:pPr>
              <w:spacing w:after="20"/>
            </w:pPr>
            <w:r>
              <w:rPr>
                <w:sz w:val="17"/>
              </w:rPr>
              <w:t>30</w:t>
            </w:r>
          </w:p>
        </w:tc>
        <w:tc>
          <w:tcPr>
            <w:tcW w:w="5760" w:type="dxa"/>
            <w:shd w:val="clear" w:color="auto" w:fill="F1F5F9"/>
            <w:vAlign w:val="center"/>
          </w:tcPr>
          <w:p w14:paraId="555F4487" w14:textId="77777777" w:rsidR="00216A07" w:rsidRDefault="00000000">
            <w:pPr>
              <w:spacing w:after="20"/>
            </w:pPr>
            <w:r>
              <w:rPr>
                <w:sz w:val="17"/>
              </w:rPr>
              <w:t>Diagnostic test status and amount fields.</w:t>
            </w:r>
          </w:p>
        </w:tc>
      </w:tr>
      <w:tr w:rsidR="00216A07" w14:paraId="6F9EBFAC" w14:textId="77777777">
        <w:trPr>
          <w:jc w:val="center"/>
        </w:trPr>
        <w:tc>
          <w:tcPr>
            <w:tcW w:w="2880" w:type="dxa"/>
            <w:vAlign w:val="center"/>
          </w:tcPr>
          <w:p w14:paraId="781FD84A" w14:textId="77777777" w:rsidR="00216A07" w:rsidRDefault="00000000">
            <w:pPr>
              <w:spacing w:after="20"/>
            </w:pPr>
            <w:r>
              <w:rPr>
                <w:sz w:val="17"/>
              </w:rPr>
              <w:t>medicine_patient.xlsx</w:t>
            </w:r>
          </w:p>
        </w:tc>
        <w:tc>
          <w:tcPr>
            <w:tcW w:w="1440" w:type="dxa"/>
            <w:vAlign w:val="center"/>
          </w:tcPr>
          <w:p w14:paraId="78B978C1" w14:textId="77777777" w:rsidR="00216A07" w:rsidRDefault="00000000">
            <w:pPr>
              <w:spacing w:after="20"/>
            </w:pPr>
            <w:r>
              <w:rPr>
                <w:sz w:val="17"/>
              </w:rPr>
              <w:t>517</w:t>
            </w:r>
          </w:p>
        </w:tc>
        <w:tc>
          <w:tcPr>
            <w:tcW w:w="5760" w:type="dxa"/>
            <w:vAlign w:val="center"/>
          </w:tcPr>
          <w:p w14:paraId="7E5A7746" w14:textId="77777777" w:rsidR="00216A07" w:rsidRDefault="00000000">
            <w:pPr>
              <w:spacing w:after="20"/>
            </w:pPr>
            <w:r>
              <w:rPr>
                <w:sz w:val="17"/>
              </w:rPr>
              <w:t>Medicine quantity and usage rows.</w:t>
            </w:r>
          </w:p>
        </w:tc>
      </w:tr>
      <w:tr w:rsidR="00216A07" w14:paraId="131407BD" w14:textId="77777777">
        <w:trPr>
          <w:jc w:val="center"/>
        </w:trPr>
        <w:tc>
          <w:tcPr>
            <w:tcW w:w="2880" w:type="dxa"/>
            <w:shd w:val="clear" w:color="auto" w:fill="F1F5F9"/>
            <w:vAlign w:val="center"/>
          </w:tcPr>
          <w:p w14:paraId="382C2471" w14:textId="77777777" w:rsidR="00216A07" w:rsidRDefault="00000000">
            <w:pPr>
              <w:spacing w:after="20"/>
            </w:pPr>
            <w:r>
              <w:rPr>
                <w:sz w:val="17"/>
              </w:rPr>
              <w:t>medical_stock_info.xlsx</w:t>
            </w:r>
          </w:p>
        </w:tc>
        <w:tc>
          <w:tcPr>
            <w:tcW w:w="1440" w:type="dxa"/>
            <w:shd w:val="clear" w:color="auto" w:fill="F1F5F9"/>
            <w:vAlign w:val="center"/>
          </w:tcPr>
          <w:p w14:paraId="107EDFBE" w14:textId="77777777" w:rsidR="00216A07" w:rsidRDefault="00000000">
            <w:pPr>
              <w:spacing w:after="20"/>
            </w:pPr>
            <w:r>
              <w:rPr>
                <w:sz w:val="17"/>
              </w:rPr>
              <w:t>15</w:t>
            </w:r>
          </w:p>
        </w:tc>
        <w:tc>
          <w:tcPr>
            <w:tcW w:w="5760" w:type="dxa"/>
            <w:shd w:val="clear" w:color="auto" w:fill="F1F5F9"/>
            <w:vAlign w:val="center"/>
          </w:tcPr>
          <w:p w14:paraId="6E5A2395" w14:textId="77777777" w:rsidR="00216A07" w:rsidRDefault="00000000">
            <w:pPr>
              <w:spacing w:after="20"/>
            </w:pPr>
            <w:r>
              <w:rPr>
                <w:sz w:val="17"/>
              </w:rPr>
              <w:t>Stock quantity, supplier, reorder level, expiry.</w:t>
            </w:r>
          </w:p>
        </w:tc>
      </w:tr>
      <w:tr w:rsidR="00216A07" w14:paraId="1684C794" w14:textId="77777777">
        <w:trPr>
          <w:jc w:val="center"/>
        </w:trPr>
        <w:tc>
          <w:tcPr>
            <w:tcW w:w="2880" w:type="dxa"/>
            <w:vAlign w:val="center"/>
          </w:tcPr>
          <w:p w14:paraId="027993D6" w14:textId="77777777" w:rsidR="00216A07" w:rsidRDefault="00000000">
            <w:pPr>
              <w:spacing w:after="20"/>
            </w:pPr>
            <w:r>
              <w:rPr>
                <w:sz w:val="17"/>
              </w:rPr>
              <w:t>Beds.xlsx</w:t>
            </w:r>
          </w:p>
        </w:tc>
        <w:tc>
          <w:tcPr>
            <w:tcW w:w="1440" w:type="dxa"/>
            <w:vAlign w:val="center"/>
          </w:tcPr>
          <w:p w14:paraId="0D2938BC" w14:textId="77777777" w:rsidR="00216A07" w:rsidRDefault="00000000">
            <w:pPr>
              <w:spacing w:after="20"/>
            </w:pPr>
            <w:r>
              <w:rPr>
                <w:sz w:val="17"/>
              </w:rPr>
              <w:t>25</w:t>
            </w:r>
          </w:p>
        </w:tc>
        <w:tc>
          <w:tcPr>
            <w:tcW w:w="5760" w:type="dxa"/>
            <w:vAlign w:val="center"/>
          </w:tcPr>
          <w:p w14:paraId="01723C6D" w14:textId="77777777" w:rsidR="00216A07" w:rsidRDefault="00000000">
            <w:pPr>
              <w:spacing w:after="20"/>
            </w:pPr>
            <w:r>
              <w:rPr>
                <w:sz w:val="17"/>
              </w:rPr>
              <w:t>Bed status and occupancy fields.</w:t>
            </w:r>
          </w:p>
        </w:tc>
      </w:tr>
    </w:tbl>
    <w:p w14:paraId="7EE946DE" w14:textId="77777777" w:rsidR="00216A07" w:rsidRDefault="00216A07">
      <w:pPr>
        <w:spacing w:after="20"/>
      </w:pPr>
    </w:p>
    <w:p w14:paraId="5650A9BA" w14:textId="77777777" w:rsidR="00216A07" w:rsidRDefault="00000000">
      <w:r>
        <w:t>Calculation notes: figures in this report were recalculated from the supplied Excel workbooks. Values are shown in source units where the currency is not specified. The report does not independently certify the Power BI DAX measures, relationships, or Power Query transformations. The source README and project files should be attributed appropriately in any public portfolio release, and any identifiable patient data should be removed or replaced with synthetic data. Dashboard page descriptions are based on the supplied README and workbook fields; the underlying PBIX measures and Power Query logic were not independently audited.</w:t>
      </w:r>
    </w:p>
    <w:sectPr w:rsidR="00216A07" w:rsidSect="00034616">
      <w:headerReference w:type="default" r:id="rId11"/>
      <w:footerReference w:type="default" r:id="rId12"/>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174F0A" w14:textId="77777777" w:rsidR="00BD059A" w:rsidRDefault="00BD059A">
      <w:pPr>
        <w:spacing w:after="0" w:line="240" w:lineRule="auto"/>
      </w:pPr>
      <w:r>
        <w:separator/>
      </w:r>
    </w:p>
  </w:endnote>
  <w:endnote w:type="continuationSeparator" w:id="0">
    <w:p w14:paraId="2C64F88E" w14:textId="77777777" w:rsidR="00BD059A" w:rsidRDefault="00BD05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33AA5" w14:textId="77777777" w:rsidR="00216A07" w:rsidRDefault="00000000">
    <w:pPr>
      <w:pStyle w:val="Footer"/>
      <w:jc w:val="center"/>
    </w:pPr>
    <w:r>
      <w:rPr>
        <w:sz w:val="16"/>
      </w:rPr>
      <w:t xml:space="preserve">MediScope | Business Analysis Report  •  Saloni Patel  •  Page </w:t>
    </w:r>
    <w:r>
      <w:fldChar w:fldCharType="begin"/>
    </w:r>
    <w:r>
      <w:instrText>PAGE</w:instrText>
    </w:r>
    <w:r>
      <w:fldChar w:fldCharType="separate"/>
    </w:r>
    <w:r w:rsidR="006279C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D21648" w14:textId="77777777" w:rsidR="00BD059A" w:rsidRDefault="00BD059A">
      <w:pPr>
        <w:spacing w:after="0" w:line="240" w:lineRule="auto"/>
      </w:pPr>
      <w:r>
        <w:separator/>
      </w:r>
    </w:p>
  </w:footnote>
  <w:footnote w:type="continuationSeparator" w:id="0">
    <w:p w14:paraId="71EE21B3" w14:textId="77777777" w:rsidR="00BD059A" w:rsidRDefault="00BD05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6DE6E" w14:textId="77777777" w:rsidR="00216A07" w:rsidRDefault="00000000">
    <w:pPr>
      <w:pStyle w:val="Header"/>
      <w:jc w:val="right"/>
    </w:pPr>
    <w:r>
      <w:rPr>
        <w:b/>
        <w:color w:val="505F6E"/>
        <w:sz w:val="16"/>
      </w:rPr>
      <w:t>SALONI PATEL  |  MEDISCOPE BUSINESS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6610457">
    <w:abstractNumId w:val="8"/>
  </w:num>
  <w:num w:numId="2" w16cid:durableId="1196697420">
    <w:abstractNumId w:val="6"/>
  </w:num>
  <w:num w:numId="3" w16cid:durableId="976372694">
    <w:abstractNumId w:val="5"/>
  </w:num>
  <w:num w:numId="4" w16cid:durableId="1188637435">
    <w:abstractNumId w:val="4"/>
  </w:num>
  <w:num w:numId="5" w16cid:durableId="1877935503">
    <w:abstractNumId w:val="7"/>
  </w:num>
  <w:num w:numId="6" w16cid:durableId="784083133">
    <w:abstractNumId w:val="3"/>
  </w:num>
  <w:num w:numId="7" w16cid:durableId="832724501">
    <w:abstractNumId w:val="2"/>
  </w:num>
  <w:num w:numId="8" w16cid:durableId="338584067">
    <w:abstractNumId w:val="1"/>
  </w:num>
  <w:num w:numId="9" w16cid:durableId="1080172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6A07"/>
    <w:rsid w:val="0029639D"/>
    <w:rsid w:val="00326F90"/>
    <w:rsid w:val="006279CE"/>
    <w:rsid w:val="00AA1D8D"/>
    <w:rsid w:val="00AA624C"/>
    <w:rsid w:val="00B47730"/>
    <w:rsid w:val="00BD059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F5CCE4"/>
  <w14:defaultImageDpi w14:val="300"/>
  <w15:docId w15:val="{CCFBD208-25A4-4A70-A25E-5839668FB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79CE"/>
  </w:style>
  <w:style w:type="paragraph" w:styleId="Heading1">
    <w:name w:val="heading 1"/>
    <w:basedOn w:val="Normal"/>
    <w:next w:val="Normal"/>
    <w:link w:val="Heading1Char"/>
    <w:uiPriority w:val="9"/>
    <w:qFormat/>
    <w:rsid w:val="006279CE"/>
    <w:pPr>
      <w:keepNext/>
      <w:keepLines/>
      <w:spacing w:before="360" w:after="40" w:line="240" w:lineRule="auto"/>
      <w:outlineLvl w:val="0"/>
    </w:pPr>
    <w:rPr>
      <w:rFonts w:asciiTheme="majorHAnsi" w:eastAsiaTheme="majorEastAsia" w:hAnsiTheme="majorHAnsi" w:cstheme="majorBidi"/>
      <w:color w:val="066684" w:themeColor="accent6" w:themeShade="BF"/>
      <w:sz w:val="40"/>
      <w:szCs w:val="40"/>
    </w:rPr>
  </w:style>
  <w:style w:type="paragraph" w:styleId="Heading2">
    <w:name w:val="heading 2"/>
    <w:basedOn w:val="Normal"/>
    <w:next w:val="Normal"/>
    <w:link w:val="Heading2Char"/>
    <w:uiPriority w:val="9"/>
    <w:unhideWhenUsed/>
    <w:qFormat/>
    <w:rsid w:val="006279CE"/>
    <w:pPr>
      <w:keepNext/>
      <w:keepLines/>
      <w:spacing w:before="80" w:after="0" w:line="240" w:lineRule="auto"/>
      <w:outlineLvl w:val="1"/>
    </w:pPr>
    <w:rPr>
      <w:rFonts w:asciiTheme="majorHAnsi" w:eastAsiaTheme="majorEastAsia" w:hAnsiTheme="majorHAnsi" w:cstheme="majorBidi"/>
      <w:color w:val="066684" w:themeColor="accent6" w:themeShade="BF"/>
      <w:sz w:val="28"/>
      <w:szCs w:val="28"/>
    </w:rPr>
  </w:style>
  <w:style w:type="paragraph" w:styleId="Heading3">
    <w:name w:val="heading 3"/>
    <w:basedOn w:val="Normal"/>
    <w:next w:val="Normal"/>
    <w:link w:val="Heading3Char"/>
    <w:uiPriority w:val="9"/>
    <w:unhideWhenUsed/>
    <w:qFormat/>
    <w:rsid w:val="006279CE"/>
    <w:pPr>
      <w:keepNext/>
      <w:keepLines/>
      <w:spacing w:before="80" w:after="0" w:line="240" w:lineRule="auto"/>
      <w:outlineLvl w:val="2"/>
    </w:pPr>
    <w:rPr>
      <w:rFonts w:asciiTheme="majorHAnsi" w:eastAsiaTheme="majorEastAsia" w:hAnsiTheme="majorHAnsi" w:cstheme="majorBidi"/>
      <w:color w:val="066684" w:themeColor="accent6" w:themeShade="BF"/>
      <w:sz w:val="24"/>
      <w:szCs w:val="24"/>
    </w:rPr>
  </w:style>
  <w:style w:type="paragraph" w:styleId="Heading4">
    <w:name w:val="heading 4"/>
    <w:basedOn w:val="Normal"/>
    <w:next w:val="Normal"/>
    <w:link w:val="Heading4Char"/>
    <w:uiPriority w:val="9"/>
    <w:semiHidden/>
    <w:unhideWhenUsed/>
    <w:qFormat/>
    <w:rsid w:val="006279CE"/>
    <w:pPr>
      <w:keepNext/>
      <w:keepLines/>
      <w:spacing w:before="80" w:after="0"/>
      <w:outlineLvl w:val="3"/>
    </w:pPr>
    <w:rPr>
      <w:rFonts w:asciiTheme="majorHAnsi" w:eastAsiaTheme="majorEastAsia" w:hAnsiTheme="majorHAnsi" w:cstheme="majorBidi"/>
      <w:color w:val="0989B1" w:themeColor="accent6"/>
      <w:sz w:val="22"/>
      <w:szCs w:val="22"/>
    </w:rPr>
  </w:style>
  <w:style w:type="paragraph" w:styleId="Heading5">
    <w:name w:val="heading 5"/>
    <w:basedOn w:val="Normal"/>
    <w:next w:val="Normal"/>
    <w:link w:val="Heading5Char"/>
    <w:uiPriority w:val="9"/>
    <w:semiHidden/>
    <w:unhideWhenUsed/>
    <w:qFormat/>
    <w:rsid w:val="006279CE"/>
    <w:pPr>
      <w:keepNext/>
      <w:keepLines/>
      <w:spacing w:before="40" w:after="0"/>
      <w:outlineLvl w:val="4"/>
    </w:pPr>
    <w:rPr>
      <w:rFonts w:asciiTheme="majorHAnsi" w:eastAsiaTheme="majorEastAsia" w:hAnsiTheme="majorHAnsi" w:cstheme="majorBidi"/>
      <w:i/>
      <w:iCs/>
      <w:color w:val="0989B1" w:themeColor="accent6"/>
      <w:sz w:val="22"/>
      <w:szCs w:val="22"/>
    </w:rPr>
  </w:style>
  <w:style w:type="paragraph" w:styleId="Heading6">
    <w:name w:val="heading 6"/>
    <w:basedOn w:val="Normal"/>
    <w:next w:val="Normal"/>
    <w:link w:val="Heading6Char"/>
    <w:uiPriority w:val="9"/>
    <w:semiHidden/>
    <w:unhideWhenUsed/>
    <w:qFormat/>
    <w:rsid w:val="006279CE"/>
    <w:pPr>
      <w:keepNext/>
      <w:keepLines/>
      <w:spacing w:before="40" w:after="0"/>
      <w:outlineLvl w:val="5"/>
    </w:pPr>
    <w:rPr>
      <w:rFonts w:asciiTheme="majorHAnsi" w:eastAsiaTheme="majorEastAsia" w:hAnsiTheme="majorHAnsi" w:cstheme="majorBidi"/>
      <w:color w:val="0989B1" w:themeColor="accent6"/>
    </w:rPr>
  </w:style>
  <w:style w:type="paragraph" w:styleId="Heading7">
    <w:name w:val="heading 7"/>
    <w:basedOn w:val="Normal"/>
    <w:next w:val="Normal"/>
    <w:link w:val="Heading7Char"/>
    <w:uiPriority w:val="9"/>
    <w:semiHidden/>
    <w:unhideWhenUsed/>
    <w:qFormat/>
    <w:rsid w:val="006279CE"/>
    <w:pPr>
      <w:keepNext/>
      <w:keepLines/>
      <w:spacing w:before="40" w:after="0"/>
      <w:outlineLvl w:val="6"/>
    </w:pPr>
    <w:rPr>
      <w:rFonts w:asciiTheme="majorHAnsi" w:eastAsiaTheme="majorEastAsia" w:hAnsiTheme="majorHAnsi" w:cstheme="majorBidi"/>
      <w:b/>
      <w:bCs/>
      <w:color w:val="0989B1" w:themeColor="accent6"/>
    </w:rPr>
  </w:style>
  <w:style w:type="paragraph" w:styleId="Heading8">
    <w:name w:val="heading 8"/>
    <w:basedOn w:val="Normal"/>
    <w:next w:val="Normal"/>
    <w:link w:val="Heading8Char"/>
    <w:uiPriority w:val="9"/>
    <w:semiHidden/>
    <w:unhideWhenUsed/>
    <w:qFormat/>
    <w:rsid w:val="006279CE"/>
    <w:pPr>
      <w:keepNext/>
      <w:keepLines/>
      <w:spacing w:before="40" w:after="0"/>
      <w:outlineLvl w:val="7"/>
    </w:pPr>
    <w:rPr>
      <w:rFonts w:asciiTheme="majorHAnsi" w:eastAsiaTheme="majorEastAsia" w:hAnsiTheme="majorHAnsi" w:cstheme="majorBidi"/>
      <w:b/>
      <w:bCs/>
      <w:i/>
      <w:iCs/>
      <w:color w:val="0989B1" w:themeColor="accent6"/>
      <w:sz w:val="20"/>
      <w:szCs w:val="20"/>
    </w:rPr>
  </w:style>
  <w:style w:type="paragraph" w:styleId="Heading9">
    <w:name w:val="heading 9"/>
    <w:basedOn w:val="Normal"/>
    <w:next w:val="Normal"/>
    <w:link w:val="Heading9Char"/>
    <w:uiPriority w:val="9"/>
    <w:semiHidden/>
    <w:unhideWhenUsed/>
    <w:qFormat/>
    <w:rsid w:val="006279CE"/>
    <w:pPr>
      <w:keepNext/>
      <w:keepLines/>
      <w:spacing w:before="40" w:after="0"/>
      <w:outlineLvl w:val="8"/>
    </w:pPr>
    <w:rPr>
      <w:rFonts w:asciiTheme="majorHAnsi" w:eastAsiaTheme="majorEastAsia" w:hAnsiTheme="majorHAnsi" w:cstheme="majorBidi"/>
      <w:i/>
      <w:iCs/>
      <w:color w:val="0989B1"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6279CE"/>
    <w:pPr>
      <w:spacing w:after="0" w:line="240" w:lineRule="auto"/>
    </w:pPr>
  </w:style>
  <w:style w:type="character" w:customStyle="1" w:styleId="Heading1Char">
    <w:name w:val="Heading 1 Char"/>
    <w:basedOn w:val="DefaultParagraphFont"/>
    <w:link w:val="Heading1"/>
    <w:uiPriority w:val="9"/>
    <w:rsid w:val="006279CE"/>
    <w:rPr>
      <w:rFonts w:asciiTheme="majorHAnsi" w:eastAsiaTheme="majorEastAsia" w:hAnsiTheme="majorHAnsi" w:cstheme="majorBidi"/>
      <w:color w:val="066684" w:themeColor="accent6" w:themeShade="BF"/>
      <w:sz w:val="40"/>
      <w:szCs w:val="40"/>
    </w:rPr>
  </w:style>
  <w:style w:type="character" w:customStyle="1" w:styleId="Heading2Char">
    <w:name w:val="Heading 2 Char"/>
    <w:basedOn w:val="DefaultParagraphFont"/>
    <w:link w:val="Heading2"/>
    <w:uiPriority w:val="9"/>
    <w:rsid w:val="006279CE"/>
    <w:rPr>
      <w:rFonts w:asciiTheme="majorHAnsi" w:eastAsiaTheme="majorEastAsia" w:hAnsiTheme="majorHAnsi" w:cstheme="majorBidi"/>
      <w:color w:val="066684" w:themeColor="accent6" w:themeShade="BF"/>
      <w:sz w:val="28"/>
      <w:szCs w:val="28"/>
    </w:rPr>
  </w:style>
  <w:style w:type="character" w:customStyle="1" w:styleId="Heading3Char">
    <w:name w:val="Heading 3 Char"/>
    <w:basedOn w:val="DefaultParagraphFont"/>
    <w:link w:val="Heading3"/>
    <w:uiPriority w:val="9"/>
    <w:rsid w:val="006279CE"/>
    <w:rPr>
      <w:rFonts w:asciiTheme="majorHAnsi" w:eastAsiaTheme="majorEastAsia" w:hAnsiTheme="majorHAnsi" w:cstheme="majorBidi"/>
      <w:color w:val="066684" w:themeColor="accent6" w:themeShade="BF"/>
      <w:sz w:val="24"/>
      <w:szCs w:val="24"/>
    </w:rPr>
  </w:style>
  <w:style w:type="paragraph" w:styleId="Title">
    <w:name w:val="Title"/>
    <w:basedOn w:val="Normal"/>
    <w:next w:val="Normal"/>
    <w:link w:val="TitleChar"/>
    <w:uiPriority w:val="10"/>
    <w:qFormat/>
    <w:rsid w:val="006279CE"/>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6279CE"/>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6279CE"/>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6279CE"/>
    <w:rPr>
      <w:rFonts w:asciiTheme="majorHAnsi" w:eastAsiaTheme="majorEastAsia" w:hAnsiTheme="majorHAnsi" w:cstheme="majorBidi"/>
      <w:sz w:val="30"/>
      <w:szCs w:val="30"/>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6279CE"/>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6279CE"/>
    <w:rPr>
      <w:i/>
      <w:iCs/>
      <w:color w:val="262626" w:themeColor="text1" w:themeTint="D9"/>
    </w:rPr>
  </w:style>
  <w:style w:type="character" w:customStyle="1" w:styleId="Heading4Char">
    <w:name w:val="Heading 4 Char"/>
    <w:basedOn w:val="DefaultParagraphFont"/>
    <w:link w:val="Heading4"/>
    <w:uiPriority w:val="9"/>
    <w:semiHidden/>
    <w:rsid w:val="006279CE"/>
    <w:rPr>
      <w:rFonts w:asciiTheme="majorHAnsi" w:eastAsiaTheme="majorEastAsia" w:hAnsiTheme="majorHAnsi" w:cstheme="majorBidi"/>
      <w:color w:val="0989B1" w:themeColor="accent6"/>
      <w:sz w:val="22"/>
      <w:szCs w:val="22"/>
    </w:rPr>
  </w:style>
  <w:style w:type="character" w:customStyle="1" w:styleId="Heading5Char">
    <w:name w:val="Heading 5 Char"/>
    <w:basedOn w:val="DefaultParagraphFont"/>
    <w:link w:val="Heading5"/>
    <w:uiPriority w:val="9"/>
    <w:semiHidden/>
    <w:rsid w:val="006279CE"/>
    <w:rPr>
      <w:rFonts w:asciiTheme="majorHAnsi" w:eastAsiaTheme="majorEastAsia" w:hAnsiTheme="majorHAnsi" w:cstheme="majorBidi"/>
      <w:i/>
      <w:iCs/>
      <w:color w:val="0989B1" w:themeColor="accent6"/>
      <w:sz w:val="22"/>
      <w:szCs w:val="22"/>
    </w:rPr>
  </w:style>
  <w:style w:type="character" w:customStyle="1" w:styleId="Heading6Char">
    <w:name w:val="Heading 6 Char"/>
    <w:basedOn w:val="DefaultParagraphFont"/>
    <w:link w:val="Heading6"/>
    <w:uiPriority w:val="9"/>
    <w:semiHidden/>
    <w:rsid w:val="006279CE"/>
    <w:rPr>
      <w:rFonts w:asciiTheme="majorHAnsi" w:eastAsiaTheme="majorEastAsia" w:hAnsiTheme="majorHAnsi" w:cstheme="majorBidi"/>
      <w:color w:val="0989B1" w:themeColor="accent6"/>
    </w:rPr>
  </w:style>
  <w:style w:type="character" w:customStyle="1" w:styleId="Heading7Char">
    <w:name w:val="Heading 7 Char"/>
    <w:basedOn w:val="DefaultParagraphFont"/>
    <w:link w:val="Heading7"/>
    <w:uiPriority w:val="9"/>
    <w:semiHidden/>
    <w:rsid w:val="006279CE"/>
    <w:rPr>
      <w:rFonts w:asciiTheme="majorHAnsi" w:eastAsiaTheme="majorEastAsia" w:hAnsiTheme="majorHAnsi" w:cstheme="majorBidi"/>
      <w:b/>
      <w:bCs/>
      <w:color w:val="0989B1" w:themeColor="accent6"/>
    </w:rPr>
  </w:style>
  <w:style w:type="character" w:customStyle="1" w:styleId="Heading8Char">
    <w:name w:val="Heading 8 Char"/>
    <w:basedOn w:val="DefaultParagraphFont"/>
    <w:link w:val="Heading8"/>
    <w:uiPriority w:val="9"/>
    <w:semiHidden/>
    <w:rsid w:val="006279CE"/>
    <w:rPr>
      <w:rFonts w:asciiTheme="majorHAnsi" w:eastAsiaTheme="majorEastAsia" w:hAnsiTheme="majorHAnsi" w:cstheme="majorBidi"/>
      <w:b/>
      <w:bCs/>
      <w:i/>
      <w:iCs/>
      <w:color w:val="0989B1" w:themeColor="accent6"/>
      <w:sz w:val="20"/>
      <w:szCs w:val="20"/>
    </w:rPr>
  </w:style>
  <w:style w:type="character" w:customStyle="1" w:styleId="Heading9Char">
    <w:name w:val="Heading 9 Char"/>
    <w:basedOn w:val="DefaultParagraphFont"/>
    <w:link w:val="Heading9"/>
    <w:uiPriority w:val="9"/>
    <w:semiHidden/>
    <w:rsid w:val="006279CE"/>
    <w:rPr>
      <w:rFonts w:asciiTheme="majorHAnsi" w:eastAsiaTheme="majorEastAsia" w:hAnsiTheme="majorHAnsi" w:cstheme="majorBidi"/>
      <w:i/>
      <w:iCs/>
      <w:color w:val="0989B1" w:themeColor="accent6"/>
      <w:sz w:val="20"/>
      <w:szCs w:val="20"/>
    </w:rPr>
  </w:style>
  <w:style w:type="paragraph" w:styleId="Caption">
    <w:name w:val="caption"/>
    <w:basedOn w:val="Normal"/>
    <w:next w:val="Normal"/>
    <w:uiPriority w:val="35"/>
    <w:semiHidden/>
    <w:unhideWhenUsed/>
    <w:qFormat/>
    <w:rsid w:val="006279CE"/>
    <w:pPr>
      <w:spacing w:line="240" w:lineRule="auto"/>
    </w:pPr>
    <w:rPr>
      <w:b/>
      <w:bCs/>
      <w:smallCaps/>
      <w:color w:val="595959" w:themeColor="text1" w:themeTint="A6"/>
    </w:rPr>
  </w:style>
  <w:style w:type="character" w:styleId="Strong">
    <w:name w:val="Strong"/>
    <w:basedOn w:val="DefaultParagraphFont"/>
    <w:uiPriority w:val="22"/>
    <w:qFormat/>
    <w:rsid w:val="006279CE"/>
    <w:rPr>
      <w:b/>
      <w:bCs/>
    </w:rPr>
  </w:style>
  <w:style w:type="character" w:styleId="Emphasis">
    <w:name w:val="Emphasis"/>
    <w:basedOn w:val="DefaultParagraphFont"/>
    <w:uiPriority w:val="20"/>
    <w:qFormat/>
    <w:rsid w:val="006279CE"/>
    <w:rPr>
      <w:i/>
      <w:iCs/>
      <w:color w:val="0989B1" w:themeColor="accent6"/>
    </w:rPr>
  </w:style>
  <w:style w:type="paragraph" w:styleId="IntenseQuote">
    <w:name w:val="Intense Quote"/>
    <w:basedOn w:val="Normal"/>
    <w:next w:val="Normal"/>
    <w:link w:val="IntenseQuoteChar"/>
    <w:uiPriority w:val="30"/>
    <w:qFormat/>
    <w:rsid w:val="006279CE"/>
    <w:pPr>
      <w:spacing w:before="160" w:after="160" w:line="264" w:lineRule="auto"/>
      <w:ind w:left="720" w:right="720"/>
      <w:jc w:val="center"/>
    </w:pPr>
    <w:rPr>
      <w:rFonts w:asciiTheme="majorHAnsi" w:eastAsiaTheme="majorEastAsia" w:hAnsiTheme="majorHAnsi" w:cstheme="majorBidi"/>
      <w:i/>
      <w:iCs/>
      <w:color w:val="0989B1" w:themeColor="accent6"/>
      <w:sz w:val="32"/>
      <w:szCs w:val="32"/>
    </w:rPr>
  </w:style>
  <w:style w:type="character" w:customStyle="1" w:styleId="IntenseQuoteChar">
    <w:name w:val="Intense Quote Char"/>
    <w:basedOn w:val="DefaultParagraphFont"/>
    <w:link w:val="IntenseQuote"/>
    <w:uiPriority w:val="30"/>
    <w:rsid w:val="006279CE"/>
    <w:rPr>
      <w:rFonts w:asciiTheme="majorHAnsi" w:eastAsiaTheme="majorEastAsia" w:hAnsiTheme="majorHAnsi" w:cstheme="majorBidi"/>
      <w:i/>
      <w:iCs/>
      <w:color w:val="0989B1" w:themeColor="accent6"/>
      <w:sz w:val="32"/>
      <w:szCs w:val="32"/>
    </w:rPr>
  </w:style>
  <w:style w:type="character" w:styleId="SubtleEmphasis">
    <w:name w:val="Subtle Emphasis"/>
    <w:basedOn w:val="DefaultParagraphFont"/>
    <w:uiPriority w:val="19"/>
    <w:qFormat/>
    <w:rsid w:val="006279CE"/>
    <w:rPr>
      <w:i/>
      <w:iCs/>
    </w:rPr>
  </w:style>
  <w:style w:type="character" w:styleId="IntenseEmphasis">
    <w:name w:val="Intense Emphasis"/>
    <w:basedOn w:val="DefaultParagraphFont"/>
    <w:uiPriority w:val="21"/>
    <w:qFormat/>
    <w:rsid w:val="006279CE"/>
    <w:rPr>
      <w:b/>
      <w:bCs/>
      <w:i/>
      <w:iCs/>
    </w:rPr>
  </w:style>
  <w:style w:type="character" w:styleId="SubtleReference">
    <w:name w:val="Subtle Reference"/>
    <w:basedOn w:val="DefaultParagraphFont"/>
    <w:uiPriority w:val="31"/>
    <w:qFormat/>
    <w:rsid w:val="006279CE"/>
    <w:rPr>
      <w:smallCaps/>
      <w:color w:val="595959" w:themeColor="text1" w:themeTint="A6"/>
    </w:rPr>
  </w:style>
  <w:style w:type="character" w:styleId="IntenseReference">
    <w:name w:val="Intense Reference"/>
    <w:basedOn w:val="DefaultParagraphFont"/>
    <w:uiPriority w:val="32"/>
    <w:qFormat/>
    <w:rsid w:val="006279CE"/>
    <w:rPr>
      <w:b/>
      <w:bCs/>
      <w:smallCaps/>
      <w:color w:val="0989B1" w:themeColor="accent6"/>
    </w:rPr>
  </w:style>
  <w:style w:type="character" w:styleId="BookTitle">
    <w:name w:val="Book Title"/>
    <w:basedOn w:val="DefaultParagraphFont"/>
    <w:uiPriority w:val="33"/>
    <w:qFormat/>
    <w:rsid w:val="006279CE"/>
    <w:rPr>
      <w:b/>
      <w:bCs/>
      <w:caps w:val="0"/>
      <w:smallCaps/>
      <w:spacing w:val="7"/>
      <w:sz w:val="21"/>
      <w:szCs w:val="21"/>
    </w:rPr>
  </w:style>
  <w:style w:type="paragraph" w:styleId="TOCHeading">
    <w:name w:val="TOC Heading"/>
    <w:basedOn w:val="Heading1"/>
    <w:next w:val="Normal"/>
    <w:uiPriority w:val="39"/>
    <w:semiHidden/>
    <w:unhideWhenUsed/>
    <w:qFormat/>
    <w:rsid w:val="006279CE"/>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E762A" w:themeColor="accent1" w:themeShade="BF"/>
    </w:rPr>
    <w:tblPr>
      <w:tblStyleRowBandSize w:val="1"/>
      <w:tblStyleColBandSize w:val="1"/>
      <w:tblBorders>
        <w:top w:val="single" w:sz="8" w:space="0" w:color="549E39" w:themeColor="accent1"/>
        <w:bottom w:val="single" w:sz="8" w:space="0" w:color="549E39" w:themeColor="accent1"/>
      </w:tblBorders>
    </w:tblPr>
    <w:tblStylePr w:type="firstRow">
      <w:pPr>
        <w:spacing w:before="0" w:after="0" w:line="240" w:lineRule="auto"/>
      </w:pPr>
      <w:rPr>
        <w:b/>
        <w:bCs/>
      </w:rPr>
      <w:tblPr/>
      <w:tcPr>
        <w:tcBorders>
          <w:top w:val="single" w:sz="8" w:space="0" w:color="549E39" w:themeColor="accent1"/>
          <w:left w:val="nil"/>
          <w:bottom w:val="single" w:sz="8" w:space="0" w:color="549E39" w:themeColor="accent1"/>
          <w:right w:val="nil"/>
          <w:insideH w:val="nil"/>
          <w:insideV w:val="nil"/>
        </w:tcBorders>
      </w:tcPr>
    </w:tblStylePr>
    <w:tblStylePr w:type="lastRow">
      <w:pPr>
        <w:spacing w:before="0" w:after="0" w:line="240" w:lineRule="auto"/>
      </w:pPr>
      <w:rPr>
        <w:b/>
        <w:bCs/>
      </w:rPr>
      <w:tblPr/>
      <w:tcPr>
        <w:tcBorders>
          <w:top w:val="single" w:sz="8" w:space="0" w:color="549E39" w:themeColor="accent1"/>
          <w:left w:val="nil"/>
          <w:bottom w:val="single" w:sz="8" w:space="0" w:color="549E39"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BC9" w:themeFill="accent1" w:themeFillTint="3F"/>
      </w:tcPr>
    </w:tblStylePr>
    <w:tblStylePr w:type="band1Horz">
      <w:tblPr/>
      <w:tcPr>
        <w:tcBorders>
          <w:left w:val="nil"/>
          <w:right w:val="nil"/>
          <w:insideH w:val="nil"/>
          <w:insideV w:val="nil"/>
        </w:tcBorders>
        <w:shd w:val="clear" w:color="auto" w:fill="D2EBC9" w:themeFill="accent1" w:themeFillTint="3F"/>
      </w:tcPr>
    </w:tblStylePr>
  </w:style>
  <w:style w:type="table" w:styleId="LightShading-Accent2">
    <w:name w:val="Light Shading Accent 2"/>
    <w:basedOn w:val="TableNormal"/>
    <w:uiPriority w:val="60"/>
    <w:rsid w:val="00FC693F"/>
    <w:pPr>
      <w:spacing w:after="0" w:line="240" w:lineRule="auto"/>
    </w:pPr>
    <w:rPr>
      <w:color w:val="668926" w:themeColor="accent2" w:themeShade="BF"/>
    </w:rPr>
    <w:tblPr>
      <w:tblStyleRowBandSize w:val="1"/>
      <w:tblStyleColBandSize w:val="1"/>
      <w:tblBorders>
        <w:top w:val="single" w:sz="8" w:space="0" w:color="8AB833" w:themeColor="accent2"/>
        <w:bottom w:val="single" w:sz="8" w:space="0" w:color="8AB833" w:themeColor="accent2"/>
      </w:tblBorders>
    </w:tblPr>
    <w:tblStylePr w:type="firstRow">
      <w:pPr>
        <w:spacing w:before="0" w:after="0" w:line="240" w:lineRule="auto"/>
      </w:pPr>
      <w:rPr>
        <w:b/>
        <w:bCs/>
      </w:rPr>
      <w:tblPr/>
      <w:tcPr>
        <w:tcBorders>
          <w:top w:val="single" w:sz="8" w:space="0" w:color="8AB833" w:themeColor="accent2"/>
          <w:left w:val="nil"/>
          <w:bottom w:val="single" w:sz="8" w:space="0" w:color="8AB833" w:themeColor="accent2"/>
          <w:right w:val="nil"/>
          <w:insideH w:val="nil"/>
          <w:insideV w:val="nil"/>
        </w:tcBorders>
      </w:tcPr>
    </w:tblStylePr>
    <w:tblStylePr w:type="lastRow">
      <w:pPr>
        <w:spacing w:before="0" w:after="0" w:line="240" w:lineRule="auto"/>
      </w:pPr>
      <w:rPr>
        <w:b/>
        <w:bCs/>
      </w:rPr>
      <w:tblPr/>
      <w:tcPr>
        <w:tcBorders>
          <w:top w:val="single" w:sz="8" w:space="0" w:color="8AB833" w:themeColor="accent2"/>
          <w:left w:val="nil"/>
          <w:bottom w:val="single" w:sz="8" w:space="0" w:color="8AB833"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2F0C9" w:themeFill="accent2" w:themeFillTint="3F"/>
      </w:tcPr>
    </w:tblStylePr>
    <w:tblStylePr w:type="band1Horz">
      <w:tblPr/>
      <w:tcPr>
        <w:tcBorders>
          <w:left w:val="nil"/>
          <w:right w:val="nil"/>
          <w:insideH w:val="nil"/>
          <w:insideV w:val="nil"/>
        </w:tcBorders>
        <w:shd w:val="clear" w:color="auto" w:fill="E2F0C9" w:themeFill="accent2" w:themeFillTint="3F"/>
      </w:tcPr>
    </w:tblStylePr>
  </w:style>
  <w:style w:type="table" w:styleId="LightShading-Accent3">
    <w:name w:val="Light Shading Accent 3"/>
    <w:basedOn w:val="TableNormal"/>
    <w:uiPriority w:val="60"/>
    <w:rsid w:val="00FC693F"/>
    <w:pPr>
      <w:spacing w:after="0" w:line="240" w:lineRule="auto"/>
    </w:pPr>
    <w:rPr>
      <w:color w:val="939F27" w:themeColor="accent3" w:themeShade="BF"/>
    </w:rPr>
    <w:tblPr>
      <w:tblStyleRowBandSize w:val="1"/>
      <w:tblStyleColBandSize w:val="1"/>
      <w:tblBorders>
        <w:top w:val="single" w:sz="8" w:space="0" w:color="C0CF3A" w:themeColor="accent3"/>
        <w:bottom w:val="single" w:sz="8" w:space="0" w:color="C0CF3A" w:themeColor="accent3"/>
      </w:tblBorders>
    </w:tblPr>
    <w:tblStylePr w:type="firstRow">
      <w:pPr>
        <w:spacing w:before="0" w:after="0" w:line="240" w:lineRule="auto"/>
      </w:pPr>
      <w:rPr>
        <w:b/>
        <w:bCs/>
      </w:rPr>
      <w:tblPr/>
      <w:tcPr>
        <w:tcBorders>
          <w:top w:val="single" w:sz="8" w:space="0" w:color="C0CF3A" w:themeColor="accent3"/>
          <w:left w:val="nil"/>
          <w:bottom w:val="single" w:sz="8" w:space="0" w:color="C0CF3A" w:themeColor="accent3"/>
          <w:right w:val="nil"/>
          <w:insideH w:val="nil"/>
          <w:insideV w:val="nil"/>
        </w:tcBorders>
      </w:tcPr>
    </w:tblStylePr>
    <w:tblStylePr w:type="lastRow">
      <w:pPr>
        <w:spacing w:before="0" w:after="0" w:line="240" w:lineRule="auto"/>
      </w:pPr>
      <w:rPr>
        <w:b/>
        <w:bCs/>
      </w:rPr>
      <w:tblPr/>
      <w:tcPr>
        <w:tcBorders>
          <w:top w:val="single" w:sz="8" w:space="0" w:color="C0CF3A" w:themeColor="accent3"/>
          <w:left w:val="nil"/>
          <w:bottom w:val="single" w:sz="8" w:space="0" w:color="C0CF3A"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F3CE" w:themeFill="accent3" w:themeFillTint="3F"/>
      </w:tcPr>
    </w:tblStylePr>
    <w:tblStylePr w:type="band1Horz">
      <w:tblPr/>
      <w:tcPr>
        <w:tcBorders>
          <w:left w:val="nil"/>
          <w:right w:val="nil"/>
          <w:insideH w:val="nil"/>
          <w:insideV w:val="nil"/>
        </w:tcBorders>
        <w:shd w:val="clear" w:color="auto" w:fill="EFF3CE" w:themeFill="accent3" w:themeFillTint="3F"/>
      </w:tcPr>
    </w:tblStylePr>
  </w:style>
  <w:style w:type="table" w:styleId="LightShading-Accent4">
    <w:name w:val="Light Shading Accent 4"/>
    <w:basedOn w:val="TableNormal"/>
    <w:uiPriority w:val="60"/>
    <w:rsid w:val="00FC693F"/>
    <w:pPr>
      <w:spacing w:after="0" w:line="240" w:lineRule="auto"/>
    </w:pPr>
    <w:rPr>
      <w:color w:val="017057" w:themeColor="accent4" w:themeShade="BF"/>
    </w:rPr>
    <w:tblPr>
      <w:tblStyleRowBandSize w:val="1"/>
      <w:tblStyleColBandSize w:val="1"/>
      <w:tblBorders>
        <w:top w:val="single" w:sz="8" w:space="0" w:color="029676" w:themeColor="accent4"/>
        <w:bottom w:val="single" w:sz="8" w:space="0" w:color="029676" w:themeColor="accent4"/>
      </w:tblBorders>
    </w:tblPr>
    <w:tblStylePr w:type="firstRow">
      <w:pPr>
        <w:spacing w:before="0" w:after="0" w:line="240" w:lineRule="auto"/>
      </w:pPr>
      <w:rPr>
        <w:b/>
        <w:bCs/>
      </w:rPr>
      <w:tblPr/>
      <w:tcPr>
        <w:tcBorders>
          <w:top w:val="single" w:sz="8" w:space="0" w:color="029676" w:themeColor="accent4"/>
          <w:left w:val="nil"/>
          <w:bottom w:val="single" w:sz="8" w:space="0" w:color="029676" w:themeColor="accent4"/>
          <w:right w:val="nil"/>
          <w:insideH w:val="nil"/>
          <w:insideV w:val="nil"/>
        </w:tcBorders>
      </w:tcPr>
    </w:tblStylePr>
    <w:tblStylePr w:type="lastRow">
      <w:pPr>
        <w:spacing w:before="0" w:after="0" w:line="240" w:lineRule="auto"/>
      </w:pPr>
      <w:rPr>
        <w:b/>
        <w:bCs/>
      </w:rPr>
      <w:tblPr/>
      <w:tcPr>
        <w:tcBorders>
          <w:top w:val="single" w:sz="8" w:space="0" w:color="029676" w:themeColor="accent4"/>
          <w:left w:val="nil"/>
          <w:bottom w:val="single" w:sz="8" w:space="0" w:color="029676"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7FDEA" w:themeFill="accent4" w:themeFillTint="3F"/>
      </w:tcPr>
    </w:tblStylePr>
    <w:tblStylePr w:type="band1Horz">
      <w:tblPr/>
      <w:tcPr>
        <w:tcBorders>
          <w:left w:val="nil"/>
          <w:right w:val="nil"/>
          <w:insideH w:val="nil"/>
          <w:insideV w:val="nil"/>
        </w:tcBorders>
        <w:shd w:val="clear" w:color="auto" w:fill="A7FDEA" w:themeFill="accent4" w:themeFillTint="3F"/>
      </w:tcPr>
    </w:tblStylePr>
  </w:style>
  <w:style w:type="table" w:styleId="LightShading-Accent5">
    <w:name w:val="Light Shading Accent 5"/>
    <w:basedOn w:val="TableNormal"/>
    <w:uiPriority w:val="60"/>
    <w:rsid w:val="00FC693F"/>
    <w:pPr>
      <w:spacing w:after="0" w:line="240" w:lineRule="auto"/>
    </w:pPr>
    <w:rPr>
      <w:color w:val="318B98" w:themeColor="accent5" w:themeShade="BF"/>
    </w:rPr>
    <w:tblPr>
      <w:tblStyleRowBandSize w:val="1"/>
      <w:tblStyleColBandSize w:val="1"/>
      <w:tblBorders>
        <w:top w:val="single" w:sz="8" w:space="0" w:color="4AB5C4" w:themeColor="accent5"/>
        <w:bottom w:val="single" w:sz="8" w:space="0" w:color="4AB5C4" w:themeColor="accent5"/>
      </w:tblBorders>
    </w:tblPr>
    <w:tblStylePr w:type="firstRow">
      <w:pPr>
        <w:spacing w:before="0" w:after="0" w:line="240" w:lineRule="auto"/>
      </w:pPr>
      <w:rPr>
        <w:b/>
        <w:bCs/>
      </w:rPr>
      <w:tblPr/>
      <w:tcPr>
        <w:tcBorders>
          <w:top w:val="single" w:sz="8" w:space="0" w:color="4AB5C4" w:themeColor="accent5"/>
          <w:left w:val="nil"/>
          <w:bottom w:val="single" w:sz="8" w:space="0" w:color="4AB5C4" w:themeColor="accent5"/>
          <w:right w:val="nil"/>
          <w:insideH w:val="nil"/>
          <w:insideV w:val="nil"/>
        </w:tcBorders>
      </w:tcPr>
    </w:tblStylePr>
    <w:tblStylePr w:type="lastRow">
      <w:pPr>
        <w:spacing w:before="0" w:after="0" w:line="240" w:lineRule="auto"/>
      </w:pPr>
      <w:rPr>
        <w:b/>
        <w:bCs/>
      </w:rPr>
      <w:tblPr/>
      <w:tcPr>
        <w:tcBorders>
          <w:top w:val="single" w:sz="8" w:space="0" w:color="4AB5C4" w:themeColor="accent5"/>
          <w:left w:val="nil"/>
          <w:bottom w:val="single" w:sz="8" w:space="0" w:color="4AB5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CF0" w:themeFill="accent5" w:themeFillTint="3F"/>
      </w:tcPr>
    </w:tblStylePr>
    <w:tblStylePr w:type="band1Horz">
      <w:tblPr/>
      <w:tcPr>
        <w:tcBorders>
          <w:left w:val="nil"/>
          <w:right w:val="nil"/>
          <w:insideH w:val="nil"/>
          <w:insideV w:val="nil"/>
        </w:tcBorders>
        <w:shd w:val="clear" w:color="auto" w:fill="D2ECF0" w:themeFill="accent5" w:themeFillTint="3F"/>
      </w:tcPr>
    </w:tblStylePr>
  </w:style>
  <w:style w:type="table" w:styleId="LightShading-Accent6">
    <w:name w:val="Light Shading Accent 6"/>
    <w:basedOn w:val="TableNormal"/>
    <w:uiPriority w:val="60"/>
    <w:rsid w:val="00FC693F"/>
    <w:pPr>
      <w:spacing w:after="0" w:line="240" w:lineRule="auto"/>
    </w:pPr>
    <w:rPr>
      <w:color w:val="066684" w:themeColor="accent6" w:themeShade="BF"/>
    </w:rPr>
    <w:tblPr>
      <w:tblStyleRowBandSize w:val="1"/>
      <w:tblStyleColBandSize w:val="1"/>
      <w:tblBorders>
        <w:top w:val="single" w:sz="8" w:space="0" w:color="0989B1" w:themeColor="accent6"/>
        <w:bottom w:val="single" w:sz="8" w:space="0" w:color="0989B1" w:themeColor="accent6"/>
      </w:tblBorders>
    </w:tblPr>
    <w:tblStylePr w:type="firstRow">
      <w:pPr>
        <w:spacing w:before="0" w:after="0" w:line="240" w:lineRule="auto"/>
      </w:pPr>
      <w:rPr>
        <w:b/>
        <w:bCs/>
      </w:rPr>
      <w:tblPr/>
      <w:tcPr>
        <w:tcBorders>
          <w:top w:val="single" w:sz="8" w:space="0" w:color="0989B1" w:themeColor="accent6"/>
          <w:left w:val="nil"/>
          <w:bottom w:val="single" w:sz="8" w:space="0" w:color="0989B1" w:themeColor="accent6"/>
          <w:right w:val="nil"/>
          <w:insideH w:val="nil"/>
          <w:insideV w:val="nil"/>
        </w:tcBorders>
      </w:tcPr>
    </w:tblStylePr>
    <w:tblStylePr w:type="lastRow">
      <w:pPr>
        <w:spacing w:before="0" w:after="0" w:line="240" w:lineRule="auto"/>
      </w:pPr>
      <w:rPr>
        <w:b/>
        <w:bCs/>
      </w:rPr>
      <w:tblPr/>
      <w:tcPr>
        <w:tcBorders>
          <w:top w:val="single" w:sz="8" w:space="0" w:color="0989B1" w:themeColor="accent6"/>
          <w:left w:val="nil"/>
          <w:bottom w:val="single" w:sz="8" w:space="0" w:color="0989B1"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E9FB" w:themeFill="accent6" w:themeFillTint="3F"/>
      </w:tcPr>
    </w:tblStylePr>
    <w:tblStylePr w:type="band1Horz">
      <w:tblPr/>
      <w:tcPr>
        <w:tcBorders>
          <w:left w:val="nil"/>
          <w:right w:val="nil"/>
          <w:insideH w:val="nil"/>
          <w:insideV w:val="nil"/>
        </w:tcBorders>
        <w:shd w:val="clear" w:color="auto" w:fill="B2E9FB"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549E39" w:themeColor="accent1"/>
        <w:left w:val="single" w:sz="8" w:space="0" w:color="549E39" w:themeColor="accent1"/>
        <w:bottom w:val="single" w:sz="8" w:space="0" w:color="549E39" w:themeColor="accent1"/>
        <w:right w:val="single" w:sz="8" w:space="0" w:color="549E39" w:themeColor="accent1"/>
      </w:tblBorders>
    </w:tblPr>
    <w:tblStylePr w:type="firstRow">
      <w:pPr>
        <w:spacing w:before="0" w:after="0" w:line="240" w:lineRule="auto"/>
      </w:pPr>
      <w:rPr>
        <w:b/>
        <w:bCs/>
        <w:color w:val="FFFFFF" w:themeColor="background1"/>
      </w:rPr>
      <w:tblPr/>
      <w:tcPr>
        <w:shd w:val="clear" w:color="auto" w:fill="549E39" w:themeFill="accent1"/>
      </w:tcPr>
    </w:tblStylePr>
    <w:tblStylePr w:type="lastRow">
      <w:pPr>
        <w:spacing w:before="0" w:after="0" w:line="240" w:lineRule="auto"/>
      </w:pPr>
      <w:rPr>
        <w:b/>
        <w:bCs/>
      </w:rPr>
      <w:tblPr/>
      <w:tcPr>
        <w:tcBorders>
          <w:top w:val="double" w:sz="6" w:space="0" w:color="549E39" w:themeColor="accent1"/>
          <w:left w:val="single" w:sz="8" w:space="0" w:color="549E39" w:themeColor="accent1"/>
          <w:bottom w:val="single" w:sz="8" w:space="0" w:color="549E39" w:themeColor="accent1"/>
          <w:right w:val="single" w:sz="8" w:space="0" w:color="549E39" w:themeColor="accent1"/>
        </w:tcBorders>
      </w:tcPr>
    </w:tblStylePr>
    <w:tblStylePr w:type="firstCol">
      <w:rPr>
        <w:b/>
        <w:bCs/>
      </w:rPr>
    </w:tblStylePr>
    <w:tblStylePr w:type="lastCol">
      <w:rPr>
        <w:b/>
        <w:bCs/>
      </w:rPr>
    </w:tblStylePr>
    <w:tblStylePr w:type="band1Vert">
      <w:tblPr/>
      <w:tcPr>
        <w:tcBorders>
          <w:top w:val="single" w:sz="8" w:space="0" w:color="549E39" w:themeColor="accent1"/>
          <w:left w:val="single" w:sz="8" w:space="0" w:color="549E39" w:themeColor="accent1"/>
          <w:bottom w:val="single" w:sz="8" w:space="0" w:color="549E39" w:themeColor="accent1"/>
          <w:right w:val="single" w:sz="8" w:space="0" w:color="549E39" w:themeColor="accent1"/>
        </w:tcBorders>
      </w:tcPr>
    </w:tblStylePr>
    <w:tblStylePr w:type="band1Horz">
      <w:tblPr/>
      <w:tcPr>
        <w:tcBorders>
          <w:top w:val="single" w:sz="8" w:space="0" w:color="549E39" w:themeColor="accent1"/>
          <w:left w:val="single" w:sz="8" w:space="0" w:color="549E39" w:themeColor="accent1"/>
          <w:bottom w:val="single" w:sz="8" w:space="0" w:color="549E39" w:themeColor="accent1"/>
          <w:right w:val="single" w:sz="8" w:space="0" w:color="549E39"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8AB833" w:themeColor="accent2"/>
        <w:left w:val="single" w:sz="8" w:space="0" w:color="8AB833" w:themeColor="accent2"/>
        <w:bottom w:val="single" w:sz="8" w:space="0" w:color="8AB833" w:themeColor="accent2"/>
        <w:right w:val="single" w:sz="8" w:space="0" w:color="8AB833" w:themeColor="accent2"/>
      </w:tblBorders>
    </w:tblPr>
    <w:tblStylePr w:type="firstRow">
      <w:pPr>
        <w:spacing w:before="0" w:after="0" w:line="240" w:lineRule="auto"/>
      </w:pPr>
      <w:rPr>
        <w:b/>
        <w:bCs/>
        <w:color w:val="FFFFFF" w:themeColor="background1"/>
      </w:rPr>
      <w:tblPr/>
      <w:tcPr>
        <w:shd w:val="clear" w:color="auto" w:fill="8AB833" w:themeFill="accent2"/>
      </w:tcPr>
    </w:tblStylePr>
    <w:tblStylePr w:type="lastRow">
      <w:pPr>
        <w:spacing w:before="0" w:after="0" w:line="240" w:lineRule="auto"/>
      </w:pPr>
      <w:rPr>
        <w:b/>
        <w:bCs/>
      </w:rPr>
      <w:tblPr/>
      <w:tcPr>
        <w:tcBorders>
          <w:top w:val="double" w:sz="6" w:space="0" w:color="8AB833" w:themeColor="accent2"/>
          <w:left w:val="single" w:sz="8" w:space="0" w:color="8AB833" w:themeColor="accent2"/>
          <w:bottom w:val="single" w:sz="8" w:space="0" w:color="8AB833" w:themeColor="accent2"/>
          <w:right w:val="single" w:sz="8" w:space="0" w:color="8AB833" w:themeColor="accent2"/>
        </w:tcBorders>
      </w:tcPr>
    </w:tblStylePr>
    <w:tblStylePr w:type="firstCol">
      <w:rPr>
        <w:b/>
        <w:bCs/>
      </w:rPr>
    </w:tblStylePr>
    <w:tblStylePr w:type="lastCol">
      <w:rPr>
        <w:b/>
        <w:bCs/>
      </w:rPr>
    </w:tblStylePr>
    <w:tblStylePr w:type="band1Vert">
      <w:tblPr/>
      <w:tcPr>
        <w:tcBorders>
          <w:top w:val="single" w:sz="8" w:space="0" w:color="8AB833" w:themeColor="accent2"/>
          <w:left w:val="single" w:sz="8" w:space="0" w:color="8AB833" w:themeColor="accent2"/>
          <w:bottom w:val="single" w:sz="8" w:space="0" w:color="8AB833" w:themeColor="accent2"/>
          <w:right w:val="single" w:sz="8" w:space="0" w:color="8AB833" w:themeColor="accent2"/>
        </w:tcBorders>
      </w:tcPr>
    </w:tblStylePr>
    <w:tblStylePr w:type="band1Horz">
      <w:tblPr/>
      <w:tcPr>
        <w:tcBorders>
          <w:top w:val="single" w:sz="8" w:space="0" w:color="8AB833" w:themeColor="accent2"/>
          <w:left w:val="single" w:sz="8" w:space="0" w:color="8AB833" w:themeColor="accent2"/>
          <w:bottom w:val="single" w:sz="8" w:space="0" w:color="8AB833" w:themeColor="accent2"/>
          <w:right w:val="single" w:sz="8" w:space="0" w:color="8AB833"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C0CF3A" w:themeColor="accent3"/>
        <w:left w:val="single" w:sz="8" w:space="0" w:color="C0CF3A" w:themeColor="accent3"/>
        <w:bottom w:val="single" w:sz="8" w:space="0" w:color="C0CF3A" w:themeColor="accent3"/>
        <w:right w:val="single" w:sz="8" w:space="0" w:color="C0CF3A" w:themeColor="accent3"/>
      </w:tblBorders>
    </w:tblPr>
    <w:tblStylePr w:type="firstRow">
      <w:pPr>
        <w:spacing w:before="0" w:after="0" w:line="240" w:lineRule="auto"/>
      </w:pPr>
      <w:rPr>
        <w:b/>
        <w:bCs/>
        <w:color w:val="FFFFFF" w:themeColor="background1"/>
      </w:rPr>
      <w:tblPr/>
      <w:tcPr>
        <w:shd w:val="clear" w:color="auto" w:fill="C0CF3A" w:themeFill="accent3"/>
      </w:tcPr>
    </w:tblStylePr>
    <w:tblStylePr w:type="lastRow">
      <w:pPr>
        <w:spacing w:before="0" w:after="0" w:line="240" w:lineRule="auto"/>
      </w:pPr>
      <w:rPr>
        <w:b/>
        <w:bCs/>
      </w:rPr>
      <w:tblPr/>
      <w:tcPr>
        <w:tcBorders>
          <w:top w:val="double" w:sz="6" w:space="0" w:color="C0CF3A" w:themeColor="accent3"/>
          <w:left w:val="single" w:sz="8" w:space="0" w:color="C0CF3A" w:themeColor="accent3"/>
          <w:bottom w:val="single" w:sz="8" w:space="0" w:color="C0CF3A" w:themeColor="accent3"/>
          <w:right w:val="single" w:sz="8" w:space="0" w:color="C0CF3A" w:themeColor="accent3"/>
        </w:tcBorders>
      </w:tcPr>
    </w:tblStylePr>
    <w:tblStylePr w:type="firstCol">
      <w:rPr>
        <w:b/>
        <w:bCs/>
      </w:rPr>
    </w:tblStylePr>
    <w:tblStylePr w:type="lastCol">
      <w:rPr>
        <w:b/>
        <w:bCs/>
      </w:rPr>
    </w:tblStylePr>
    <w:tblStylePr w:type="band1Vert">
      <w:tblPr/>
      <w:tcPr>
        <w:tcBorders>
          <w:top w:val="single" w:sz="8" w:space="0" w:color="C0CF3A" w:themeColor="accent3"/>
          <w:left w:val="single" w:sz="8" w:space="0" w:color="C0CF3A" w:themeColor="accent3"/>
          <w:bottom w:val="single" w:sz="8" w:space="0" w:color="C0CF3A" w:themeColor="accent3"/>
          <w:right w:val="single" w:sz="8" w:space="0" w:color="C0CF3A" w:themeColor="accent3"/>
        </w:tcBorders>
      </w:tcPr>
    </w:tblStylePr>
    <w:tblStylePr w:type="band1Horz">
      <w:tblPr/>
      <w:tcPr>
        <w:tcBorders>
          <w:top w:val="single" w:sz="8" w:space="0" w:color="C0CF3A" w:themeColor="accent3"/>
          <w:left w:val="single" w:sz="8" w:space="0" w:color="C0CF3A" w:themeColor="accent3"/>
          <w:bottom w:val="single" w:sz="8" w:space="0" w:color="C0CF3A" w:themeColor="accent3"/>
          <w:right w:val="single" w:sz="8" w:space="0" w:color="C0CF3A"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029676" w:themeColor="accent4"/>
        <w:left w:val="single" w:sz="8" w:space="0" w:color="029676" w:themeColor="accent4"/>
        <w:bottom w:val="single" w:sz="8" w:space="0" w:color="029676" w:themeColor="accent4"/>
        <w:right w:val="single" w:sz="8" w:space="0" w:color="029676" w:themeColor="accent4"/>
      </w:tblBorders>
    </w:tblPr>
    <w:tblStylePr w:type="firstRow">
      <w:pPr>
        <w:spacing w:before="0" w:after="0" w:line="240" w:lineRule="auto"/>
      </w:pPr>
      <w:rPr>
        <w:b/>
        <w:bCs/>
        <w:color w:val="FFFFFF" w:themeColor="background1"/>
      </w:rPr>
      <w:tblPr/>
      <w:tcPr>
        <w:shd w:val="clear" w:color="auto" w:fill="029676" w:themeFill="accent4"/>
      </w:tcPr>
    </w:tblStylePr>
    <w:tblStylePr w:type="lastRow">
      <w:pPr>
        <w:spacing w:before="0" w:after="0" w:line="240" w:lineRule="auto"/>
      </w:pPr>
      <w:rPr>
        <w:b/>
        <w:bCs/>
      </w:rPr>
      <w:tblPr/>
      <w:tcPr>
        <w:tcBorders>
          <w:top w:val="double" w:sz="6" w:space="0" w:color="029676" w:themeColor="accent4"/>
          <w:left w:val="single" w:sz="8" w:space="0" w:color="029676" w:themeColor="accent4"/>
          <w:bottom w:val="single" w:sz="8" w:space="0" w:color="029676" w:themeColor="accent4"/>
          <w:right w:val="single" w:sz="8" w:space="0" w:color="029676" w:themeColor="accent4"/>
        </w:tcBorders>
      </w:tcPr>
    </w:tblStylePr>
    <w:tblStylePr w:type="firstCol">
      <w:rPr>
        <w:b/>
        <w:bCs/>
      </w:rPr>
    </w:tblStylePr>
    <w:tblStylePr w:type="lastCol">
      <w:rPr>
        <w:b/>
        <w:bCs/>
      </w:rPr>
    </w:tblStylePr>
    <w:tblStylePr w:type="band1Vert">
      <w:tblPr/>
      <w:tcPr>
        <w:tcBorders>
          <w:top w:val="single" w:sz="8" w:space="0" w:color="029676" w:themeColor="accent4"/>
          <w:left w:val="single" w:sz="8" w:space="0" w:color="029676" w:themeColor="accent4"/>
          <w:bottom w:val="single" w:sz="8" w:space="0" w:color="029676" w:themeColor="accent4"/>
          <w:right w:val="single" w:sz="8" w:space="0" w:color="029676" w:themeColor="accent4"/>
        </w:tcBorders>
      </w:tcPr>
    </w:tblStylePr>
    <w:tblStylePr w:type="band1Horz">
      <w:tblPr/>
      <w:tcPr>
        <w:tcBorders>
          <w:top w:val="single" w:sz="8" w:space="0" w:color="029676" w:themeColor="accent4"/>
          <w:left w:val="single" w:sz="8" w:space="0" w:color="029676" w:themeColor="accent4"/>
          <w:bottom w:val="single" w:sz="8" w:space="0" w:color="029676" w:themeColor="accent4"/>
          <w:right w:val="single" w:sz="8" w:space="0" w:color="029676"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AB5C4" w:themeColor="accent5"/>
        <w:left w:val="single" w:sz="8" w:space="0" w:color="4AB5C4" w:themeColor="accent5"/>
        <w:bottom w:val="single" w:sz="8" w:space="0" w:color="4AB5C4" w:themeColor="accent5"/>
        <w:right w:val="single" w:sz="8" w:space="0" w:color="4AB5C4" w:themeColor="accent5"/>
      </w:tblBorders>
    </w:tblPr>
    <w:tblStylePr w:type="firstRow">
      <w:pPr>
        <w:spacing w:before="0" w:after="0" w:line="240" w:lineRule="auto"/>
      </w:pPr>
      <w:rPr>
        <w:b/>
        <w:bCs/>
        <w:color w:val="FFFFFF" w:themeColor="background1"/>
      </w:rPr>
      <w:tblPr/>
      <w:tcPr>
        <w:shd w:val="clear" w:color="auto" w:fill="4AB5C4" w:themeFill="accent5"/>
      </w:tcPr>
    </w:tblStylePr>
    <w:tblStylePr w:type="lastRow">
      <w:pPr>
        <w:spacing w:before="0" w:after="0" w:line="240" w:lineRule="auto"/>
      </w:pPr>
      <w:rPr>
        <w:b/>
        <w:bCs/>
      </w:rPr>
      <w:tblPr/>
      <w:tcPr>
        <w:tcBorders>
          <w:top w:val="double" w:sz="6" w:space="0" w:color="4AB5C4" w:themeColor="accent5"/>
          <w:left w:val="single" w:sz="8" w:space="0" w:color="4AB5C4" w:themeColor="accent5"/>
          <w:bottom w:val="single" w:sz="8" w:space="0" w:color="4AB5C4" w:themeColor="accent5"/>
          <w:right w:val="single" w:sz="8" w:space="0" w:color="4AB5C4" w:themeColor="accent5"/>
        </w:tcBorders>
      </w:tcPr>
    </w:tblStylePr>
    <w:tblStylePr w:type="firstCol">
      <w:rPr>
        <w:b/>
        <w:bCs/>
      </w:rPr>
    </w:tblStylePr>
    <w:tblStylePr w:type="lastCol">
      <w:rPr>
        <w:b/>
        <w:bCs/>
      </w:rPr>
    </w:tblStylePr>
    <w:tblStylePr w:type="band1Vert">
      <w:tblPr/>
      <w:tcPr>
        <w:tcBorders>
          <w:top w:val="single" w:sz="8" w:space="0" w:color="4AB5C4" w:themeColor="accent5"/>
          <w:left w:val="single" w:sz="8" w:space="0" w:color="4AB5C4" w:themeColor="accent5"/>
          <w:bottom w:val="single" w:sz="8" w:space="0" w:color="4AB5C4" w:themeColor="accent5"/>
          <w:right w:val="single" w:sz="8" w:space="0" w:color="4AB5C4" w:themeColor="accent5"/>
        </w:tcBorders>
      </w:tcPr>
    </w:tblStylePr>
    <w:tblStylePr w:type="band1Horz">
      <w:tblPr/>
      <w:tcPr>
        <w:tcBorders>
          <w:top w:val="single" w:sz="8" w:space="0" w:color="4AB5C4" w:themeColor="accent5"/>
          <w:left w:val="single" w:sz="8" w:space="0" w:color="4AB5C4" w:themeColor="accent5"/>
          <w:bottom w:val="single" w:sz="8" w:space="0" w:color="4AB5C4" w:themeColor="accent5"/>
          <w:right w:val="single" w:sz="8" w:space="0" w:color="4AB5C4"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0989B1" w:themeColor="accent6"/>
        <w:left w:val="single" w:sz="8" w:space="0" w:color="0989B1" w:themeColor="accent6"/>
        <w:bottom w:val="single" w:sz="8" w:space="0" w:color="0989B1" w:themeColor="accent6"/>
        <w:right w:val="single" w:sz="8" w:space="0" w:color="0989B1" w:themeColor="accent6"/>
      </w:tblBorders>
    </w:tblPr>
    <w:tblStylePr w:type="firstRow">
      <w:pPr>
        <w:spacing w:before="0" w:after="0" w:line="240" w:lineRule="auto"/>
      </w:pPr>
      <w:rPr>
        <w:b/>
        <w:bCs/>
        <w:color w:val="FFFFFF" w:themeColor="background1"/>
      </w:rPr>
      <w:tblPr/>
      <w:tcPr>
        <w:shd w:val="clear" w:color="auto" w:fill="0989B1" w:themeFill="accent6"/>
      </w:tcPr>
    </w:tblStylePr>
    <w:tblStylePr w:type="lastRow">
      <w:pPr>
        <w:spacing w:before="0" w:after="0" w:line="240" w:lineRule="auto"/>
      </w:pPr>
      <w:rPr>
        <w:b/>
        <w:bCs/>
      </w:rPr>
      <w:tblPr/>
      <w:tcPr>
        <w:tcBorders>
          <w:top w:val="double" w:sz="6" w:space="0" w:color="0989B1" w:themeColor="accent6"/>
          <w:left w:val="single" w:sz="8" w:space="0" w:color="0989B1" w:themeColor="accent6"/>
          <w:bottom w:val="single" w:sz="8" w:space="0" w:color="0989B1" w:themeColor="accent6"/>
          <w:right w:val="single" w:sz="8" w:space="0" w:color="0989B1" w:themeColor="accent6"/>
        </w:tcBorders>
      </w:tcPr>
    </w:tblStylePr>
    <w:tblStylePr w:type="firstCol">
      <w:rPr>
        <w:b/>
        <w:bCs/>
      </w:rPr>
    </w:tblStylePr>
    <w:tblStylePr w:type="lastCol">
      <w:rPr>
        <w:b/>
        <w:bCs/>
      </w:rPr>
    </w:tblStylePr>
    <w:tblStylePr w:type="band1Vert">
      <w:tblPr/>
      <w:tcPr>
        <w:tcBorders>
          <w:top w:val="single" w:sz="8" w:space="0" w:color="0989B1" w:themeColor="accent6"/>
          <w:left w:val="single" w:sz="8" w:space="0" w:color="0989B1" w:themeColor="accent6"/>
          <w:bottom w:val="single" w:sz="8" w:space="0" w:color="0989B1" w:themeColor="accent6"/>
          <w:right w:val="single" w:sz="8" w:space="0" w:color="0989B1" w:themeColor="accent6"/>
        </w:tcBorders>
      </w:tcPr>
    </w:tblStylePr>
    <w:tblStylePr w:type="band1Horz">
      <w:tblPr/>
      <w:tcPr>
        <w:tcBorders>
          <w:top w:val="single" w:sz="8" w:space="0" w:color="0989B1" w:themeColor="accent6"/>
          <w:left w:val="single" w:sz="8" w:space="0" w:color="0989B1" w:themeColor="accent6"/>
          <w:bottom w:val="single" w:sz="8" w:space="0" w:color="0989B1" w:themeColor="accent6"/>
          <w:right w:val="single" w:sz="8" w:space="0" w:color="0989B1"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549E39" w:themeColor="accent1"/>
        <w:left w:val="single" w:sz="8" w:space="0" w:color="549E39" w:themeColor="accent1"/>
        <w:bottom w:val="single" w:sz="8" w:space="0" w:color="549E39" w:themeColor="accent1"/>
        <w:right w:val="single" w:sz="8" w:space="0" w:color="549E39" w:themeColor="accent1"/>
        <w:insideH w:val="single" w:sz="8" w:space="0" w:color="549E39" w:themeColor="accent1"/>
        <w:insideV w:val="single" w:sz="8" w:space="0" w:color="549E39"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49E39" w:themeColor="accent1"/>
          <w:left w:val="single" w:sz="8" w:space="0" w:color="549E39" w:themeColor="accent1"/>
          <w:bottom w:val="single" w:sz="18" w:space="0" w:color="549E39" w:themeColor="accent1"/>
          <w:right w:val="single" w:sz="8" w:space="0" w:color="549E39" w:themeColor="accent1"/>
          <w:insideH w:val="nil"/>
          <w:insideV w:val="single" w:sz="8" w:space="0" w:color="549E39"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49E39" w:themeColor="accent1"/>
          <w:left w:val="single" w:sz="8" w:space="0" w:color="549E39" w:themeColor="accent1"/>
          <w:bottom w:val="single" w:sz="8" w:space="0" w:color="549E39" w:themeColor="accent1"/>
          <w:right w:val="single" w:sz="8" w:space="0" w:color="549E39" w:themeColor="accent1"/>
          <w:insideH w:val="nil"/>
          <w:insideV w:val="single" w:sz="8" w:space="0" w:color="549E39"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49E39" w:themeColor="accent1"/>
          <w:left w:val="single" w:sz="8" w:space="0" w:color="549E39" w:themeColor="accent1"/>
          <w:bottom w:val="single" w:sz="8" w:space="0" w:color="549E39" w:themeColor="accent1"/>
          <w:right w:val="single" w:sz="8" w:space="0" w:color="549E39" w:themeColor="accent1"/>
        </w:tcBorders>
      </w:tcPr>
    </w:tblStylePr>
    <w:tblStylePr w:type="band1Vert">
      <w:tblPr/>
      <w:tcPr>
        <w:tcBorders>
          <w:top w:val="single" w:sz="8" w:space="0" w:color="549E39" w:themeColor="accent1"/>
          <w:left w:val="single" w:sz="8" w:space="0" w:color="549E39" w:themeColor="accent1"/>
          <w:bottom w:val="single" w:sz="8" w:space="0" w:color="549E39" w:themeColor="accent1"/>
          <w:right w:val="single" w:sz="8" w:space="0" w:color="549E39" w:themeColor="accent1"/>
        </w:tcBorders>
        <w:shd w:val="clear" w:color="auto" w:fill="D2EBC9" w:themeFill="accent1" w:themeFillTint="3F"/>
      </w:tcPr>
    </w:tblStylePr>
    <w:tblStylePr w:type="band1Horz">
      <w:tblPr/>
      <w:tcPr>
        <w:tcBorders>
          <w:top w:val="single" w:sz="8" w:space="0" w:color="549E39" w:themeColor="accent1"/>
          <w:left w:val="single" w:sz="8" w:space="0" w:color="549E39" w:themeColor="accent1"/>
          <w:bottom w:val="single" w:sz="8" w:space="0" w:color="549E39" w:themeColor="accent1"/>
          <w:right w:val="single" w:sz="8" w:space="0" w:color="549E39" w:themeColor="accent1"/>
          <w:insideV w:val="single" w:sz="8" w:space="0" w:color="549E39" w:themeColor="accent1"/>
        </w:tcBorders>
        <w:shd w:val="clear" w:color="auto" w:fill="D2EBC9" w:themeFill="accent1" w:themeFillTint="3F"/>
      </w:tcPr>
    </w:tblStylePr>
    <w:tblStylePr w:type="band2Horz">
      <w:tblPr/>
      <w:tcPr>
        <w:tcBorders>
          <w:top w:val="single" w:sz="8" w:space="0" w:color="549E39" w:themeColor="accent1"/>
          <w:left w:val="single" w:sz="8" w:space="0" w:color="549E39" w:themeColor="accent1"/>
          <w:bottom w:val="single" w:sz="8" w:space="0" w:color="549E39" w:themeColor="accent1"/>
          <w:right w:val="single" w:sz="8" w:space="0" w:color="549E39" w:themeColor="accent1"/>
          <w:insideV w:val="single" w:sz="8" w:space="0" w:color="549E39"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8AB833" w:themeColor="accent2"/>
        <w:left w:val="single" w:sz="8" w:space="0" w:color="8AB833" w:themeColor="accent2"/>
        <w:bottom w:val="single" w:sz="8" w:space="0" w:color="8AB833" w:themeColor="accent2"/>
        <w:right w:val="single" w:sz="8" w:space="0" w:color="8AB833" w:themeColor="accent2"/>
        <w:insideH w:val="single" w:sz="8" w:space="0" w:color="8AB833" w:themeColor="accent2"/>
        <w:insideV w:val="single" w:sz="8" w:space="0" w:color="8AB833"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AB833" w:themeColor="accent2"/>
          <w:left w:val="single" w:sz="8" w:space="0" w:color="8AB833" w:themeColor="accent2"/>
          <w:bottom w:val="single" w:sz="18" w:space="0" w:color="8AB833" w:themeColor="accent2"/>
          <w:right w:val="single" w:sz="8" w:space="0" w:color="8AB833" w:themeColor="accent2"/>
          <w:insideH w:val="nil"/>
          <w:insideV w:val="single" w:sz="8" w:space="0" w:color="8AB833"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AB833" w:themeColor="accent2"/>
          <w:left w:val="single" w:sz="8" w:space="0" w:color="8AB833" w:themeColor="accent2"/>
          <w:bottom w:val="single" w:sz="8" w:space="0" w:color="8AB833" w:themeColor="accent2"/>
          <w:right w:val="single" w:sz="8" w:space="0" w:color="8AB833" w:themeColor="accent2"/>
          <w:insideH w:val="nil"/>
          <w:insideV w:val="single" w:sz="8" w:space="0" w:color="8AB833"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AB833" w:themeColor="accent2"/>
          <w:left w:val="single" w:sz="8" w:space="0" w:color="8AB833" w:themeColor="accent2"/>
          <w:bottom w:val="single" w:sz="8" w:space="0" w:color="8AB833" w:themeColor="accent2"/>
          <w:right w:val="single" w:sz="8" w:space="0" w:color="8AB833" w:themeColor="accent2"/>
        </w:tcBorders>
      </w:tcPr>
    </w:tblStylePr>
    <w:tblStylePr w:type="band1Vert">
      <w:tblPr/>
      <w:tcPr>
        <w:tcBorders>
          <w:top w:val="single" w:sz="8" w:space="0" w:color="8AB833" w:themeColor="accent2"/>
          <w:left w:val="single" w:sz="8" w:space="0" w:color="8AB833" w:themeColor="accent2"/>
          <w:bottom w:val="single" w:sz="8" w:space="0" w:color="8AB833" w:themeColor="accent2"/>
          <w:right w:val="single" w:sz="8" w:space="0" w:color="8AB833" w:themeColor="accent2"/>
        </w:tcBorders>
        <w:shd w:val="clear" w:color="auto" w:fill="E2F0C9" w:themeFill="accent2" w:themeFillTint="3F"/>
      </w:tcPr>
    </w:tblStylePr>
    <w:tblStylePr w:type="band1Horz">
      <w:tblPr/>
      <w:tcPr>
        <w:tcBorders>
          <w:top w:val="single" w:sz="8" w:space="0" w:color="8AB833" w:themeColor="accent2"/>
          <w:left w:val="single" w:sz="8" w:space="0" w:color="8AB833" w:themeColor="accent2"/>
          <w:bottom w:val="single" w:sz="8" w:space="0" w:color="8AB833" w:themeColor="accent2"/>
          <w:right w:val="single" w:sz="8" w:space="0" w:color="8AB833" w:themeColor="accent2"/>
          <w:insideV w:val="single" w:sz="8" w:space="0" w:color="8AB833" w:themeColor="accent2"/>
        </w:tcBorders>
        <w:shd w:val="clear" w:color="auto" w:fill="E2F0C9" w:themeFill="accent2" w:themeFillTint="3F"/>
      </w:tcPr>
    </w:tblStylePr>
    <w:tblStylePr w:type="band2Horz">
      <w:tblPr/>
      <w:tcPr>
        <w:tcBorders>
          <w:top w:val="single" w:sz="8" w:space="0" w:color="8AB833" w:themeColor="accent2"/>
          <w:left w:val="single" w:sz="8" w:space="0" w:color="8AB833" w:themeColor="accent2"/>
          <w:bottom w:val="single" w:sz="8" w:space="0" w:color="8AB833" w:themeColor="accent2"/>
          <w:right w:val="single" w:sz="8" w:space="0" w:color="8AB833" w:themeColor="accent2"/>
          <w:insideV w:val="single" w:sz="8" w:space="0" w:color="8AB833"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C0CF3A" w:themeColor="accent3"/>
        <w:left w:val="single" w:sz="8" w:space="0" w:color="C0CF3A" w:themeColor="accent3"/>
        <w:bottom w:val="single" w:sz="8" w:space="0" w:color="C0CF3A" w:themeColor="accent3"/>
        <w:right w:val="single" w:sz="8" w:space="0" w:color="C0CF3A" w:themeColor="accent3"/>
        <w:insideH w:val="single" w:sz="8" w:space="0" w:color="C0CF3A" w:themeColor="accent3"/>
        <w:insideV w:val="single" w:sz="8" w:space="0" w:color="C0CF3A"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CF3A" w:themeColor="accent3"/>
          <w:left w:val="single" w:sz="8" w:space="0" w:color="C0CF3A" w:themeColor="accent3"/>
          <w:bottom w:val="single" w:sz="18" w:space="0" w:color="C0CF3A" w:themeColor="accent3"/>
          <w:right w:val="single" w:sz="8" w:space="0" w:color="C0CF3A" w:themeColor="accent3"/>
          <w:insideH w:val="nil"/>
          <w:insideV w:val="single" w:sz="8" w:space="0" w:color="C0CF3A"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CF3A" w:themeColor="accent3"/>
          <w:left w:val="single" w:sz="8" w:space="0" w:color="C0CF3A" w:themeColor="accent3"/>
          <w:bottom w:val="single" w:sz="8" w:space="0" w:color="C0CF3A" w:themeColor="accent3"/>
          <w:right w:val="single" w:sz="8" w:space="0" w:color="C0CF3A" w:themeColor="accent3"/>
          <w:insideH w:val="nil"/>
          <w:insideV w:val="single" w:sz="8" w:space="0" w:color="C0CF3A"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CF3A" w:themeColor="accent3"/>
          <w:left w:val="single" w:sz="8" w:space="0" w:color="C0CF3A" w:themeColor="accent3"/>
          <w:bottom w:val="single" w:sz="8" w:space="0" w:color="C0CF3A" w:themeColor="accent3"/>
          <w:right w:val="single" w:sz="8" w:space="0" w:color="C0CF3A" w:themeColor="accent3"/>
        </w:tcBorders>
      </w:tcPr>
    </w:tblStylePr>
    <w:tblStylePr w:type="band1Vert">
      <w:tblPr/>
      <w:tcPr>
        <w:tcBorders>
          <w:top w:val="single" w:sz="8" w:space="0" w:color="C0CF3A" w:themeColor="accent3"/>
          <w:left w:val="single" w:sz="8" w:space="0" w:color="C0CF3A" w:themeColor="accent3"/>
          <w:bottom w:val="single" w:sz="8" w:space="0" w:color="C0CF3A" w:themeColor="accent3"/>
          <w:right w:val="single" w:sz="8" w:space="0" w:color="C0CF3A" w:themeColor="accent3"/>
        </w:tcBorders>
        <w:shd w:val="clear" w:color="auto" w:fill="EFF3CE" w:themeFill="accent3" w:themeFillTint="3F"/>
      </w:tcPr>
    </w:tblStylePr>
    <w:tblStylePr w:type="band1Horz">
      <w:tblPr/>
      <w:tcPr>
        <w:tcBorders>
          <w:top w:val="single" w:sz="8" w:space="0" w:color="C0CF3A" w:themeColor="accent3"/>
          <w:left w:val="single" w:sz="8" w:space="0" w:color="C0CF3A" w:themeColor="accent3"/>
          <w:bottom w:val="single" w:sz="8" w:space="0" w:color="C0CF3A" w:themeColor="accent3"/>
          <w:right w:val="single" w:sz="8" w:space="0" w:color="C0CF3A" w:themeColor="accent3"/>
          <w:insideV w:val="single" w:sz="8" w:space="0" w:color="C0CF3A" w:themeColor="accent3"/>
        </w:tcBorders>
        <w:shd w:val="clear" w:color="auto" w:fill="EFF3CE" w:themeFill="accent3" w:themeFillTint="3F"/>
      </w:tcPr>
    </w:tblStylePr>
    <w:tblStylePr w:type="band2Horz">
      <w:tblPr/>
      <w:tcPr>
        <w:tcBorders>
          <w:top w:val="single" w:sz="8" w:space="0" w:color="C0CF3A" w:themeColor="accent3"/>
          <w:left w:val="single" w:sz="8" w:space="0" w:color="C0CF3A" w:themeColor="accent3"/>
          <w:bottom w:val="single" w:sz="8" w:space="0" w:color="C0CF3A" w:themeColor="accent3"/>
          <w:right w:val="single" w:sz="8" w:space="0" w:color="C0CF3A" w:themeColor="accent3"/>
          <w:insideV w:val="single" w:sz="8" w:space="0" w:color="C0CF3A"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029676" w:themeColor="accent4"/>
        <w:left w:val="single" w:sz="8" w:space="0" w:color="029676" w:themeColor="accent4"/>
        <w:bottom w:val="single" w:sz="8" w:space="0" w:color="029676" w:themeColor="accent4"/>
        <w:right w:val="single" w:sz="8" w:space="0" w:color="029676" w:themeColor="accent4"/>
        <w:insideH w:val="single" w:sz="8" w:space="0" w:color="029676" w:themeColor="accent4"/>
        <w:insideV w:val="single" w:sz="8" w:space="0" w:color="029676"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29676" w:themeColor="accent4"/>
          <w:left w:val="single" w:sz="8" w:space="0" w:color="029676" w:themeColor="accent4"/>
          <w:bottom w:val="single" w:sz="18" w:space="0" w:color="029676" w:themeColor="accent4"/>
          <w:right w:val="single" w:sz="8" w:space="0" w:color="029676" w:themeColor="accent4"/>
          <w:insideH w:val="nil"/>
          <w:insideV w:val="single" w:sz="8" w:space="0" w:color="029676"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29676" w:themeColor="accent4"/>
          <w:left w:val="single" w:sz="8" w:space="0" w:color="029676" w:themeColor="accent4"/>
          <w:bottom w:val="single" w:sz="8" w:space="0" w:color="029676" w:themeColor="accent4"/>
          <w:right w:val="single" w:sz="8" w:space="0" w:color="029676" w:themeColor="accent4"/>
          <w:insideH w:val="nil"/>
          <w:insideV w:val="single" w:sz="8" w:space="0" w:color="029676"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29676" w:themeColor="accent4"/>
          <w:left w:val="single" w:sz="8" w:space="0" w:color="029676" w:themeColor="accent4"/>
          <w:bottom w:val="single" w:sz="8" w:space="0" w:color="029676" w:themeColor="accent4"/>
          <w:right w:val="single" w:sz="8" w:space="0" w:color="029676" w:themeColor="accent4"/>
        </w:tcBorders>
      </w:tcPr>
    </w:tblStylePr>
    <w:tblStylePr w:type="band1Vert">
      <w:tblPr/>
      <w:tcPr>
        <w:tcBorders>
          <w:top w:val="single" w:sz="8" w:space="0" w:color="029676" w:themeColor="accent4"/>
          <w:left w:val="single" w:sz="8" w:space="0" w:color="029676" w:themeColor="accent4"/>
          <w:bottom w:val="single" w:sz="8" w:space="0" w:color="029676" w:themeColor="accent4"/>
          <w:right w:val="single" w:sz="8" w:space="0" w:color="029676" w:themeColor="accent4"/>
        </w:tcBorders>
        <w:shd w:val="clear" w:color="auto" w:fill="A7FDEA" w:themeFill="accent4" w:themeFillTint="3F"/>
      </w:tcPr>
    </w:tblStylePr>
    <w:tblStylePr w:type="band1Horz">
      <w:tblPr/>
      <w:tcPr>
        <w:tcBorders>
          <w:top w:val="single" w:sz="8" w:space="0" w:color="029676" w:themeColor="accent4"/>
          <w:left w:val="single" w:sz="8" w:space="0" w:color="029676" w:themeColor="accent4"/>
          <w:bottom w:val="single" w:sz="8" w:space="0" w:color="029676" w:themeColor="accent4"/>
          <w:right w:val="single" w:sz="8" w:space="0" w:color="029676" w:themeColor="accent4"/>
          <w:insideV w:val="single" w:sz="8" w:space="0" w:color="029676" w:themeColor="accent4"/>
        </w:tcBorders>
        <w:shd w:val="clear" w:color="auto" w:fill="A7FDEA" w:themeFill="accent4" w:themeFillTint="3F"/>
      </w:tcPr>
    </w:tblStylePr>
    <w:tblStylePr w:type="band2Horz">
      <w:tblPr/>
      <w:tcPr>
        <w:tcBorders>
          <w:top w:val="single" w:sz="8" w:space="0" w:color="029676" w:themeColor="accent4"/>
          <w:left w:val="single" w:sz="8" w:space="0" w:color="029676" w:themeColor="accent4"/>
          <w:bottom w:val="single" w:sz="8" w:space="0" w:color="029676" w:themeColor="accent4"/>
          <w:right w:val="single" w:sz="8" w:space="0" w:color="029676" w:themeColor="accent4"/>
          <w:insideV w:val="single" w:sz="8" w:space="0" w:color="029676"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AB5C4" w:themeColor="accent5"/>
        <w:left w:val="single" w:sz="8" w:space="0" w:color="4AB5C4" w:themeColor="accent5"/>
        <w:bottom w:val="single" w:sz="8" w:space="0" w:color="4AB5C4" w:themeColor="accent5"/>
        <w:right w:val="single" w:sz="8" w:space="0" w:color="4AB5C4" w:themeColor="accent5"/>
        <w:insideH w:val="single" w:sz="8" w:space="0" w:color="4AB5C4" w:themeColor="accent5"/>
        <w:insideV w:val="single" w:sz="8" w:space="0" w:color="4AB5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AB5C4" w:themeColor="accent5"/>
          <w:left w:val="single" w:sz="8" w:space="0" w:color="4AB5C4" w:themeColor="accent5"/>
          <w:bottom w:val="single" w:sz="18" w:space="0" w:color="4AB5C4" w:themeColor="accent5"/>
          <w:right w:val="single" w:sz="8" w:space="0" w:color="4AB5C4" w:themeColor="accent5"/>
          <w:insideH w:val="nil"/>
          <w:insideV w:val="single" w:sz="8" w:space="0" w:color="4AB5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AB5C4" w:themeColor="accent5"/>
          <w:left w:val="single" w:sz="8" w:space="0" w:color="4AB5C4" w:themeColor="accent5"/>
          <w:bottom w:val="single" w:sz="8" w:space="0" w:color="4AB5C4" w:themeColor="accent5"/>
          <w:right w:val="single" w:sz="8" w:space="0" w:color="4AB5C4" w:themeColor="accent5"/>
          <w:insideH w:val="nil"/>
          <w:insideV w:val="single" w:sz="8" w:space="0" w:color="4AB5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AB5C4" w:themeColor="accent5"/>
          <w:left w:val="single" w:sz="8" w:space="0" w:color="4AB5C4" w:themeColor="accent5"/>
          <w:bottom w:val="single" w:sz="8" w:space="0" w:color="4AB5C4" w:themeColor="accent5"/>
          <w:right w:val="single" w:sz="8" w:space="0" w:color="4AB5C4" w:themeColor="accent5"/>
        </w:tcBorders>
      </w:tcPr>
    </w:tblStylePr>
    <w:tblStylePr w:type="band1Vert">
      <w:tblPr/>
      <w:tcPr>
        <w:tcBorders>
          <w:top w:val="single" w:sz="8" w:space="0" w:color="4AB5C4" w:themeColor="accent5"/>
          <w:left w:val="single" w:sz="8" w:space="0" w:color="4AB5C4" w:themeColor="accent5"/>
          <w:bottom w:val="single" w:sz="8" w:space="0" w:color="4AB5C4" w:themeColor="accent5"/>
          <w:right w:val="single" w:sz="8" w:space="0" w:color="4AB5C4" w:themeColor="accent5"/>
        </w:tcBorders>
        <w:shd w:val="clear" w:color="auto" w:fill="D2ECF0" w:themeFill="accent5" w:themeFillTint="3F"/>
      </w:tcPr>
    </w:tblStylePr>
    <w:tblStylePr w:type="band1Horz">
      <w:tblPr/>
      <w:tcPr>
        <w:tcBorders>
          <w:top w:val="single" w:sz="8" w:space="0" w:color="4AB5C4" w:themeColor="accent5"/>
          <w:left w:val="single" w:sz="8" w:space="0" w:color="4AB5C4" w:themeColor="accent5"/>
          <w:bottom w:val="single" w:sz="8" w:space="0" w:color="4AB5C4" w:themeColor="accent5"/>
          <w:right w:val="single" w:sz="8" w:space="0" w:color="4AB5C4" w:themeColor="accent5"/>
          <w:insideV w:val="single" w:sz="8" w:space="0" w:color="4AB5C4" w:themeColor="accent5"/>
        </w:tcBorders>
        <w:shd w:val="clear" w:color="auto" w:fill="D2ECF0" w:themeFill="accent5" w:themeFillTint="3F"/>
      </w:tcPr>
    </w:tblStylePr>
    <w:tblStylePr w:type="band2Horz">
      <w:tblPr/>
      <w:tcPr>
        <w:tcBorders>
          <w:top w:val="single" w:sz="8" w:space="0" w:color="4AB5C4" w:themeColor="accent5"/>
          <w:left w:val="single" w:sz="8" w:space="0" w:color="4AB5C4" w:themeColor="accent5"/>
          <w:bottom w:val="single" w:sz="8" w:space="0" w:color="4AB5C4" w:themeColor="accent5"/>
          <w:right w:val="single" w:sz="8" w:space="0" w:color="4AB5C4" w:themeColor="accent5"/>
          <w:insideV w:val="single" w:sz="8" w:space="0" w:color="4AB5C4"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0989B1" w:themeColor="accent6"/>
        <w:left w:val="single" w:sz="8" w:space="0" w:color="0989B1" w:themeColor="accent6"/>
        <w:bottom w:val="single" w:sz="8" w:space="0" w:color="0989B1" w:themeColor="accent6"/>
        <w:right w:val="single" w:sz="8" w:space="0" w:color="0989B1" w:themeColor="accent6"/>
        <w:insideH w:val="single" w:sz="8" w:space="0" w:color="0989B1" w:themeColor="accent6"/>
        <w:insideV w:val="single" w:sz="8" w:space="0" w:color="0989B1"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989B1" w:themeColor="accent6"/>
          <w:left w:val="single" w:sz="8" w:space="0" w:color="0989B1" w:themeColor="accent6"/>
          <w:bottom w:val="single" w:sz="18" w:space="0" w:color="0989B1" w:themeColor="accent6"/>
          <w:right w:val="single" w:sz="8" w:space="0" w:color="0989B1" w:themeColor="accent6"/>
          <w:insideH w:val="nil"/>
          <w:insideV w:val="single" w:sz="8" w:space="0" w:color="0989B1"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989B1" w:themeColor="accent6"/>
          <w:left w:val="single" w:sz="8" w:space="0" w:color="0989B1" w:themeColor="accent6"/>
          <w:bottom w:val="single" w:sz="8" w:space="0" w:color="0989B1" w:themeColor="accent6"/>
          <w:right w:val="single" w:sz="8" w:space="0" w:color="0989B1" w:themeColor="accent6"/>
          <w:insideH w:val="nil"/>
          <w:insideV w:val="single" w:sz="8" w:space="0" w:color="0989B1"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989B1" w:themeColor="accent6"/>
          <w:left w:val="single" w:sz="8" w:space="0" w:color="0989B1" w:themeColor="accent6"/>
          <w:bottom w:val="single" w:sz="8" w:space="0" w:color="0989B1" w:themeColor="accent6"/>
          <w:right w:val="single" w:sz="8" w:space="0" w:color="0989B1" w:themeColor="accent6"/>
        </w:tcBorders>
      </w:tcPr>
    </w:tblStylePr>
    <w:tblStylePr w:type="band1Vert">
      <w:tblPr/>
      <w:tcPr>
        <w:tcBorders>
          <w:top w:val="single" w:sz="8" w:space="0" w:color="0989B1" w:themeColor="accent6"/>
          <w:left w:val="single" w:sz="8" w:space="0" w:color="0989B1" w:themeColor="accent6"/>
          <w:bottom w:val="single" w:sz="8" w:space="0" w:color="0989B1" w:themeColor="accent6"/>
          <w:right w:val="single" w:sz="8" w:space="0" w:color="0989B1" w:themeColor="accent6"/>
        </w:tcBorders>
        <w:shd w:val="clear" w:color="auto" w:fill="B2E9FB" w:themeFill="accent6" w:themeFillTint="3F"/>
      </w:tcPr>
    </w:tblStylePr>
    <w:tblStylePr w:type="band1Horz">
      <w:tblPr/>
      <w:tcPr>
        <w:tcBorders>
          <w:top w:val="single" w:sz="8" w:space="0" w:color="0989B1" w:themeColor="accent6"/>
          <w:left w:val="single" w:sz="8" w:space="0" w:color="0989B1" w:themeColor="accent6"/>
          <w:bottom w:val="single" w:sz="8" w:space="0" w:color="0989B1" w:themeColor="accent6"/>
          <w:right w:val="single" w:sz="8" w:space="0" w:color="0989B1" w:themeColor="accent6"/>
          <w:insideV w:val="single" w:sz="8" w:space="0" w:color="0989B1" w:themeColor="accent6"/>
        </w:tcBorders>
        <w:shd w:val="clear" w:color="auto" w:fill="B2E9FB" w:themeFill="accent6" w:themeFillTint="3F"/>
      </w:tcPr>
    </w:tblStylePr>
    <w:tblStylePr w:type="band2Horz">
      <w:tblPr/>
      <w:tcPr>
        <w:tcBorders>
          <w:top w:val="single" w:sz="8" w:space="0" w:color="0989B1" w:themeColor="accent6"/>
          <w:left w:val="single" w:sz="8" w:space="0" w:color="0989B1" w:themeColor="accent6"/>
          <w:bottom w:val="single" w:sz="8" w:space="0" w:color="0989B1" w:themeColor="accent6"/>
          <w:right w:val="single" w:sz="8" w:space="0" w:color="0989B1" w:themeColor="accent6"/>
          <w:insideV w:val="single" w:sz="8" w:space="0" w:color="0989B1"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8C45C" w:themeColor="accent1" w:themeTint="BF"/>
        <w:left w:val="single" w:sz="8" w:space="0" w:color="78C45C" w:themeColor="accent1" w:themeTint="BF"/>
        <w:bottom w:val="single" w:sz="8" w:space="0" w:color="78C45C" w:themeColor="accent1" w:themeTint="BF"/>
        <w:right w:val="single" w:sz="8" w:space="0" w:color="78C45C" w:themeColor="accent1" w:themeTint="BF"/>
        <w:insideH w:val="single" w:sz="8" w:space="0" w:color="78C45C" w:themeColor="accent1" w:themeTint="BF"/>
      </w:tblBorders>
    </w:tblPr>
    <w:tblStylePr w:type="firstRow">
      <w:pPr>
        <w:spacing w:before="0" w:after="0" w:line="240" w:lineRule="auto"/>
      </w:pPr>
      <w:rPr>
        <w:b/>
        <w:bCs/>
        <w:color w:val="FFFFFF" w:themeColor="background1"/>
      </w:rPr>
      <w:tblPr/>
      <w:tcPr>
        <w:tcBorders>
          <w:top w:val="single" w:sz="8" w:space="0" w:color="78C45C" w:themeColor="accent1" w:themeTint="BF"/>
          <w:left w:val="single" w:sz="8" w:space="0" w:color="78C45C" w:themeColor="accent1" w:themeTint="BF"/>
          <w:bottom w:val="single" w:sz="8" w:space="0" w:color="78C45C" w:themeColor="accent1" w:themeTint="BF"/>
          <w:right w:val="single" w:sz="8" w:space="0" w:color="78C45C" w:themeColor="accent1" w:themeTint="BF"/>
          <w:insideH w:val="nil"/>
          <w:insideV w:val="nil"/>
        </w:tcBorders>
        <w:shd w:val="clear" w:color="auto" w:fill="549E39" w:themeFill="accent1"/>
      </w:tcPr>
    </w:tblStylePr>
    <w:tblStylePr w:type="lastRow">
      <w:pPr>
        <w:spacing w:before="0" w:after="0" w:line="240" w:lineRule="auto"/>
      </w:pPr>
      <w:rPr>
        <w:b/>
        <w:bCs/>
      </w:rPr>
      <w:tblPr/>
      <w:tcPr>
        <w:tcBorders>
          <w:top w:val="double" w:sz="6" w:space="0" w:color="78C45C" w:themeColor="accent1" w:themeTint="BF"/>
          <w:left w:val="single" w:sz="8" w:space="0" w:color="78C45C" w:themeColor="accent1" w:themeTint="BF"/>
          <w:bottom w:val="single" w:sz="8" w:space="0" w:color="78C45C" w:themeColor="accent1" w:themeTint="BF"/>
          <w:right w:val="single" w:sz="8" w:space="0" w:color="78C45C" w:themeColor="accent1" w:themeTint="BF"/>
          <w:insideH w:val="nil"/>
          <w:insideV w:val="nil"/>
        </w:tcBorders>
      </w:tcPr>
    </w:tblStylePr>
    <w:tblStylePr w:type="firstCol">
      <w:rPr>
        <w:b/>
        <w:bCs/>
      </w:rPr>
    </w:tblStylePr>
    <w:tblStylePr w:type="lastCol">
      <w:rPr>
        <w:b/>
        <w:bCs/>
      </w:rPr>
    </w:tblStylePr>
    <w:tblStylePr w:type="band1Vert">
      <w:tblPr/>
      <w:tcPr>
        <w:shd w:val="clear" w:color="auto" w:fill="D2EBC9" w:themeFill="accent1" w:themeFillTint="3F"/>
      </w:tcPr>
    </w:tblStylePr>
    <w:tblStylePr w:type="band1Horz">
      <w:tblPr/>
      <w:tcPr>
        <w:tcBorders>
          <w:insideH w:val="nil"/>
          <w:insideV w:val="nil"/>
        </w:tcBorders>
        <w:shd w:val="clear" w:color="auto" w:fill="D2EBC9"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A9D25D" w:themeColor="accent2" w:themeTint="BF"/>
        <w:left w:val="single" w:sz="8" w:space="0" w:color="A9D25D" w:themeColor="accent2" w:themeTint="BF"/>
        <w:bottom w:val="single" w:sz="8" w:space="0" w:color="A9D25D" w:themeColor="accent2" w:themeTint="BF"/>
        <w:right w:val="single" w:sz="8" w:space="0" w:color="A9D25D" w:themeColor="accent2" w:themeTint="BF"/>
        <w:insideH w:val="single" w:sz="8" w:space="0" w:color="A9D25D" w:themeColor="accent2" w:themeTint="BF"/>
      </w:tblBorders>
    </w:tblPr>
    <w:tblStylePr w:type="firstRow">
      <w:pPr>
        <w:spacing w:before="0" w:after="0" w:line="240" w:lineRule="auto"/>
      </w:pPr>
      <w:rPr>
        <w:b/>
        <w:bCs/>
        <w:color w:val="FFFFFF" w:themeColor="background1"/>
      </w:rPr>
      <w:tblPr/>
      <w:tcPr>
        <w:tcBorders>
          <w:top w:val="single" w:sz="8" w:space="0" w:color="A9D25D" w:themeColor="accent2" w:themeTint="BF"/>
          <w:left w:val="single" w:sz="8" w:space="0" w:color="A9D25D" w:themeColor="accent2" w:themeTint="BF"/>
          <w:bottom w:val="single" w:sz="8" w:space="0" w:color="A9D25D" w:themeColor="accent2" w:themeTint="BF"/>
          <w:right w:val="single" w:sz="8" w:space="0" w:color="A9D25D" w:themeColor="accent2" w:themeTint="BF"/>
          <w:insideH w:val="nil"/>
          <w:insideV w:val="nil"/>
        </w:tcBorders>
        <w:shd w:val="clear" w:color="auto" w:fill="8AB833" w:themeFill="accent2"/>
      </w:tcPr>
    </w:tblStylePr>
    <w:tblStylePr w:type="lastRow">
      <w:pPr>
        <w:spacing w:before="0" w:after="0" w:line="240" w:lineRule="auto"/>
      </w:pPr>
      <w:rPr>
        <w:b/>
        <w:bCs/>
      </w:rPr>
      <w:tblPr/>
      <w:tcPr>
        <w:tcBorders>
          <w:top w:val="double" w:sz="6" w:space="0" w:color="A9D25D" w:themeColor="accent2" w:themeTint="BF"/>
          <w:left w:val="single" w:sz="8" w:space="0" w:color="A9D25D" w:themeColor="accent2" w:themeTint="BF"/>
          <w:bottom w:val="single" w:sz="8" w:space="0" w:color="A9D25D" w:themeColor="accent2" w:themeTint="BF"/>
          <w:right w:val="single" w:sz="8" w:space="0" w:color="A9D25D" w:themeColor="accent2" w:themeTint="BF"/>
          <w:insideH w:val="nil"/>
          <w:insideV w:val="nil"/>
        </w:tcBorders>
      </w:tcPr>
    </w:tblStylePr>
    <w:tblStylePr w:type="firstCol">
      <w:rPr>
        <w:b/>
        <w:bCs/>
      </w:rPr>
    </w:tblStylePr>
    <w:tblStylePr w:type="lastCol">
      <w:rPr>
        <w:b/>
        <w:bCs/>
      </w:rPr>
    </w:tblStylePr>
    <w:tblStylePr w:type="band1Vert">
      <w:tblPr/>
      <w:tcPr>
        <w:shd w:val="clear" w:color="auto" w:fill="E2F0C9" w:themeFill="accent2" w:themeFillTint="3F"/>
      </w:tcPr>
    </w:tblStylePr>
    <w:tblStylePr w:type="band1Horz">
      <w:tblPr/>
      <w:tcPr>
        <w:tcBorders>
          <w:insideH w:val="nil"/>
          <w:insideV w:val="nil"/>
        </w:tcBorders>
        <w:shd w:val="clear" w:color="auto" w:fill="E2F0C9"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CFDB6B" w:themeColor="accent3" w:themeTint="BF"/>
        <w:left w:val="single" w:sz="8" w:space="0" w:color="CFDB6B" w:themeColor="accent3" w:themeTint="BF"/>
        <w:bottom w:val="single" w:sz="8" w:space="0" w:color="CFDB6B" w:themeColor="accent3" w:themeTint="BF"/>
        <w:right w:val="single" w:sz="8" w:space="0" w:color="CFDB6B" w:themeColor="accent3" w:themeTint="BF"/>
        <w:insideH w:val="single" w:sz="8" w:space="0" w:color="CFDB6B" w:themeColor="accent3" w:themeTint="BF"/>
      </w:tblBorders>
    </w:tblPr>
    <w:tblStylePr w:type="firstRow">
      <w:pPr>
        <w:spacing w:before="0" w:after="0" w:line="240" w:lineRule="auto"/>
      </w:pPr>
      <w:rPr>
        <w:b/>
        <w:bCs/>
        <w:color w:val="FFFFFF" w:themeColor="background1"/>
      </w:rPr>
      <w:tblPr/>
      <w:tcPr>
        <w:tcBorders>
          <w:top w:val="single" w:sz="8" w:space="0" w:color="CFDB6B" w:themeColor="accent3" w:themeTint="BF"/>
          <w:left w:val="single" w:sz="8" w:space="0" w:color="CFDB6B" w:themeColor="accent3" w:themeTint="BF"/>
          <w:bottom w:val="single" w:sz="8" w:space="0" w:color="CFDB6B" w:themeColor="accent3" w:themeTint="BF"/>
          <w:right w:val="single" w:sz="8" w:space="0" w:color="CFDB6B" w:themeColor="accent3" w:themeTint="BF"/>
          <w:insideH w:val="nil"/>
          <w:insideV w:val="nil"/>
        </w:tcBorders>
        <w:shd w:val="clear" w:color="auto" w:fill="C0CF3A" w:themeFill="accent3"/>
      </w:tcPr>
    </w:tblStylePr>
    <w:tblStylePr w:type="lastRow">
      <w:pPr>
        <w:spacing w:before="0" w:after="0" w:line="240" w:lineRule="auto"/>
      </w:pPr>
      <w:rPr>
        <w:b/>
        <w:bCs/>
      </w:rPr>
      <w:tblPr/>
      <w:tcPr>
        <w:tcBorders>
          <w:top w:val="double" w:sz="6" w:space="0" w:color="CFDB6B" w:themeColor="accent3" w:themeTint="BF"/>
          <w:left w:val="single" w:sz="8" w:space="0" w:color="CFDB6B" w:themeColor="accent3" w:themeTint="BF"/>
          <w:bottom w:val="single" w:sz="8" w:space="0" w:color="CFDB6B" w:themeColor="accent3" w:themeTint="BF"/>
          <w:right w:val="single" w:sz="8" w:space="0" w:color="CFDB6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FF3CE" w:themeFill="accent3" w:themeFillTint="3F"/>
      </w:tcPr>
    </w:tblStylePr>
    <w:tblStylePr w:type="band1Horz">
      <w:tblPr/>
      <w:tcPr>
        <w:tcBorders>
          <w:insideH w:val="nil"/>
          <w:insideV w:val="nil"/>
        </w:tcBorders>
        <w:shd w:val="clear" w:color="auto" w:fill="EFF3CE"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03EEBA" w:themeColor="accent4" w:themeTint="BF"/>
        <w:left w:val="single" w:sz="8" w:space="0" w:color="03EEBA" w:themeColor="accent4" w:themeTint="BF"/>
        <w:bottom w:val="single" w:sz="8" w:space="0" w:color="03EEBA" w:themeColor="accent4" w:themeTint="BF"/>
        <w:right w:val="single" w:sz="8" w:space="0" w:color="03EEBA" w:themeColor="accent4" w:themeTint="BF"/>
        <w:insideH w:val="single" w:sz="8" w:space="0" w:color="03EEBA" w:themeColor="accent4" w:themeTint="BF"/>
      </w:tblBorders>
    </w:tblPr>
    <w:tblStylePr w:type="firstRow">
      <w:pPr>
        <w:spacing w:before="0" w:after="0" w:line="240" w:lineRule="auto"/>
      </w:pPr>
      <w:rPr>
        <w:b/>
        <w:bCs/>
        <w:color w:val="FFFFFF" w:themeColor="background1"/>
      </w:rPr>
      <w:tblPr/>
      <w:tcPr>
        <w:tcBorders>
          <w:top w:val="single" w:sz="8" w:space="0" w:color="03EEBA" w:themeColor="accent4" w:themeTint="BF"/>
          <w:left w:val="single" w:sz="8" w:space="0" w:color="03EEBA" w:themeColor="accent4" w:themeTint="BF"/>
          <w:bottom w:val="single" w:sz="8" w:space="0" w:color="03EEBA" w:themeColor="accent4" w:themeTint="BF"/>
          <w:right w:val="single" w:sz="8" w:space="0" w:color="03EEBA" w:themeColor="accent4" w:themeTint="BF"/>
          <w:insideH w:val="nil"/>
          <w:insideV w:val="nil"/>
        </w:tcBorders>
        <w:shd w:val="clear" w:color="auto" w:fill="029676" w:themeFill="accent4"/>
      </w:tcPr>
    </w:tblStylePr>
    <w:tblStylePr w:type="lastRow">
      <w:pPr>
        <w:spacing w:before="0" w:after="0" w:line="240" w:lineRule="auto"/>
      </w:pPr>
      <w:rPr>
        <w:b/>
        <w:bCs/>
      </w:rPr>
      <w:tblPr/>
      <w:tcPr>
        <w:tcBorders>
          <w:top w:val="double" w:sz="6" w:space="0" w:color="03EEBA" w:themeColor="accent4" w:themeTint="BF"/>
          <w:left w:val="single" w:sz="8" w:space="0" w:color="03EEBA" w:themeColor="accent4" w:themeTint="BF"/>
          <w:bottom w:val="single" w:sz="8" w:space="0" w:color="03EEBA" w:themeColor="accent4" w:themeTint="BF"/>
          <w:right w:val="single" w:sz="8" w:space="0" w:color="03EEBA" w:themeColor="accent4" w:themeTint="BF"/>
          <w:insideH w:val="nil"/>
          <w:insideV w:val="nil"/>
        </w:tcBorders>
      </w:tcPr>
    </w:tblStylePr>
    <w:tblStylePr w:type="firstCol">
      <w:rPr>
        <w:b/>
        <w:bCs/>
      </w:rPr>
    </w:tblStylePr>
    <w:tblStylePr w:type="lastCol">
      <w:rPr>
        <w:b/>
        <w:bCs/>
      </w:rPr>
    </w:tblStylePr>
    <w:tblStylePr w:type="band1Vert">
      <w:tblPr/>
      <w:tcPr>
        <w:shd w:val="clear" w:color="auto" w:fill="A7FDEA" w:themeFill="accent4" w:themeFillTint="3F"/>
      </w:tcPr>
    </w:tblStylePr>
    <w:tblStylePr w:type="band1Horz">
      <w:tblPr/>
      <w:tcPr>
        <w:tcBorders>
          <w:insideH w:val="nil"/>
          <w:insideV w:val="nil"/>
        </w:tcBorders>
        <w:shd w:val="clear" w:color="auto" w:fill="A7FDE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7C7D2" w:themeColor="accent5" w:themeTint="BF"/>
        <w:left w:val="single" w:sz="8" w:space="0" w:color="77C7D2" w:themeColor="accent5" w:themeTint="BF"/>
        <w:bottom w:val="single" w:sz="8" w:space="0" w:color="77C7D2" w:themeColor="accent5" w:themeTint="BF"/>
        <w:right w:val="single" w:sz="8" w:space="0" w:color="77C7D2" w:themeColor="accent5" w:themeTint="BF"/>
        <w:insideH w:val="single" w:sz="8" w:space="0" w:color="77C7D2" w:themeColor="accent5" w:themeTint="BF"/>
      </w:tblBorders>
    </w:tblPr>
    <w:tblStylePr w:type="firstRow">
      <w:pPr>
        <w:spacing w:before="0" w:after="0" w:line="240" w:lineRule="auto"/>
      </w:pPr>
      <w:rPr>
        <w:b/>
        <w:bCs/>
        <w:color w:val="FFFFFF" w:themeColor="background1"/>
      </w:rPr>
      <w:tblPr/>
      <w:tcPr>
        <w:tcBorders>
          <w:top w:val="single" w:sz="8" w:space="0" w:color="77C7D2" w:themeColor="accent5" w:themeTint="BF"/>
          <w:left w:val="single" w:sz="8" w:space="0" w:color="77C7D2" w:themeColor="accent5" w:themeTint="BF"/>
          <w:bottom w:val="single" w:sz="8" w:space="0" w:color="77C7D2" w:themeColor="accent5" w:themeTint="BF"/>
          <w:right w:val="single" w:sz="8" w:space="0" w:color="77C7D2" w:themeColor="accent5" w:themeTint="BF"/>
          <w:insideH w:val="nil"/>
          <w:insideV w:val="nil"/>
        </w:tcBorders>
        <w:shd w:val="clear" w:color="auto" w:fill="4AB5C4" w:themeFill="accent5"/>
      </w:tcPr>
    </w:tblStylePr>
    <w:tblStylePr w:type="lastRow">
      <w:pPr>
        <w:spacing w:before="0" w:after="0" w:line="240" w:lineRule="auto"/>
      </w:pPr>
      <w:rPr>
        <w:b/>
        <w:bCs/>
      </w:rPr>
      <w:tblPr/>
      <w:tcPr>
        <w:tcBorders>
          <w:top w:val="double" w:sz="6" w:space="0" w:color="77C7D2" w:themeColor="accent5" w:themeTint="BF"/>
          <w:left w:val="single" w:sz="8" w:space="0" w:color="77C7D2" w:themeColor="accent5" w:themeTint="BF"/>
          <w:bottom w:val="single" w:sz="8" w:space="0" w:color="77C7D2" w:themeColor="accent5" w:themeTint="BF"/>
          <w:right w:val="single" w:sz="8" w:space="0" w:color="77C7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CF0" w:themeFill="accent5" w:themeFillTint="3F"/>
      </w:tcPr>
    </w:tblStylePr>
    <w:tblStylePr w:type="band1Horz">
      <w:tblPr/>
      <w:tcPr>
        <w:tcBorders>
          <w:insideH w:val="nil"/>
          <w:insideV w:val="nil"/>
        </w:tcBorders>
        <w:shd w:val="clear" w:color="auto" w:fill="D2ECF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17BEF3" w:themeColor="accent6" w:themeTint="BF"/>
        <w:left w:val="single" w:sz="8" w:space="0" w:color="17BEF3" w:themeColor="accent6" w:themeTint="BF"/>
        <w:bottom w:val="single" w:sz="8" w:space="0" w:color="17BEF3" w:themeColor="accent6" w:themeTint="BF"/>
        <w:right w:val="single" w:sz="8" w:space="0" w:color="17BEF3" w:themeColor="accent6" w:themeTint="BF"/>
        <w:insideH w:val="single" w:sz="8" w:space="0" w:color="17BEF3" w:themeColor="accent6" w:themeTint="BF"/>
      </w:tblBorders>
    </w:tblPr>
    <w:tblStylePr w:type="firstRow">
      <w:pPr>
        <w:spacing w:before="0" w:after="0" w:line="240" w:lineRule="auto"/>
      </w:pPr>
      <w:rPr>
        <w:b/>
        <w:bCs/>
        <w:color w:val="FFFFFF" w:themeColor="background1"/>
      </w:rPr>
      <w:tblPr/>
      <w:tcPr>
        <w:tcBorders>
          <w:top w:val="single" w:sz="8" w:space="0" w:color="17BEF3" w:themeColor="accent6" w:themeTint="BF"/>
          <w:left w:val="single" w:sz="8" w:space="0" w:color="17BEF3" w:themeColor="accent6" w:themeTint="BF"/>
          <w:bottom w:val="single" w:sz="8" w:space="0" w:color="17BEF3" w:themeColor="accent6" w:themeTint="BF"/>
          <w:right w:val="single" w:sz="8" w:space="0" w:color="17BEF3" w:themeColor="accent6" w:themeTint="BF"/>
          <w:insideH w:val="nil"/>
          <w:insideV w:val="nil"/>
        </w:tcBorders>
        <w:shd w:val="clear" w:color="auto" w:fill="0989B1" w:themeFill="accent6"/>
      </w:tcPr>
    </w:tblStylePr>
    <w:tblStylePr w:type="lastRow">
      <w:pPr>
        <w:spacing w:before="0" w:after="0" w:line="240" w:lineRule="auto"/>
      </w:pPr>
      <w:rPr>
        <w:b/>
        <w:bCs/>
      </w:rPr>
      <w:tblPr/>
      <w:tcPr>
        <w:tcBorders>
          <w:top w:val="double" w:sz="6" w:space="0" w:color="17BEF3" w:themeColor="accent6" w:themeTint="BF"/>
          <w:left w:val="single" w:sz="8" w:space="0" w:color="17BEF3" w:themeColor="accent6" w:themeTint="BF"/>
          <w:bottom w:val="single" w:sz="8" w:space="0" w:color="17BEF3" w:themeColor="accent6" w:themeTint="BF"/>
          <w:right w:val="single" w:sz="8" w:space="0" w:color="17BEF3" w:themeColor="accent6" w:themeTint="BF"/>
          <w:insideH w:val="nil"/>
          <w:insideV w:val="nil"/>
        </w:tcBorders>
      </w:tcPr>
    </w:tblStylePr>
    <w:tblStylePr w:type="firstCol">
      <w:rPr>
        <w:b/>
        <w:bCs/>
      </w:rPr>
    </w:tblStylePr>
    <w:tblStylePr w:type="lastCol">
      <w:rPr>
        <w:b/>
        <w:bCs/>
      </w:rPr>
    </w:tblStylePr>
    <w:tblStylePr w:type="band1Vert">
      <w:tblPr/>
      <w:tcPr>
        <w:shd w:val="clear" w:color="auto" w:fill="B2E9FB" w:themeFill="accent6" w:themeFillTint="3F"/>
      </w:tcPr>
    </w:tblStylePr>
    <w:tblStylePr w:type="band1Horz">
      <w:tblPr/>
      <w:tcPr>
        <w:tcBorders>
          <w:insideH w:val="nil"/>
          <w:insideV w:val="nil"/>
        </w:tcBorders>
        <w:shd w:val="clear" w:color="auto" w:fill="B2E9FB"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49E39"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49E39" w:themeFill="accent1"/>
      </w:tcPr>
    </w:tblStylePr>
    <w:tblStylePr w:type="lastCol">
      <w:rPr>
        <w:b/>
        <w:bCs/>
        <w:color w:val="FFFFFF" w:themeColor="background1"/>
      </w:rPr>
      <w:tblPr/>
      <w:tcPr>
        <w:tcBorders>
          <w:left w:val="nil"/>
          <w:right w:val="nil"/>
          <w:insideH w:val="nil"/>
          <w:insideV w:val="nil"/>
        </w:tcBorders>
        <w:shd w:val="clear" w:color="auto" w:fill="549E39"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AB833"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AB833" w:themeFill="accent2"/>
      </w:tcPr>
    </w:tblStylePr>
    <w:tblStylePr w:type="lastCol">
      <w:rPr>
        <w:b/>
        <w:bCs/>
        <w:color w:val="FFFFFF" w:themeColor="background1"/>
      </w:rPr>
      <w:tblPr/>
      <w:tcPr>
        <w:tcBorders>
          <w:left w:val="nil"/>
          <w:right w:val="nil"/>
          <w:insideH w:val="nil"/>
          <w:insideV w:val="nil"/>
        </w:tcBorders>
        <w:shd w:val="clear" w:color="auto" w:fill="8AB833"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CF3A"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CF3A" w:themeFill="accent3"/>
      </w:tcPr>
    </w:tblStylePr>
    <w:tblStylePr w:type="lastCol">
      <w:rPr>
        <w:b/>
        <w:bCs/>
        <w:color w:val="FFFFFF" w:themeColor="background1"/>
      </w:rPr>
      <w:tblPr/>
      <w:tcPr>
        <w:tcBorders>
          <w:left w:val="nil"/>
          <w:right w:val="nil"/>
          <w:insideH w:val="nil"/>
          <w:insideV w:val="nil"/>
        </w:tcBorders>
        <w:shd w:val="clear" w:color="auto" w:fill="C0CF3A"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29676"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29676" w:themeFill="accent4"/>
      </w:tcPr>
    </w:tblStylePr>
    <w:tblStylePr w:type="lastCol">
      <w:rPr>
        <w:b/>
        <w:bCs/>
        <w:color w:val="FFFFFF" w:themeColor="background1"/>
      </w:rPr>
      <w:tblPr/>
      <w:tcPr>
        <w:tcBorders>
          <w:left w:val="nil"/>
          <w:right w:val="nil"/>
          <w:insideH w:val="nil"/>
          <w:insideV w:val="nil"/>
        </w:tcBorders>
        <w:shd w:val="clear" w:color="auto" w:fill="029676"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AB5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AB5C4" w:themeFill="accent5"/>
      </w:tcPr>
    </w:tblStylePr>
    <w:tblStylePr w:type="lastCol">
      <w:rPr>
        <w:b/>
        <w:bCs/>
        <w:color w:val="FFFFFF" w:themeColor="background1"/>
      </w:rPr>
      <w:tblPr/>
      <w:tcPr>
        <w:tcBorders>
          <w:left w:val="nil"/>
          <w:right w:val="nil"/>
          <w:insideH w:val="nil"/>
          <w:insideV w:val="nil"/>
        </w:tcBorders>
        <w:shd w:val="clear" w:color="auto" w:fill="4AB5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989B1"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989B1" w:themeFill="accent6"/>
      </w:tcPr>
    </w:tblStylePr>
    <w:tblStylePr w:type="lastCol">
      <w:rPr>
        <w:b/>
        <w:bCs/>
        <w:color w:val="FFFFFF" w:themeColor="background1"/>
      </w:rPr>
      <w:tblPr/>
      <w:tcPr>
        <w:tcBorders>
          <w:left w:val="nil"/>
          <w:right w:val="nil"/>
          <w:insideH w:val="nil"/>
          <w:insideV w:val="nil"/>
        </w:tcBorders>
        <w:shd w:val="clear" w:color="auto" w:fill="0989B1"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55F5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549E39" w:themeColor="accent1"/>
        <w:bottom w:val="single" w:sz="8" w:space="0" w:color="549E39" w:themeColor="accent1"/>
      </w:tblBorders>
    </w:tblPr>
    <w:tblStylePr w:type="firstRow">
      <w:rPr>
        <w:rFonts w:asciiTheme="majorHAnsi" w:eastAsiaTheme="majorEastAsia" w:hAnsiTheme="majorHAnsi" w:cstheme="majorBidi"/>
      </w:rPr>
      <w:tblPr/>
      <w:tcPr>
        <w:tcBorders>
          <w:top w:val="nil"/>
          <w:bottom w:val="single" w:sz="8" w:space="0" w:color="549E39" w:themeColor="accent1"/>
        </w:tcBorders>
      </w:tcPr>
    </w:tblStylePr>
    <w:tblStylePr w:type="lastRow">
      <w:rPr>
        <w:b/>
        <w:bCs/>
        <w:color w:val="455F51" w:themeColor="text2"/>
      </w:rPr>
      <w:tblPr/>
      <w:tcPr>
        <w:tcBorders>
          <w:top w:val="single" w:sz="8" w:space="0" w:color="549E39" w:themeColor="accent1"/>
          <w:bottom w:val="single" w:sz="8" w:space="0" w:color="549E39" w:themeColor="accent1"/>
        </w:tcBorders>
      </w:tcPr>
    </w:tblStylePr>
    <w:tblStylePr w:type="firstCol">
      <w:rPr>
        <w:b/>
        <w:bCs/>
      </w:rPr>
    </w:tblStylePr>
    <w:tblStylePr w:type="lastCol">
      <w:rPr>
        <w:b/>
        <w:bCs/>
      </w:rPr>
      <w:tblPr/>
      <w:tcPr>
        <w:tcBorders>
          <w:top w:val="single" w:sz="8" w:space="0" w:color="549E39" w:themeColor="accent1"/>
          <w:bottom w:val="single" w:sz="8" w:space="0" w:color="549E39" w:themeColor="accent1"/>
        </w:tcBorders>
      </w:tcPr>
    </w:tblStylePr>
    <w:tblStylePr w:type="band1Vert">
      <w:tblPr/>
      <w:tcPr>
        <w:shd w:val="clear" w:color="auto" w:fill="D2EBC9" w:themeFill="accent1" w:themeFillTint="3F"/>
      </w:tcPr>
    </w:tblStylePr>
    <w:tblStylePr w:type="band1Horz">
      <w:tblPr/>
      <w:tcPr>
        <w:shd w:val="clear" w:color="auto" w:fill="D2EBC9"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8AB833" w:themeColor="accent2"/>
        <w:bottom w:val="single" w:sz="8" w:space="0" w:color="8AB833" w:themeColor="accent2"/>
      </w:tblBorders>
    </w:tblPr>
    <w:tblStylePr w:type="firstRow">
      <w:rPr>
        <w:rFonts w:asciiTheme="majorHAnsi" w:eastAsiaTheme="majorEastAsia" w:hAnsiTheme="majorHAnsi" w:cstheme="majorBidi"/>
      </w:rPr>
      <w:tblPr/>
      <w:tcPr>
        <w:tcBorders>
          <w:top w:val="nil"/>
          <w:bottom w:val="single" w:sz="8" w:space="0" w:color="8AB833" w:themeColor="accent2"/>
        </w:tcBorders>
      </w:tcPr>
    </w:tblStylePr>
    <w:tblStylePr w:type="lastRow">
      <w:rPr>
        <w:b/>
        <w:bCs/>
        <w:color w:val="455F51" w:themeColor="text2"/>
      </w:rPr>
      <w:tblPr/>
      <w:tcPr>
        <w:tcBorders>
          <w:top w:val="single" w:sz="8" w:space="0" w:color="8AB833" w:themeColor="accent2"/>
          <w:bottom w:val="single" w:sz="8" w:space="0" w:color="8AB833" w:themeColor="accent2"/>
        </w:tcBorders>
      </w:tcPr>
    </w:tblStylePr>
    <w:tblStylePr w:type="firstCol">
      <w:rPr>
        <w:b/>
        <w:bCs/>
      </w:rPr>
    </w:tblStylePr>
    <w:tblStylePr w:type="lastCol">
      <w:rPr>
        <w:b/>
        <w:bCs/>
      </w:rPr>
      <w:tblPr/>
      <w:tcPr>
        <w:tcBorders>
          <w:top w:val="single" w:sz="8" w:space="0" w:color="8AB833" w:themeColor="accent2"/>
          <w:bottom w:val="single" w:sz="8" w:space="0" w:color="8AB833" w:themeColor="accent2"/>
        </w:tcBorders>
      </w:tcPr>
    </w:tblStylePr>
    <w:tblStylePr w:type="band1Vert">
      <w:tblPr/>
      <w:tcPr>
        <w:shd w:val="clear" w:color="auto" w:fill="E2F0C9" w:themeFill="accent2" w:themeFillTint="3F"/>
      </w:tcPr>
    </w:tblStylePr>
    <w:tblStylePr w:type="band1Horz">
      <w:tblPr/>
      <w:tcPr>
        <w:shd w:val="clear" w:color="auto" w:fill="E2F0C9"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C0CF3A" w:themeColor="accent3"/>
        <w:bottom w:val="single" w:sz="8" w:space="0" w:color="C0CF3A" w:themeColor="accent3"/>
      </w:tblBorders>
    </w:tblPr>
    <w:tblStylePr w:type="firstRow">
      <w:rPr>
        <w:rFonts w:asciiTheme="majorHAnsi" w:eastAsiaTheme="majorEastAsia" w:hAnsiTheme="majorHAnsi" w:cstheme="majorBidi"/>
      </w:rPr>
      <w:tblPr/>
      <w:tcPr>
        <w:tcBorders>
          <w:top w:val="nil"/>
          <w:bottom w:val="single" w:sz="8" w:space="0" w:color="C0CF3A" w:themeColor="accent3"/>
        </w:tcBorders>
      </w:tcPr>
    </w:tblStylePr>
    <w:tblStylePr w:type="lastRow">
      <w:rPr>
        <w:b/>
        <w:bCs/>
        <w:color w:val="455F51" w:themeColor="text2"/>
      </w:rPr>
      <w:tblPr/>
      <w:tcPr>
        <w:tcBorders>
          <w:top w:val="single" w:sz="8" w:space="0" w:color="C0CF3A" w:themeColor="accent3"/>
          <w:bottom w:val="single" w:sz="8" w:space="0" w:color="C0CF3A" w:themeColor="accent3"/>
        </w:tcBorders>
      </w:tcPr>
    </w:tblStylePr>
    <w:tblStylePr w:type="firstCol">
      <w:rPr>
        <w:b/>
        <w:bCs/>
      </w:rPr>
    </w:tblStylePr>
    <w:tblStylePr w:type="lastCol">
      <w:rPr>
        <w:b/>
        <w:bCs/>
      </w:rPr>
      <w:tblPr/>
      <w:tcPr>
        <w:tcBorders>
          <w:top w:val="single" w:sz="8" w:space="0" w:color="C0CF3A" w:themeColor="accent3"/>
          <w:bottom w:val="single" w:sz="8" w:space="0" w:color="C0CF3A" w:themeColor="accent3"/>
        </w:tcBorders>
      </w:tcPr>
    </w:tblStylePr>
    <w:tblStylePr w:type="band1Vert">
      <w:tblPr/>
      <w:tcPr>
        <w:shd w:val="clear" w:color="auto" w:fill="EFF3CE" w:themeFill="accent3" w:themeFillTint="3F"/>
      </w:tcPr>
    </w:tblStylePr>
    <w:tblStylePr w:type="band1Horz">
      <w:tblPr/>
      <w:tcPr>
        <w:shd w:val="clear" w:color="auto" w:fill="EFF3CE"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029676" w:themeColor="accent4"/>
        <w:bottom w:val="single" w:sz="8" w:space="0" w:color="029676" w:themeColor="accent4"/>
      </w:tblBorders>
    </w:tblPr>
    <w:tblStylePr w:type="firstRow">
      <w:rPr>
        <w:rFonts w:asciiTheme="majorHAnsi" w:eastAsiaTheme="majorEastAsia" w:hAnsiTheme="majorHAnsi" w:cstheme="majorBidi"/>
      </w:rPr>
      <w:tblPr/>
      <w:tcPr>
        <w:tcBorders>
          <w:top w:val="nil"/>
          <w:bottom w:val="single" w:sz="8" w:space="0" w:color="029676" w:themeColor="accent4"/>
        </w:tcBorders>
      </w:tcPr>
    </w:tblStylePr>
    <w:tblStylePr w:type="lastRow">
      <w:rPr>
        <w:b/>
        <w:bCs/>
        <w:color w:val="455F51" w:themeColor="text2"/>
      </w:rPr>
      <w:tblPr/>
      <w:tcPr>
        <w:tcBorders>
          <w:top w:val="single" w:sz="8" w:space="0" w:color="029676" w:themeColor="accent4"/>
          <w:bottom w:val="single" w:sz="8" w:space="0" w:color="029676" w:themeColor="accent4"/>
        </w:tcBorders>
      </w:tcPr>
    </w:tblStylePr>
    <w:tblStylePr w:type="firstCol">
      <w:rPr>
        <w:b/>
        <w:bCs/>
      </w:rPr>
    </w:tblStylePr>
    <w:tblStylePr w:type="lastCol">
      <w:rPr>
        <w:b/>
        <w:bCs/>
      </w:rPr>
      <w:tblPr/>
      <w:tcPr>
        <w:tcBorders>
          <w:top w:val="single" w:sz="8" w:space="0" w:color="029676" w:themeColor="accent4"/>
          <w:bottom w:val="single" w:sz="8" w:space="0" w:color="029676" w:themeColor="accent4"/>
        </w:tcBorders>
      </w:tcPr>
    </w:tblStylePr>
    <w:tblStylePr w:type="band1Vert">
      <w:tblPr/>
      <w:tcPr>
        <w:shd w:val="clear" w:color="auto" w:fill="A7FDEA" w:themeFill="accent4" w:themeFillTint="3F"/>
      </w:tcPr>
    </w:tblStylePr>
    <w:tblStylePr w:type="band1Horz">
      <w:tblPr/>
      <w:tcPr>
        <w:shd w:val="clear" w:color="auto" w:fill="A7FDEA"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AB5C4" w:themeColor="accent5"/>
        <w:bottom w:val="single" w:sz="8" w:space="0" w:color="4AB5C4" w:themeColor="accent5"/>
      </w:tblBorders>
    </w:tblPr>
    <w:tblStylePr w:type="firstRow">
      <w:rPr>
        <w:rFonts w:asciiTheme="majorHAnsi" w:eastAsiaTheme="majorEastAsia" w:hAnsiTheme="majorHAnsi" w:cstheme="majorBidi"/>
      </w:rPr>
      <w:tblPr/>
      <w:tcPr>
        <w:tcBorders>
          <w:top w:val="nil"/>
          <w:bottom w:val="single" w:sz="8" w:space="0" w:color="4AB5C4" w:themeColor="accent5"/>
        </w:tcBorders>
      </w:tcPr>
    </w:tblStylePr>
    <w:tblStylePr w:type="lastRow">
      <w:rPr>
        <w:b/>
        <w:bCs/>
        <w:color w:val="455F51" w:themeColor="text2"/>
      </w:rPr>
      <w:tblPr/>
      <w:tcPr>
        <w:tcBorders>
          <w:top w:val="single" w:sz="8" w:space="0" w:color="4AB5C4" w:themeColor="accent5"/>
          <w:bottom w:val="single" w:sz="8" w:space="0" w:color="4AB5C4" w:themeColor="accent5"/>
        </w:tcBorders>
      </w:tcPr>
    </w:tblStylePr>
    <w:tblStylePr w:type="firstCol">
      <w:rPr>
        <w:b/>
        <w:bCs/>
      </w:rPr>
    </w:tblStylePr>
    <w:tblStylePr w:type="lastCol">
      <w:rPr>
        <w:b/>
        <w:bCs/>
      </w:rPr>
      <w:tblPr/>
      <w:tcPr>
        <w:tcBorders>
          <w:top w:val="single" w:sz="8" w:space="0" w:color="4AB5C4" w:themeColor="accent5"/>
          <w:bottom w:val="single" w:sz="8" w:space="0" w:color="4AB5C4" w:themeColor="accent5"/>
        </w:tcBorders>
      </w:tcPr>
    </w:tblStylePr>
    <w:tblStylePr w:type="band1Vert">
      <w:tblPr/>
      <w:tcPr>
        <w:shd w:val="clear" w:color="auto" w:fill="D2ECF0" w:themeFill="accent5" w:themeFillTint="3F"/>
      </w:tcPr>
    </w:tblStylePr>
    <w:tblStylePr w:type="band1Horz">
      <w:tblPr/>
      <w:tcPr>
        <w:shd w:val="clear" w:color="auto" w:fill="D2ECF0"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0989B1" w:themeColor="accent6"/>
        <w:bottom w:val="single" w:sz="8" w:space="0" w:color="0989B1" w:themeColor="accent6"/>
      </w:tblBorders>
    </w:tblPr>
    <w:tblStylePr w:type="firstRow">
      <w:rPr>
        <w:rFonts w:asciiTheme="majorHAnsi" w:eastAsiaTheme="majorEastAsia" w:hAnsiTheme="majorHAnsi" w:cstheme="majorBidi"/>
      </w:rPr>
      <w:tblPr/>
      <w:tcPr>
        <w:tcBorders>
          <w:top w:val="nil"/>
          <w:bottom w:val="single" w:sz="8" w:space="0" w:color="0989B1" w:themeColor="accent6"/>
        </w:tcBorders>
      </w:tcPr>
    </w:tblStylePr>
    <w:tblStylePr w:type="lastRow">
      <w:rPr>
        <w:b/>
        <w:bCs/>
        <w:color w:val="455F51" w:themeColor="text2"/>
      </w:rPr>
      <w:tblPr/>
      <w:tcPr>
        <w:tcBorders>
          <w:top w:val="single" w:sz="8" w:space="0" w:color="0989B1" w:themeColor="accent6"/>
          <w:bottom w:val="single" w:sz="8" w:space="0" w:color="0989B1" w:themeColor="accent6"/>
        </w:tcBorders>
      </w:tcPr>
    </w:tblStylePr>
    <w:tblStylePr w:type="firstCol">
      <w:rPr>
        <w:b/>
        <w:bCs/>
      </w:rPr>
    </w:tblStylePr>
    <w:tblStylePr w:type="lastCol">
      <w:rPr>
        <w:b/>
        <w:bCs/>
      </w:rPr>
      <w:tblPr/>
      <w:tcPr>
        <w:tcBorders>
          <w:top w:val="single" w:sz="8" w:space="0" w:color="0989B1" w:themeColor="accent6"/>
          <w:bottom w:val="single" w:sz="8" w:space="0" w:color="0989B1" w:themeColor="accent6"/>
        </w:tcBorders>
      </w:tcPr>
    </w:tblStylePr>
    <w:tblStylePr w:type="band1Vert">
      <w:tblPr/>
      <w:tcPr>
        <w:shd w:val="clear" w:color="auto" w:fill="B2E9FB" w:themeFill="accent6" w:themeFillTint="3F"/>
      </w:tcPr>
    </w:tblStylePr>
    <w:tblStylePr w:type="band1Horz">
      <w:tblPr/>
      <w:tcPr>
        <w:shd w:val="clear" w:color="auto" w:fill="B2E9FB"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49E39" w:themeColor="accent1"/>
        <w:left w:val="single" w:sz="8" w:space="0" w:color="549E39" w:themeColor="accent1"/>
        <w:bottom w:val="single" w:sz="8" w:space="0" w:color="549E39" w:themeColor="accent1"/>
        <w:right w:val="single" w:sz="8" w:space="0" w:color="549E39" w:themeColor="accent1"/>
      </w:tblBorders>
    </w:tblPr>
    <w:tblStylePr w:type="firstRow">
      <w:rPr>
        <w:sz w:val="24"/>
        <w:szCs w:val="24"/>
      </w:rPr>
      <w:tblPr/>
      <w:tcPr>
        <w:tcBorders>
          <w:top w:val="nil"/>
          <w:left w:val="nil"/>
          <w:bottom w:val="single" w:sz="24" w:space="0" w:color="549E39" w:themeColor="accent1"/>
          <w:right w:val="nil"/>
          <w:insideH w:val="nil"/>
          <w:insideV w:val="nil"/>
        </w:tcBorders>
        <w:shd w:val="clear" w:color="auto" w:fill="FFFFFF" w:themeFill="background1"/>
      </w:tcPr>
    </w:tblStylePr>
    <w:tblStylePr w:type="lastRow">
      <w:tblPr/>
      <w:tcPr>
        <w:tcBorders>
          <w:top w:val="single" w:sz="8" w:space="0" w:color="549E39"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49E39" w:themeColor="accent1"/>
          <w:insideH w:val="nil"/>
          <w:insideV w:val="nil"/>
        </w:tcBorders>
        <w:shd w:val="clear" w:color="auto" w:fill="FFFFFF" w:themeFill="background1"/>
      </w:tcPr>
    </w:tblStylePr>
    <w:tblStylePr w:type="lastCol">
      <w:tblPr/>
      <w:tcPr>
        <w:tcBorders>
          <w:top w:val="nil"/>
          <w:left w:val="single" w:sz="8" w:space="0" w:color="549E39"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BC9" w:themeFill="accent1" w:themeFillTint="3F"/>
      </w:tcPr>
    </w:tblStylePr>
    <w:tblStylePr w:type="band1Horz">
      <w:tblPr/>
      <w:tcPr>
        <w:tcBorders>
          <w:top w:val="nil"/>
          <w:bottom w:val="nil"/>
          <w:insideH w:val="nil"/>
          <w:insideV w:val="nil"/>
        </w:tcBorders>
        <w:shd w:val="clear" w:color="auto" w:fill="D2EBC9"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AB833" w:themeColor="accent2"/>
        <w:left w:val="single" w:sz="8" w:space="0" w:color="8AB833" w:themeColor="accent2"/>
        <w:bottom w:val="single" w:sz="8" w:space="0" w:color="8AB833" w:themeColor="accent2"/>
        <w:right w:val="single" w:sz="8" w:space="0" w:color="8AB833" w:themeColor="accent2"/>
      </w:tblBorders>
    </w:tblPr>
    <w:tblStylePr w:type="firstRow">
      <w:rPr>
        <w:sz w:val="24"/>
        <w:szCs w:val="24"/>
      </w:rPr>
      <w:tblPr/>
      <w:tcPr>
        <w:tcBorders>
          <w:top w:val="nil"/>
          <w:left w:val="nil"/>
          <w:bottom w:val="single" w:sz="24" w:space="0" w:color="8AB833" w:themeColor="accent2"/>
          <w:right w:val="nil"/>
          <w:insideH w:val="nil"/>
          <w:insideV w:val="nil"/>
        </w:tcBorders>
        <w:shd w:val="clear" w:color="auto" w:fill="FFFFFF" w:themeFill="background1"/>
      </w:tcPr>
    </w:tblStylePr>
    <w:tblStylePr w:type="lastRow">
      <w:tblPr/>
      <w:tcPr>
        <w:tcBorders>
          <w:top w:val="single" w:sz="8" w:space="0" w:color="8AB833"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AB833" w:themeColor="accent2"/>
          <w:insideH w:val="nil"/>
          <w:insideV w:val="nil"/>
        </w:tcBorders>
        <w:shd w:val="clear" w:color="auto" w:fill="FFFFFF" w:themeFill="background1"/>
      </w:tcPr>
    </w:tblStylePr>
    <w:tblStylePr w:type="lastCol">
      <w:tblPr/>
      <w:tcPr>
        <w:tcBorders>
          <w:top w:val="nil"/>
          <w:left w:val="single" w:sz="8" w:space="0" w:color="8AB833"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2F0C9" w:themeFill="accent2" w:themeFillTint="3F"/>
      </w:tcPr>
    </w:tblStylePr>
    <w:tblStylePr w:type="band1Horz">
      <w:tblPr/>
      <w:tcPr>
        <w:tcBorders>
          <w:top w:val="nil"/>
          <w:bottom w:val="nil"/>
          <w:insideH w:val="nil"/>
          <w:insideV w:val="nil"/>
        </w:tcBorders>
        <w:shd w:val="clear" w:color="auto" w:fill="E2F0C9"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CF3A" w:themeColor="accent3"/>
        <w:left w:val="single" w:sz="8" w:space="0" w:color="C0CF3A" w:themeColor="accent3"/>
        <w:bottom w:val="single" w:sz="8" w:space="0" w:color="C0CF3A" w:themeColor="accent3"/>
        <w:right w:val="single" w:sz="8" w:space="0" w:color="C0CF3A" w:themeColor="accent3"/>
      </w:tblBorders>
    </w:tblPr>
    <w:tblStylePr w:type="firstRow">
      <w:rPr>
        <w:sz w:val="24"/>
        <w:szCs w:val="24"/>
      </w:rPr>
      <w:tblPr/>
      <w:tcPr>
        <w:tcBorders>
          <w:top w:val="nil"/>
          <w:left w:val="nil"/>
          <w:bottom w:val="single" w:sz="24" w:space="0" w:color="C0CF3A" w:themeColor="accent3"/>
          <w:right w:val="nil"/>
          <w:insideH w:val="nil"/>
          <w:insideV w:val="nil"/>
        </w:tcBorders>
        <w:shd w:val="clear" w:color="auto" w:fill="FFFFFF" w:themeFill="background1"/>
      </w:tcPr>
    </w:tblStylePr>
    <w:tblStylePr w:type="lastRow">
      <w:tblPr/>
      <w:tcPr>
        <w:tcBorders>
          <w:top w:val="single" w:sz="8" w:space="0" w:color="C0CF3A"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CF3A" w:themeColor="accent3"/>
          <w:insideH w:val="nil"/>
          <w:insideV w:val="nil"/>
        </w:tcBorders>
        <w:shd w:val="clear" w:color="auto" w:fill="FFFFFF" w:themeFill="background1"/>
      </w:tcPr>
    </w:tblStylePr>
    <w:tblStylePr w:type="lastCol">
      <w:tblPr/>
      <w:tcPr>
        <w:tcBorders>
          <w:top w:val="nil"/>
          <w:left w:val="single" w:sz="8" w:space="0" w:color="C0CF3A"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F3CE" w:themeFill="accent3" w:themeFillTint="3F"/>
      </w:tcPr>
    </w:tblStylePr>
    <w:tblStylePr w:type="band1Horz">
      <w:tblPr/>
      <w:tcPr>
        <w:tcBorders>
          <w:top w:val="nil"/>
          <w:bottom w:val="nil"/>
          <w:insideH w:val="nil"/>
          <w:insideV w:val="nil"/>
        </w:tcBorders>
        <w:shd w:val="clear" w:color="auto" w:fill="EFF3CE"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29676" w:themeColor="accent4"/>
        <w:left w:val="single" w:sz="8" w:space="0" w:color="029676" w:themeColor="accent4"/>
        <w:bottom w:val="single" w:sz="8" w:space="0" w:color="029676" w:themeColor="accent4"/>
        <w:right w:val="single" w:sz="8" w:space="0" w:color="029676" w:themeColor="accent4"/>
      </w:tblBorders>
    </w:tblPr>
    <w:tblStylePr w:type="firstRow">
      <w:rPr>
        <w:sz w:val="24"/>
        <w:szCs w:val="24"/>
      </w:rPr>
      <w:tblPr/>
      <w:tcPr>
        <w:tcBorders>
          <w:top w:val="nil"/>
          <w:left w:val="nil"/>
          <w:bottom w:val="single" w:sz="24" w:space="0" w:color="029676" w:themeColor="accent4"/>
          <w:right w:val="nil"/>
          <w:insideH w:val="nil"/>
          <w:insideV w:val="nil"/>
        </w:tcBorders>
        <w:shd w:val="clear" w:color="auto" w:fill="FFFFFF" w:themeFill="background1"/>
      </w:tcPr>
    </w:tblStylePr>
    <w:tblStylePr w:type="lastRow">
      <w:tblPr/>
      <w:tcPr>
        <w:tcBorders>
          <w:top w:val="single" w:sz="8" w:space="0" w:color="029676"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29676" w:themeColor="accent4"/>
          <w:insideH w:val="nil"/>
          <w:insideV w:val="nil"/>
        </w:tcBorders>
        <w:shd w:val="clear" w:color="auto" w:fill="FFFFFF" w:themeFill="background1"/>
      </w:tcPr>
    </w:tblStylePr>
    <w:tblStylePr w:type="lastCol">
      <w:tblPr/>
      <w:tcPr>
        <w:tcBorders>
          <w:top w:val="nil"/>
          <w:left w:val="single" w:sz="8" w:space="0" w:color="029676"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7FDEA" w:themeFill="accent4" w:themeFillTint="3F"/>
      </w:tcPr>
    </w:tblStylePr>
    <w:tblStylePr w:type="band1Horz">
      <w:tblPr/>
      <w:tcPr>
        <w:tcBorders>
          <w:top w:val="nil"/>
          <w:bottom w:val="nil"/>
          <w:insideH w:val="nil"/>
          <w:insideV w:val="nil"/>
        </w:tcBorders>
        <w:shd w:val="clear" w:color="auto" w:fill="A7FDE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AB5C4" w:themeColor="accent5"/>
        <w:left w:val="single" w:sz="8" w:space="0" w:color="4AB5C4" w:themeColor="accent5"/>
        <w:bottom w:val="single" w:sz="8" w:space="0" w:color="4AB5C4" w:themeColor="accent5"/>
        <w:right w:val="single" w:sz="8" w:space="0" w:color="4AB5C4" w:themeColor="accent5"/>
      </w:tblBorders>
    </w:tblPr>
    <w:tblStylePr w:type="firstRow">
      <w:rPr>
        <w:sz w:val="24"/>
        <w:szCs w:val="24"/>
      </w:rPr>
      <w:tblPr/>
      <w:tcPr>
        <w:tcBorders>
          <w:top w:val="nil"/>
          <w:left w:val="nil"/>
          <w:bottom w:val="single" w:sz="24" w:space="0" w:color="4AB5C4" w:themeColor="accent5"/>
          <w:right w:val="nil"/>
          <w:insideH w:val="nil"/>
          <w:insideV w:val="nil"/>
        </w:tcBorders>
        <w:shd w:val="clear" w:color="auto" w:fill="FFFFFF" w:themeFill="background1"/>
      </w:tcPr>
    </w:tblStylePr>
    <w:tblStylePr w:type="lastRow">
      <w:tblPr/>
      <w:tcPr>
        <w:tcBorders>
          <w:top w:val="single" w:sz="8" w:space="0" w:color="4AB5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AB5C4" w:themeColor="accent5"/>
          <w:insideH w:val="nil"/>
          <w:insideV w:val="nil"/>
        </w:tcBorders>
        <w:shd w:val="clear" w:color="auto" w:fill="FFFFFF" w:themeFill="background1"/>
      </w:tcPr>
    </w:tblStylePr>
    <w:tblStylePr w:type="lastCol">
      <w:tblPr/>
      <w:tcPr>
        <w:tcBorders>
          <w:top w:val="nil"/>
          <w:left w:val="single" w:sz="8" w:space="0" w:color="4AB5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CF0" w:themeFill="accent5" w:themeFillTint="3F"/>
      </w:tcPr>
    </w:tblStylePr>
    <w:tblStylePr w:type="band1Horz">
      <w:tblPr/>
      <w:tcPr>
        <w:tcBorders>
          <w:top w:val="nil"/>
          <w:bottom w:val="nil"/>
          <w:insideH w:val="nil"/>
          <w:insideV w:val="nil"/>
        </w:tcBorders>
        <w:shd w:val="clear" w:color="auto" w:fill="D2EC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989B1" w:themeColor="accent6"/>
        <w:left w:val="single" w:sz="8" w:space="0" w:color="0989B1" w:themeColor="accent6"/>
        <w:bottom w:val="single" w:sz="8" w:space="0" w:color="0989B1" w:themeColor="accent6"/>
        <w:right w:val="single" w:sz="8" w:space="0" w:color="0989B1" w:themeColor="accent6"/>
      </w:tblBorders>
    </w:tblPr>
    <w:tblStylePr w:type="firstRow">
      <w:rPr>
        <w:sz w:val="24"/>
        <w:szCs w:val="24"/>
      </w:rPr>
      <w:tblPr/>
      <w:tcPr>
        <w:tcBorders>
          <w:top w:val="nil"/>
          <w:left w:val="nil"/>
          <w:bottom w:val="single" w:sz="24" w:space="0" w:color="0989B1" w:themeColor="accent6"/>
          <w:right w:val="nil"/>
          <w:insideH w:val="nil"/>
          <w:insideV w:val="nil"/>
        </w:tcBorders>
        <w:shd w:val="clear" w:color="auto" w:fill="FFFFFF" w:themeFill="background1"/>
      </w:tcPr>
    </w:tblStylePr>
    <w:tblStylePr w:type="lastRow">
      <w:tblPr/>
      <w:tcPr>
        <w:tcBorders>
          <w:top w:val="single" w:sz="8" w:space="0" w:color="0989B1"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989B1" w:themeColor="accent6"/>
          <w:insideH w:val="nil"/>
          <w:insideV w:val="nil"/>
        </w:tcBorders>
        <w:shd w:val="clear" w:color="auto" w:fill="FFFFFF" w:themeFill="background1"/>
      </w:tcPr>
    </w:tblStylePr>
    <w:tblStylePr w:type="lastCol">
      <w:tblPr/>
      <w:tcPr>
        <w:tcBorders>
          <w:top w:val="nil"/>
          <w:left w:val="single" w:sz="8" w:space="0" w:color="0989B1"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E9FB" w:themeFill="accent6" w:themeFillTint="3F"/>
      </w:tcPr>
    </w:tblStylePr>
    <w:tblStylePr w:type="band1Horz">
      <w:tblPr/>
      <w:tcPr>
        <w:tcBorders>
          <w:top w:val="nil"/>
          <w:bottom w:val="nil"/>
          <w:insideH w:val="nil"/>
          <w:insideV w:val="nil"/>
        </w:tcBorders>
        <w:shd w:val="clear" w:color="auto" w:fill="B2E9FB"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8C45C" w:themeColor="accent1" w:themeTint="BF"/>
        <w:left w:val="single" w:sz="8" w:space="0" w:color="78C45C" w:themeColor="accent1" w:themeTint="BF"/>
        <w:bottom w:val="single" w:sz="8" w:space="0" w:color="78C45C" w:themeColor="accent1" w:themeTint="BF"/>
        <w:right w:val="single" w:sz="8" w:space="0" w:color="78C45C" w:themeColor="accent1" w:themeTint="BF"/>
        <w:insideH w:val="single" w:sz="8" w:space="0" w:color="78C45C" w:themeColor="accent1" w:themeTint="BF"/>
        <w:insideV w:val="single" w:sz="8" w:space="0" w:color="78C45C" w:themeColor="accent1" w:themeTint="BF"/>
      </w:tblBorders>
    </w:tblPr>
    <w:tcPr>
      <w:shd w:val="clear" w:color="auto" w:fill="D2EBC9" w:themeFill="accent1" w:themeFillTint="3F"/>
    </w:tcPr>
    <w:tblStylePr w:type="firstRow">
      <w:rPr>
        <w:b/>
        <w:bCs/>
      </w:rPr>
    </w:tblStylePr>
    <w:tblStylePr w:type="lastRow">
      <w:rPr>
        <w:b/>
        <w:bCs/>
      </w:rPr>
      <w:tblPr/>
      <w:tcPr>
        <w:tcBorders>
          <w:top w:val="single" w:sz="18" w:space="0" w:color="78C45C" w:themeColor="accent1" w:themeTint="BF"/>
        </w:tcBorders>
      </w:tcPr>
    </w:tblStylePr>
    <w:tblStylePr w:type="firstCol">
      <w:rPr>
        <w:b/>
        <w:bCs/>
      </w:rPr>
    </w:tblStylePr>
    <w:tblStylePr w:type="lastCol">
      <w:rPr>
        <w:b/>
        <w:bCs/>
      </w:rPr>
    </w:tblStylePr>
    <w:tblStylePr w:type="band1Vert">
      <w:tblPr/>
      <w:tcPr>
        <w:shd w:val="clear" w:color="auto" w:fill="A5D893" w:themeFill="accent1" w:themeFillTint="7F"/>
      </w:tcPr>
    </w:tblStylePr>
    <w:tblStylePr w:type="band1Horz">
      <w:tblPr/>
      <w:tcPr>
        <w:shd w:val="clear" w:color="auto" w:fill="A5D893"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A9D25D" w:themeColor="accent2" w:themeTint="BF"/>
        <w:left w:val="single" w:sz="8" w:space="0" w:color="A9D25D" w:themeColor="accent2" w:themeTint="BF"/>
        <w:bottom w:val="single" w:sz="8" w:space="0" w:color="A9D25D" w:themeColor="accent2" w:themeTint="BF"/>
        <w:right w:val="single" w:sz="8" w:space="0" w:color="A9D25D" w:themeColor="accent2" w:themeTint="BF"/>
        <w:insideH w:val="single" w:sz="8" w:space="0" w:color="A9D25D" w:themeColor="accent2" w:themeTint="BF"/>
        <w:insideV w:val="single" w:sz="8" w:space="0" w:color="A9D25D" w:themeColor="accent2" w:themeTint="BF"/>
      </w:tblBorders>
    </w:tblPr>
    <w:tcPr>
      <w:shd w:val="clear" w:color="auto" w:fill="E2F0C9" w:themeFill="accent2" w:themeFillTint="3F"/>
    </w:tcPr>
    <w:tblStylePr w:type="firstRow">
      <w:rPr>
        <w:b/>
        <w:bCs/>
      </w:rPr>
    </w:tblStylePr>
    <w:tblStylePr w:type="lastRow">
      <w:rPr>
        <w:b/>
        <w:bCs/>
      </w:rPr>
      <w:tblPr/>
      <w:tcPr>
        <w:tcBorders>
          <w:top w:val="single" w:sz="18" w:space="0" w:color="A9D25D" w:themeColor="accent2" w:themeTint="BF"/>
        </w:tcBorders>
      </w:tcPr>
    </w:tblStylePr>
    <w:tblStylePr w:type="firstCol">
      <w:rPr>
        <w:b/>
        <w:bCs/>
      </w:rPr>
    </w:tblStylePr>
    <w:tblStylePr w:type="lastCol">
      <w:rPr>
        <w:b/>
        <w:bCs/>
      </w:rPr>
    </w:tblStylePr>
    <w:tblStylePr w:type="band1Vert">
      <w:tblPr/>
      <w:tcPr>
        <w:shd w:val="clear" w:color="auto" w:fill="C6E193" w:themeFill="accent2" w:themeFillTint="7F"/>
      </w:tcPr>
    </w:tblStylePr>
    <w:tblStylePr w:type="band1Horz">
      <w:tblPr/>
      <w:tcPr>
        <w:shd w:val="clear" w:color="auto" w:fill="C6E193"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CFDB6B" w:themeColor="accent3" w:themeTint="BF"/>
        <w:left w:val="single" w:sz="8" w:space="0" w:color="CFDB6B" w:themeColor="accent3" w:themeTint="BF"/>
        <w:bottom w:val="single" w:sz="8" w:space="0" w:color="CFDB6B" w:themeColor="accent3" w:themeTint="BF"/>
        <w:right w:val="single" w:sz="8" w:space="0" w:color="CFDB6B" w:themeColor="accent3" w:themeTint="BF"/>
        <w:insideH w:val="single" w:sz="8" w:space="0" w:color="CFDB6B" w:themeColor="accent3" w:themeTint="BF"/>
        <w:insideV w:val="single" w:sz="8" w:space="0" w:color="CFDB6B" w:themeColor="accent3" w:themeTint="BF"/>
      </w:tblBorders>
    </w:tblPr>
    <w:tcPr>
      <w:shd w:val="clear" w:color="auto" w:fill="EFF3CE" w:themeFill="accent3" w:themeFillTint="3F"/>
    </w:tcPr>
    <w:tblStylePr w:type="firstRow">
      <w:rPr>
        <w:b/>
        <w:bCs/>
      </w:rPr>
    </w:tblStylePr>
    <w:tblStylePr w:type="lastRow">
      <w:rPr>
        <w:b/>
        <w:bCs/>
      </w:rPr>
      <w:tblPr/>
      <w:tcPr>
        <w:tcBorders>
          <w:top w:val="single" w:sz="18" w:space="0" w:color="CFDB6B" w:themeColor="accent3" w:themeTint="BF"/>
        </w:tcBorders>
      </w:tcPr>
    </w:tblStylePr>
    <w:tblStylePr w:type="firstCol">
      <w:rPr>
        <w:b/>
        <w:bCs/>
      </w:rPr>
    </w:tblStylePr>
    <w:tblStylePr w:type="lastCol">
      <w:rPr>
        <w:b/>
        <w:bCs/>
      </w:rPr>
    </w:tblStylePr>
    <w:tblStylePr w:type="band1Vert">
      <w:tblPr/>
      <w:tcPr>
        <w:shd w:val="clear" w:color="auto" w:fill="DFE79C" w:themeFill="accent3" w:themeFillTint="7F"/>
      </w:tcPr>
    </w:tblStylePr>
    <w:tblStylePr w:type="band1Horz">
      <w:tblPr/>
      <w:tcPr>
        <w:shd w:val="clear" w:color="auto" w:fill="DFE79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03EEBA" w:themeColor="accent4" w:themeTint="BF"/>
        <w:left w:val="single" w:sz="8" w:space="0" w:color="03EEBA" w:themeColor="accent4" w:themeTint="BF"/>
        <w:bottom w:val="single" w:sz="8" w:space="0" w:color="03EEBA" w:themeColor="accent4" w:themeTint="BF"/>
        <w:right w:val="single" w:sz="8" w:space="0" w:color="03EEBA" w:themeColor="accent4" w:themeTint="BF"/>
        <w:insideH w:val="single" w:sz="8" w:space="0" w:color="03EEBA" w:themeColor="accent4" w:themeTint="BF"/>
        <w:insideV w:val="single" w:sz="8" w:space="0" w:color="03EEBA" w:themeColor="accent4" w:themeTint="BF"/>
      </w:tblBorders>
    </w:tblPr>
    <w:tcPr>
      <w:shd w:val="clear" w:color="auto" w:fill="A7FDEA" w:themeFill="accent4" w:themeFillTint="3F"/>
    </w:tcPr>
    <w:tblStylePr w:type="firstRow">
      <w:rPr>
        <w:b/>
        <w:bCs/>
      </w:rPr>
    </w:tblStylePr>
    <w:tblStylePr w:type="lastRow">
      <w:rPr>
        <w:b/>
        <w:bCs/>
      </w:rPr>
      <w:tblPr/>
      <w:tcPr>
        <w:tcBorders>
          <w:top w:val="single" w:sz="18" w:space="0" w:color="03EEBA" w:themeColor="accent4" w:themeTint="BF"/>
        </w:tcBorders>
      </w:tcPr>
    </w:tblStylePr>
    <w:tblStylePr w:type="firstCol">
      <w:rPr>
        <w:b/>
        <w:bCs/>
      </w:rPr>
    </w:tblStylePr>
    <w:tblStylePr w:type="lastCol">
      <w:rPr>
        <w:b/>
        <w:bCs/>
      </w:rPr>
    </w:tblStylePr>
    <w:tblStylePr w:type="band1Vert">
      <w:tblPr/>
      <w:tcPr>
        <w:shd w:val="clear" w:color="auto" w:fill="4FFCD6" w:themeFill="accent4" w:themeFillTint="7F"/>
      </w:tcPr>
    </w:tblStylePr>
    <w:tblStylePr w:type="band1Horz">
      <w:tblPr/>
      <w:tcPr>
        <w:shd w:val="clear" w:color="auto" w:fill="4FFCD6"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7C7D2" w:themeColor="accent5" w:themeTint="BF"/>
        <w:left w:val="single" w:sz="8" w:space="0" w:color="77C7D2" w:themeColor="accent5" w:themeTint="BF"/>
        <w:bottom w:val="single" w:sz="8" w:space="0" w:color="77C7D2" w:themeColor="accent5" w:themeTint="BF"/>
        <w:right w:val="single" w:sz="8" w:space="0" w:color="77C7D2" w:themeColor="accent5" w:themeTint="BF"/>
        <w:insideH w:val="single" w:sz="8" w:space="0" w:color="77C7D2" w:themeColor="accent5" w:themeTint="BF"/>
        <w:insideV w:val="single" w:sz="8" w:space="0" w:color="77C7D2" w:themeColor="accent5" w:themeTint="BF"/>
      </w:tblBorders>
    </w:tblPr>
    <w:tcPr>
      <w:shd w:val="clear" w:color="auto" w:fill="D2ECF0" w:themeFill="accent5" w:themeFillTint="3F"/>
    </w:tcPr>
    <w:tblStylePr w:type="firstRow">
      <w:rPr>
        <w:b/>
        <w:bCs/>
      </w:rPr>
    </w:tblStylePr>
    <w:tblStylePr w:type="lastRow">
      <w:rPr>
        <w:b/>
        <w:bCs/>
      </w:rPr>
      <w:tblPr/>
      <w:tcPr>
        <w:tcBorders>
          <w:top w:val="single" w:sz="18" w:space="0" w:color="77C7D2" w:themeColor="accent5" w:themeTint="BF"/>
        </w:tcBorders>
      </w:tcPr>
    </w:tblStylePr>
    <w:tblStylePr w:type="firstCol">
      <w:rPr>
        <w:b/>
        <w:bCs/>
      </w:rPr>
    </w:tblStylePr>
    <w:tblStylePr w:type="lastCol">
      <w:rPr>
        <w:b/>
        <w:bCs/>
      </w:rPr>
    </w:tblStylePr>
    <w:tblStylePr w:type="band1Vert">
      <w:tblPr/>
      <w:tcPr>
        <w:shd w:val="clear" w:color="auto" w:fill="A4DAE1" w:themeFill="accent5" w:themeFillTint="7F"/>
      </w:tcPr>
    </w:tblStylePr>
    <w:tblStylePr w:type="band1Horz">
      <w:tblPr/>
      <w:tcPr>
        <w:shd w:val="clear" w:color="auto" w:fill="A4DAE1"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17BEF3" w:themeColor="accent6" w:themeTint="BF"/>
        <w:left w:val="single" w:sz="8" w:space="0" w:color="17BEF3" w:themeColor="accent6" w:themeTint="BF"/>
        <w:bottom w:val="single" w:sz="8" w:space="0" w:color="17BEF3" w:themeColor="accent6" w:themeTint="BF"/>
        <w:right w:val="single" w:sz="8" w:space="0" w:color="17BEF3" w:themeColor="accent6" w:themeTint="BF"/>
        <w:insideH w:val="single" w:sz="8" w:space="0" w:color="17BEF3" w:themeColor="accent6" w:themeTint="BF"/>
        <w:insideV w:val="single" w:sz="8" w:space="0" w:color="17BEF3" w:themeColor="accent6" w:themeTint="BF"/>
      </w:tblBorders>
    </w:tblPr>
    <w:tcPr>
      <w:shd w:val="clear" w:color="auto" w:fill="B2E9FB" w:themeFill="accent6" w:themeFillTint="3F"/>
    </w:tcPr>
    <w:tblStylePr w:type="firstRow">
      <w:rPr>
        <w:b/>
        <w:bCs/>
      </w:rPr>
    </w:tblStylePr>
    <w:tblStylePr w:type="lastRow">
      <w:rPr>
        <w:b/>
        <w:bCs/>
      </w:rPr>
      <w:tblPr/>
      <w:tcPr>
        <w:tcBorders>
          <w:top w:val="single" w:sz="18" w:space="0" w:color="17BEF3" w:themeColor="accent6" w:themeTint="BF"/>
        </w:tcBorders>
      </w:tcPr>
    </w:tblStylePr>
    <w:tblStylePr w:type="firstCol">
      <w:rPr>
        <w:b/>
        <w:bCs/>
      </w:rPr>
    </w:tblStylePr>
    <w:tblStylePr w:type="lastCol">
      <w:rPr>
        <w:b/>
        <w:bCs/>
      </w:rPr>
    </w:tblStylePr>
    <w:tblStylePr w:type="band1Vert">
      <w:tblPr/>
      <w:tcPr>
        <w:shd w:val="clear" w:color="auto" w:fill="65D4F7" w:themeFill="accent6" w:themeFillTint="7F"/>
      </w:tcPr>
    </w:tblStylePr>
    <w:tblStylePr w:type="band1Horz">
      <w:tblPr/>
      <w:tcPr>
        <w:shd w:val="clear" w:color="auto" w:fill="65D4F7"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49E39" w:themeColor="accent1"/>
        <w:left w:val="single" w:sz="8" w:space="0" w:color="549E39" w:themeColor="accent1"/>
        <w:bottom w:val="single" w:sz="8" w:space="0" w:color="549E39" w:themeColor="accent1"/>
        <w:right w:val="single" w:sz="8" w:space="0" w:color="549E39" w:themeColor="accent1"/>
        <w:insideH w:val="single" w:sz="8" w:space="0" w:color="549E39" w:themeColor="accent1"/>
        <w:insideV w:val="single" w:sz="8" w:space="0" w:color="549E39" w:themeColor="accent1"/>
      </w:tblBorders>
    </w:tblPr>
    <w:tcPr>
      <w:shd w:val="clear" w:color="auto" w:fill="D2EBC9" w:themeFill="accent1" w:themeFillTint="3F"/>
    </w:tcPr>
    <w:tblStylePr w:type="firstRow">
      <w:rPr>
        <w:b/>
        <w:bCs/>
        <w:color w:val="000000" w:themeColor="text1"/>
      </w:rPr>
      <w:tblPr/>
      <w:tcPr>
        <w:shd w:val="clear" w:color="auto" w:fill="EDF7E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FD3" w:themeFill="accent1" w:themeFillTint="33"/>
      </w:tcPr>
    </w:tblStylePr>
    <w:tblStylePr w:type="band1Vert">
      <w:tblPr/>
      <w:tcPr>
        <w:shd w:val="clear" w:color="auto" w:fill="A5D893" w:themeFill="accent1" w:themeFillTint="7F"/>
      </w:tcPr>
    </w:tblStylePr>
    <w:tblStylePr w:type="band1Horz">
      <w:tblPr/>
      <w:tcPr>
        <w:tcBorders>
          <w:insideH w:val="single" w:sz="6" w:space="0" w:color="549E39" w:themeColor="accent1"/>
          <w:insideV w:val="single" w:sz="6" w:space="0" w:color="549E39" w:themeColor="accent1"/>
        </w:tcBorders>
        <w:shd w:val="clear" w:color="auto" w:fill="A5D89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AB833" w:themeColor="accent2"/>
        <w:left w:val="single" w:sz="8" w:space="0" w:color="8AB833" w:themeColor="accent2"/>
        <w:bottom w:val="single" w:sz="8" w:space="0" w:color="8AB833" w:themeColor="accent2"/>
        <w:right w:val="single" w:sz="8" w:space="0" w:color="8AB833" w:themeColor="accent2"/>
        <w:insideH w:val="single" w:sz="8" w:space="0" w:color="8AB833" w:themeColor="accent2"/>
        <w:insideV w:val="single" w:sz="8" w:space="0" w:color="8AB833" w:themeColor="accent2"/>
      </w:tblBorders>
    </w:tblPr>
    <w:tcPr>
      <w:shd w:val="clear" w:color="auto" w:fill="E2F0C9" w:themeFill="accent2" w:themeFillTint="3F"/>
    </w:tcPr>
    <w:tblStylePr w:type="firstRow">
      <w:rPr>
        <w:b/>
        <w:bCs/>
        <w:color w:val="000000" w:themeColor="text1"/>
      </w:rPr>
      <w:tblPr/>
      <w:tcPr>
        <w:shd w:val="clear" w:color="auto" w:fill="F3F9E9"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8F3D3" w:themeFill="accent2" w:themeFillTint="33"/>
      </w:tcPr>
    </w:tblStylePr>
    <w:tblStylePr w:type="band1Vert">
      <w:tblPr/>
      <w:tcPr>
        <w:shd w:val="clear" w:color="auto" w:fill="C6E193" w:themeFill="accent2" w:themeFillTint="7F"/>
      </w:tcPr>
    </w:tblStylePr>
    <w:tblStylePr w:type="band1Horz">
      <w:tblPr/>
      <w:tcPr>
        <w:tcBorders>
          <w:insideH w:val="single" w:sz="6" w:space="0" w:color="8AB833" w:themeColor="accent2"/>
          <w:insideV w:val="single" w:sz="6" w:space="0" w:color="8AB833" w:themeColor="accent2"/>
        </w:tcBorders>
        <w:shd w:val="clear" w:color="auto" w:fill="C6E193"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CF3A" w:themeColor="accent3"/>
        <w:left w:val="single" w:sz="8" w:space="0" w:color="C0CF3A" w:themeColor="accent3"/>
        <w:bottom w:val="single" w:sz="8" w:space="0" w:color="C0CF3A" w:themeColor="accent3"/>
        <w:right w:val="single" w:sz="8" w:space="0" w:color="C0CF3A" w:themeColor="accent3"/>
        <w:insideH w:val="single" w:sz="8" w:space="0" w:color="C0CF3A" w:themeColor="accent3"/>
        <w:insideV w:val="single" w:sz="8" w:space="0" w:color="C0CF3A" w:themeColor="accent3"/>
      </w:tblBorders>
    </w:tblPr>
    <w:tcPr>
      <w:shd w:val="clear" w:color="auto" w:fill="EFF3CE" w:themeFill="accent3" w:themeFillTint="3F"/>
    </w:tcPr>
    <w:tblStylePr w:type="firstRow">
      <w:rPr>
        <w:b/>
        <w:bCs/>
        <w:color w:val="000000" w:themeColor="text1"/>
      </w:rPr>
      <w:tblPr/>
      <w:tcPr>
        <w:shd w:val="clear" w:color="auto" w:fill="F8FAEB"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F5D7" w:themeFill="accent3" w:themeFillTint="33"/>
      </w:tcPr>
    </w:tblStylePr>
    <w:tblStylePr w:type="band1Vert">
      <w:tblPr/>
      <w:tcPr>
        <w:shd w:val="clear" w:color="auto" w:fill="DFE79C" w:themeFill="accent3" w:themeFillTint="7F"/>
      </w:tcPr>
    </w:tblStylePr>
    <w:tblStylePr w:type="band1Horz">
      <w:tblPr/>
      <w:tcPr>
        <w:tcBorders>
          <w:insideH w:val="single" w:sz="6" w:space="0" w:color="C0CF3A" w:themeColor="accent3"/>
          <w:insideV w:val="single" w:sz="6" w:space="0" w:color="C0CF3A" w:themeColor="accent3"/>
        </w:tcBorders>
        <w:shd w:val="clear" w:color="auto" w:fill="DFE79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29676" w:themeColor="accent4"/>
        <w:left w:val="single" w:sz="8" w:space="0" w:color="029676" w:themeColor="accent4"/>
        <w:bottom w:val="single" w:sz="8" w:space="0" w:color="029676" w:themeColor="accent4"/>
        <w:right w:val="single" w:sz="8" w:space="0" w:color="029676" w:themeColor="accent4"/>
        <w:insideH w:val="single" w:sz="8" w:space="0" w:color="029676" w:themeColor="accent4"/>
        <w:insideV w:val="single" w:sz="8" w:space="0" w:color="029676" w:themeColor="accent4"/>
      </w:tblBorders>
    </w:tblPr>
    <w:tcPr>
      <w:shd w:val="clear" w:color="auto" w:fill="A7FDEA" w:themeFill="accent4" w:themeFillTint="3F"/>
    </w:tcPr>
    <w:tblStylePr w:type="firstRow">
      <w:rPr>
        <w:b/>
        <w:bCs/>
        <w:color w:val="000000" w:themeColor="text1"/>
      </w:rPr>
      <w:tblPr/>
      <w:tcPr>
        <w:shd w:val="clear" w:color="auto" w:fill="DCFEF7"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8FEEE" w:themeFill="accent4" w:themeFillTint="33"/>
      </w:tcPr>
    </w:tblStylePr>
    <w:tblStylePr w:type="band1Vert">
      <w:tblPr/>
      <w:tcPr>
        <w:shd w:val="clear" w:color="auto" w:fill="4FFCD6" w:themeFill="accent4" w:themeFillTint="7F"/>
      </w:tcPr>
    </w:tblStylePr>
    <w:tblStylePr w:type="band1Horz">
      <w:tblPr/>
      <w:tcPr>
        <w:tcBorders>
          <w:insideH w:val="single" w:sz="6" w:space="0" w:color="029676" w:themeColor="accent4"/>
          <w:insideV w:val="single" w:sz="6" w:space="0" w:color="029676" w:themeColor="accent4"/>
        </w:tcBorders>
        <w:shd w:val="clear" w:color="auto" w:fill="4FFCD6"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AB5C4" w:themeColor="accent5"/>
        <w:left w:val="single" w:sz="8" w:space="0" w:color="4AB5C4" w:themeColor="accent5"/>
        <w:bottom w:val="single" w:sz="8" w:space="0" w:color="4AB5C4" w:themeColor="accent5"/>
        <w:right w:val="single" w:sz="8" w:space="0" w:color="4AB5C4" w:themeColor="accent5"/>
        <w:insideH w:val="single" w:sz="8" w:space="0" w:color="4AB5C4" w:themeColor="accent5"/>
        <w:insideV w:val="single" w:sz="8" w:space="0" w:color="4AB5C4" w:themeColor="accent5"/>
      </w:tblBorders>
    </w:tblPr>
    <w:tcPr>
      <w:shd w:val="clear" w:color="auto" w:fill="D2ECF0" w:themeFill="accent5" w:themeFillTint="3F"/>
    </w:tcPr>
    <w:tblStylePr w:type="firstRow">
      <w:rPr>
        <w:b/>
        <w:bCs/>
        <w:color w:val="000000" w:themeColor="text1"/>
      </w:rPr>
      <w:tblPr/>
      <w:tcPr>
        <w:shd w:val="clear" w:color="auto" w:fill="EDF7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F0F3" w:themeFill="accent5" w:themeFillTint="33"/>
      </w:tcPr>
    </w:tblStylePr>
    <w:tblStylePr w:type="band1Vert">
      <w:tblPr/>
      <w:tcPr>
        <w:shd w:val="clear" w:color="auto" w:fill="A4DAE1" w:themeFill="accent5" w:themeFillTint="7F"/>
      </w:tcPr>
    </w:tblStylePr>
    <w:tblStylePr w:type="band1Horz">
      <w:tblPr/>
      <w:tcPr>
        <w:tcBorders>
          <w:insideH w:val="single" w:sz="6" w:space="0" w:color="4AB5C4" w:themeColor="accent5"/>
          <w:insideV w:val="single" w:sz="6" w:space="0" w:color="4AB5C4" w:themeColor="accent5"/>
        </w:tcBorders>
        <w:shd w:val="clear" w:color="auto" w:fill="A4DAE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989B1" w:themeColor="accent6"/>
        <w:left w:val="single" w:sz="8" w:space="0" w:color="0989B1" w:themeColor="accent6"/>
        <w:bottom w:val="single" w:sz="8" w:space="0" w:color="0989B1" w:themeColor="accent6"/>
        <w:right w:val="single" w:sz="8" w:space="0" w:color="0989B1" w:themeColor="accent6"/>
        <w:insideH w:val="single" w:sz="8" w:space="0" w:color="0989B1" w:themeColor="accent6"/>
        <w:insideV w:val="single" w:sz="8" w:space="0" w:color="0989B1" w:themeColor="accent6"/>
      </w:tblBorders>
    </w:tblPr>
    <w:tcPr>
      <w:shd w:val="clear" w:color="auto" w:fill="B2E9FB" w:themeFill="accent6" w:themeFillTint="3F"/>
    </w:tcPr>
    <w:tblStylePr w:type="firstRow">
      <w:rPr>
        <w:b/>
        <w:bCs/>
        <w:color w:val="000000" w:themeColor="text1"/>
      </w:rPr>
      <w:tblPr/>
      <w:tcPr>
        <w:shd w:val="clear" w:color="auto" w:fill="E0F6F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DFC" w:themeFill="accent6" w:themeFillTint="33"/>
      </w:tcPr>
    </w:tblStylePr>
    <w:tblStylePr w:type="band1Vert">
      <w:tblPr/>
      <w:tcPr>
        <w:shd w:val="clear" w:color="auto" w:fill="65D4F7" w:themeFill="accent6" w:themeFillTint="7F"/>
      </w:tcPr>
    </w:tblStylePr>
    <w:tblStylePr w:type="band1Horz">
      <w:tblPr/>
      <w:tcPr>
        <w:tcBorders>
          <w:insideH w:val="single" w:sz="6" w:space="0" w:color="0989B1" w:themeColor="accent6"/>
          <w:insideV w:val="single" w:sz="6" w:space="0" w:color="0989B1" w:themeColor="accent6"/>
        </w:tcBorders>
        <w:shd w:val="clear" w:color="auto" w:fill="65D4F7"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BC9"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49E39"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49E39"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49E39"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49E39"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893"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893"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2F0C9"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AB833"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AB833"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AB833"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AB833"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6E193"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6E193"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F3CE"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CF3A"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CF3A"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CF3A"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CF3A"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E79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E79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7FDE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29676"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29676"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29676"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29676"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FFCD6"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FFCD6"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C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AB5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AB5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AB5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AB5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4DA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4DAE1"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E9FB"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989B1"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989B1"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989B1"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989B1"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5D4F7"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5D4F7"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549E39"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94E1C"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E762A"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E762A" w:themeFill="accent1" w:themeFillShade="BF"/>
      </w:tcPr>
    </w:tblStylePr>
    <w:tblStylePr w:type="band1Vert">
      <w:tblPr/>
      <w:tcPr>
        <w:tcBorders>
          <w:top w:val="nil"/>
          <w:left w:val="nil"/>
          <w:bottom w:val="nil"/>
          <w:right w:val="nil"/>
          <w:insideH w:val="nil"/>
          <w:insideV w:val="nil"/>
        </w:tcBorders>
        <w:shd w:val="clear" w:color="auto" w:fill="3E762A" w:themeFill="accent1" w:themeFillShade="BF"/>
      </w:tcPr>
    </w:tblStylePr>
    <w:tblStylePr w:type="band1Horz">
      <w:tblPr/>
      <w:tcPr>
        <w:tcBorders>
          <w:top w:val="nil"/>
          <w:left w:val="nil"/>
          <w:bottom w:val="nil"/>
          <w:right w:val="nil"/>
          <w:insideH w:val="nil"/>
          <w:insideV w:val="nil"/>
        </w:tcBorders>
        <w:shd w:val="clear" w:color="auto" w:fill="3E762A"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8AB833"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45B19"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66892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668926" w:themeFill="accent2" w:themeFillShade="BF"/>
      </w:tcPr>
    </w:tblStylePr>
    <w:tblStylePr w:type="band1Vert">
      <w:tblPr/>
      <w:tcPr>
        <w:tcBorders>
          <w:top w:val="nil"/>
          <w:left w:val="nil"/>
          <w:bottom w:val="nil"/>
          <w:right w:val="nil"/>
          <w:insideH w:val="nil"/>
          <w:insideV w:val="nil"/>
        </w:tcBorders>
        <w:shd w:val="clear" w:color="auto" w:fill="668926" w:themeFill="accent2" w:themeFillShade="BF"/>
      </w:tcPr>
    </w:tblStylePr>
    <w:tblStylePr w:type="band1Horz">
      <w:tblPr/>
      <w:tcPr>
        <w:tcBorders>
          <w:top w:val="nil"/>
          <w:left w:val="nil"/>
          <w:bottom w:val="nil"/>
          <w:right w:val="nil"/>
          <w:insideH w:val="nil"/>
          <w:insideV w:val="nil"/>
        </w:tcBorders>
        <w:shd w:val="clear" w:color="auto" w:fill="668926"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C0CF3A"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16919"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939F27"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939F27" w:themeFill="accent3" w:themeFillShade="BF"/>
      </w:tcPr>
    </w:tblStylePr>
    <w:tblStylePr w:type="band1Vert">
      <w:tblPr/>
      <w:tcPr>
        <w:tcBorders>
          <w:top w:val="nil"/>
          <w:left w:val="nil"/>
          <w:bottom w:val="nil"/>
          <w:right w:val="nil"/>
          <w:insideH w:val="nil"/>
          <w:insideV w:val="nil"/>
        </w:tcBorders>
        <w:shd w:val="clear" w:color="auto" w:fill="939F27" w:themeFill="accent3" w:themeFillShade="BF"/>
      </w:tcPr>
    </w:tblStylePr>
    <w:tblStylePr w:type="band1Horz">
      <w:tblPr/>
      <w:tcPr>
        <w:tcBorders>
          <w:top w:val="nil"/>
          <w:left w:val="nil"/>
          <w:bottom w:val="nil"/>
          <w:right w:val="nil"/>
          <w:insideH w:val="nil"/>
          <w:insideV w:val="nil"/>
        </w:tcBorders>
        <w:shd w:val="clear" w:color="auto" w:fill="939F27"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029676"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14A3A"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17057"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17057" w:themeFill="accent4" w:themeFillShade="BF"/>
      </w:tcPr>
    </w:tblStylePr>
    <w:tblStylePr w:type="band1Vert">
      <w:tblPr/>
      <w:tcPr>
        <w:tcBorders>
          <w:top w:val="nil"/>
          <w:left w:val="nil"/>
          <w:bottom w:val="nil"/>
          <w:right w:val="nil"/>
          <w:insideH w:val="nil"/>
          <w:insideV w:val="nil"/>
        </w:tcBorders>
        <w:shd w:val="clear" w:color="auto" w:fill="017057" w:themeFill="accent4" w:themeFillShade="BF"/>
      </w:tcPr>
    </w:tblStylePr>
    <w:tblStylePr w:type="band1Horz">
      <w:tblPr/>
      <w:tcPr>
        <w:tcBorders>
          <w:top w:val="nil"/>
          <w:left w:val="nil"/>
          <w:bottom w:val="nil"/>
          <w:right w:val="nil"/>
          <w:insideH w:val="nil"/>
          <w:insideV w:val="nil"/>
        </w:tcBorders>
        <w:shd w:val="clear" w:color="auto" w:fill="017057"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AB5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15C6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B9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B98" w:themeFill="accent5" w:themeFillShade="BF"/>
      </w:tcPr>
    </w:tblStylePr>
    <w:tblStylePr w:type="band1Vert">
      <w:tblPr/>
      <w:tcPr>
        <w:tcBorders>
          <w:top w:val="nil"/>
          <w:left w:val="nil"/>
          <w:bottom w:val="nil"/>
          <w:right w:val="nil"/>
          <w:insideH w:val="nil"/>
          <w:insideV w:val="nil"/>
        </w:tcBorders>
        <w:shd w:val="clear" w:color="auto" w:fill="318B98" w:themeFill="accent5" w:themeFillShade="BF"/>
      </w:tcPr>
    </w:tblStylePr>
    <w:tblStylePr w:type="band1Horz">
      <w:tblPr/>
      <w:tcPr>
        <w:tcBorders>
          <w:top w:val="nil"/>
          <w:left w:val="nil"/>
          <w:bottom w:val="nil"/>
          <w:right w:val="nil"/>
          <w:insideH w:val="nil"/>
          <w:insideV w:val="nil"/>
        </w:tcBorders>
        <w:shd w:val="clear" w:color="auto" w:fill="318B98"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0989B1"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4435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66684"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66684" w:themeFill="accent6" w:themeFillShade="BF"/>
      </w:tcPr>
    </w:tblStylePr>
    <w:tblStylePr w:type="band1Vert">
      <w:tblPr/>
      <w:tcPr>
        <w:tcBorders>
          <w:top w:val="nil"/>
          <w:left w:val="nil"/>
          <w:bottom w:val="nil"/>
          <w:right w:val="nil"/>
          <w:insideH w:val="nil"/>
          <w:insideV w:val="nil"/>
        </w:tcBorders>
        <w:shd w:val="clear" w:color="auto" w:fill="066684" w:themeFill="accent6" w:themeFillShade="BF"/>
      </w:tcPr>
    </w:tblStylePr>
    <w:tblStylePr w:type="band1Horz">
      <w:tblPr/>
      <w:tcPr>
        <w:tcBorders>
          <w:top w:val="nil"/>
          <w:left w:val="nil"/>
          <w:bottom w:val="nil"/>
          <w:right w:val="nil"/>
          <w:insideH w:val="nil"/>
          <w:insideV w:val="nil"/>
        </w:tcBorders>
        <w:shd w:val="clear" w:color="auto" w:fill="066684"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8AB833"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8AB83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8AB833" w:themeColor="accent2"/>
        <w:left w:val="single" w:sz="4" w:space="0" w:color="549E39" w:themeColor="accent1"/>
        <w:bottom w:val="single" w:sz="4" w:space="0" w:color="549E39" w:themeColor="accent1"/>
        <w:right w:val="single" w:sz="4" w:space="0" w:color="549E39" w:themeColor="accent1"/>
        <w:insideH w:val="single" w:sz="4" w:space="0" w:color="FFFFFF" w:themeColor="background1"/>
        <w:insideV w:val="single" w:sz="4" w:space="0" w:color="FFFFFF" w:themeColor="background1"/>
      </w:tblBorders>
    </w:tblPr>
    <w:tcPr>
      <w:shd w:val="clear" w:color="auto" w:fill="EDF7E9" w:themeFill="accent1" w:themeFillTint="19"/>
    </w:tcPr>
    <w:tblStylePr w:type="firstRow">
      <w:rPr>
        <w:b/>
        <w:bCs/>
      </w:rPr>
      <w:tblPr/>
      <w:tcPr>
        <w:tcBorders>
          <w:top w:val="nil"/>
          <w:left w:val="nil"/>
          <w:bottom w:val="single" w:sz="24" w:space="0" w:color="8AB83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25E22" w:themeFill="accent1" w:themeFillShade="99"/>
      </w:tcPr>
    </w:tblStylePr>
    <w:tblStylePr w:type="firstCol">
      <w:rPr>
        <w:color w:val="FFFFFF" w:themeColor="background1"/>
      </w:rPr>
      <w:tblPr/>
      <w:tcPr>
        <w:tcBorders>
          <w:top w:val="nil"/>
          <w:left w:val="nil"/>
          <w:bottom w:val="nil"/>
          <w:right w:val="nil"/>
          <w:insideH w:val="single" w:sz="4" w:space="0" w:color="325E22" w:themeColor="accent1" w:themeShade="99"/>
          <w:insideV w:val="nil"/>
        </w:tcBorders>
        <w:shd w:val="clear" w:color="auto" w:fill="325E22"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325E22" w:themeFill="accent1" w:themeFillShade="99"/>
      </w:tcPr>
    </w:tblStylePr>
    <w:tblStylePr w:type="band1Vert">
      <w:tblPr/>
      <w:tcPr>
        <w:shd w:val="clear" w:color="auto" w:fill="B7DFA8" w:themeFill="accent1" w:themeFillTint="66"/>
      </w:tcPr>
    </w:tblStylePr>
    <w:tblStylePr w:type="band1Horz">
      <w:tblPr/>
      <w:tcPr>
        <w:shd w:val="clear" w:color="auto" w:fill="A5D893"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8AB833" w:themeColor="accent2"/>
        <w:left w:val="single" w:sz="4" w:space="0" w:color="8AB833" w:themeColor="accent2"/>
        <w:bottom w:val="single" w:sz="4" w:space="0" w:color="8AB833" w:themeColor="accent2"/>
        <w:right w:val="single" w:sz="4" w:space="0" w:color="8AB833" w:themeColor="accent2"/>
        <w:insideH w:val="single" w:sz="4" w:space="0" w:color="FFFFFF" w:themeColor="background1"/>
        <w:insideV w:val="single" w:sz="4" w:space="0" w:color="FFFFFF" w:themeColor="background1"/>
      </w:tblBorders>
    </w:tblPr>
    <w:tcPr>
      <w:shd w:val="clear" w:color="auto" w:fill="F3F9E9" w:themeFill="accent2" w:themeFillTint="19"/>
    </w:tcPr>
    <w:tblStylePr w:type="firstRow">
      <w:rPr>
        <w:b/>
        <w:bCs/>
      </w:rPr>
      <w:tblPr/>
      <w:tcPr>
        <w:tcBorders>
          <w:top w:val="nil"/>
          <w:left w:val="nil"/>
          <w:bottom w:val="single" w:sz="24" w:space="0" w:color="8AB83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26E1E" w:themeFill="accent2" w:themeFillShade="99"/>
      </w:tcPr>
    </w:tblStylePr>
    <w:tblStylePr w:type="firstCol">
      <w:rPr>
        <w:color w:val="FFFFFF" w:themeColor="background1"/>
      </w:rPr>
      <w:tblPr/>
      <w:tcPr>
        <w:tcBorders>
          <w:top w:val="nil"/>
          <w:left w:val="nil"/>
          <w:bottom w:val="nil"/>
          <w:right w:val="nil"/>
          <w:insideH w:val="single" w:sz="4" w:space="0" w:color="526E1E" w:themeColor="accent2" w:themeShade="99"/>
          <w:insideV w:val="nil"/>
        </w:tcBorders>
        <w:shd w:val="clear" w:color="auto" w:fill="526E1E"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526E1E" w:themeFill="accent2" w:themeFillShade="99"/>
      </w:tcPr>
    </w:tblStylePr>
    <w:tblStylePr w:type="band1Vert">
      <w:tblPr/>
      <w:tcPr>
        <w:shd w:val="clear" w:color="auto" w:fill="D1E7A8" w:themeFill="accent2" w:themeFillTint="66"/>
      </w:tcPr>
    </w:tblStylePr>
    <w:tblStylePr w:type="band1Horz">
      <w:tblPr/>
      <w:tcPr>
        <w:shd w:val="clear" w:color="auto" w:fill="C6E193"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029676" w:themeColor="accent4"/>
        <w:left w:val="single" w:sz="4" w:space="0" w:color="C0CF3A" w:themeColor="accent3"/>
        <w:bottom w:val="single" w:sz="4" w:space="0" w:color="C0CF3A" w:themeColor="accent3"/>
        <w:right w:val="single" w:sz="4" w:space="0" w:color="C0CF3A" w:themeColor="accent3"/>
        <w:insideH w:val="single" w:sz="4" w:space="0" w:color="FFFFFF" w:themeColor="background1"/>
        <w:insideV w:val="single" w:sz="4" w:space="0" w:color="FFFFFF" w:themeColor="background1"/>
      </w:tblBorders>
    </w:tblPr>
    <w:tcPr>
      <w:shd w:val="clear" w:color="auto" w:fill="F8FAEB" w:themeFill="accent3" w:themeFillTint="19"/>
    </w:tcPr>
    <w:tblStylePr w:type="firstRow">
      <w:rPr>
        <w:b/>
        <w:bCs/>
      </w:rPr>
      <w:tblPr/>
      <w:tcPr>
        <w:tcBorders>
          <w:top w:val="nil"/>
          <w:left w:val="nil"/>
          <w:bottom w:val="single" w:sz="24" w:space="0" w:color="029676"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57F1F" w:themeFill="accent3" w:themeFillShade="99"/>
      </w:tcPr>
    </w:tblStylePr>
    <w:tblStylePr w:type="firstCol">
      <w:rPr>
        <w:color w:val="FFFFFF" w:themeColor="background1"/>
      </w:rPr>
      <w:tblPr/>
      <w:tcPr>
        <w:tcBorders>
          <w:top w:val="nil"/>
          <w:left w:val="nil"/>
          <w:bottom w:val="nil"/>
          <w:right w:val="nil"/>
          <w:insideH w:val="single" w:sz="4" w:space="0" w:color="757F1F" w:themeColor="accent3" w:themeShade="99"/>
          <w:insideV w:val="nil"/>
        </w:tcBorders>
        <w:shd w:val="clear" w:color="auto" w:fill="757F1F"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757F1F" w:themeFill="accent3" w:themeFillShade="99"/>
      </w:tcPr>
    </w:tblStylePr>
    <w:tblStylePr w:type="band1Vert">
      <w:tblPr/>
      <w:tcPr>
        <w:shd w:val="clear" w:color="auto" w:fill="E5EBB0" w:themeFill="accent3" w:themeFillTint="66"/>
      </w:tcPr>
    </w:tblStylePr>
    <w:tblStylePr w:type="band1Horz">
      <w:tblPr/>
      <w:tcPr>
        <w:shd w:val="clear" w:color="auto" w:fill="DFE79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C0CF3A" w:themeColor="accent3"/>
        <w:left w:val="single" w:sz="4" w:space="0" w:color="029676" w:themeColor="accent4"/>
        <w:bottom w:val="single" w:sz="4" w:space="0" w:color="029676" w:themeColor="accent4"/>
        <w:right w:val="single" w:sz="4" w:space="0" w:color="029676" w:themeColor="accent4"/>
        <w:insideH w:val="single" w:sz="4" w:space="0" w:color="FFFFFF" w:themeColor="background1"/>
        <w:insideV w:val="single" w:sz="4" w:space="0" w:color="FFFFFF" w:themeColor="background1"/>
      </w:tblBorders>
    </w:tblPr>
    <w:tcPr>
      <w:shd w:val="clear" w:color="auto" w:fill="DCFEF7" w:themeFill="accent4" w:themeFillTint="19"/>
    </w:tcPr>
    <w:tblStylePr w:type="firstRow">
      <w:rPr>
        <w:b/>
        <w:bCs/>
      </w:rPr>
      <w:tblPr/>
      <w:tcPr>
        <w:tcBorders>
          <w:top w:val="nil"/>
          <w:left w:val="nil"/>
          <w:bottom w:val="single" w:sz="24" w:space="0" w:color="C0CF3A"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15946" w:themeFill="accent4" w:themeFillShade="99"/>
      </w:tcPr>
    </w:tblStylePr>
    <w:tblStylePr w:type="firstCol">
      <w:rPr>
        <w:color w:val="FFFFFF" w:themeColor="background1"/>
      </w:rPr>
      <w:tblPr/>
      <w:tcPr>
        <w:tcBorders>
          <w:top w:val="nil"/>
          <w:left w:val="nil"/>
          <w:bottom w:val="nil"/>
          <w:right w:val="nil"/>
          <w:insideH w:val="single" w:sz="4" w:space="0" w:color="015946" w:themeColor="accent4" w:themeShade="99"/>
          <w:insideV w:val="nil"/>
        </w:tcBorders>
        <w:shd w:val="clear" w:color="auto" w:fill="01594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15946" w:themeFill="accent4" w:themeFillShade="99"/>
      </w:tcPr>
    </w:tblStylePr>
    <w:tblStylePr w:type="band1Vert">
      <w:tblPr/>
      <w:tcPr>
        <w:shd w:val="clear" w:color="auto" w:fill="71FDDE" w:themeFill="accent4" w:themeFillTint="66"/>
      </w:tcPr>
    </w:tblStylePr>
    <w:tblStylePr w:type="band1Horz">
      <w:tblPr/>
      <w:tcPr>
        <w:shd w:val="clear" w:color="auto" w:fill="4FFCD6"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0989B1" w:themeColor="accent6"/>
        <w:left w:val="single" w:sz="4" w:space="0" w:color="4AB5C4" w:themeColor="accent5"/>
        <w:bottom w:val="single" w:sz="4" w:space="0" w:color="4AB5C4" w:themeColor="accent5"/>
        <w:right w:val="single" w:sz="4" w:space="0" w:color="4AB5C4" w:themeColor="accent5"/>
        <w:insideH w:val="single" w:sz="4" w:space="0" w:color="FFFFFF" w:themeColor="background1"/>
        <w:insideV w:val="single" w:sz="4" w:space="0" w:color="FFFFFF" w:themeColor="background1"/>
      </w:tblBorders>
    </w:tblPr>
    <w:tcPr>
      <w:shd w:val="clear" w:color="auto" w:fill="EDF7F9" w:themeFill="accent5" w:themeFillTint="19"/>
    </w:tcPr>
    <w:tblStylePr w:type="firstRow">
      <w:rPr>
        <w:b/>
        <w:bCs/>
      </w:rPr>
      <w:tblPr/>
      <w:tcPr>
        <w:tcBorders>
          <w:top w:val="nil"/>
          <w:left w:val="nil"/>
          <w:bottom w:val="single" w:sz="24" w:space="0" w:color="0989B1"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86F7A" w:themeFill="accent5" w:themeFillShade="99"/>
      </w:tcPr>
    </w:tblStylePr>
    <w:tblStylePr w:type="firstCol">
      <w:rPr>
        <w:color w:val="FFFFFF" w:themeColor="background1"/>
      </w:rPr>
      <w:tblPr/>
      <w:tcPr>
        <w:tcBorders>
          <w:top w:val="nil"/>
          <w:left w:val="nil"/>
          <w:bottom w:val="nil"/>
          <w:right w:val="nil"/>
          <w:insideH w:val="single" w:sz="4" w:space="0" w:color="286F7A" w:themeColor="accent5" w:themeShade="99"/>
          <w:insideV w:val="nil"/>
        </w:tcBorders>
        <w:shd w:val="clear" w:color="auto" w:fill="286F7A"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86F7A" w:themeFill="accent5" w:themeFillShade="99"/>
      </w:tcPr>
    </w:tblStylePr>
    <w:tblStylePr w:type="band1Vert">
      <w:tblPr/>
      <w:tcPr>
        <w:shd w:val="clear" w:color="auto" w:fill="B6E1E7" w:themeFill="accent5" w:themeFillTint="66"/>
      </w:tcPr>
    </w:tblStylePr>
    <w:tblStylePr w:type="band1Horz">
      <w:tblPr/>
      <w:tcPr>
        <w:shd w:val="clear" w:color="auto" w:fill="A4DAE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AB5C4" w:themeColor="accent5"/>
        <w:left w:val="single" w:sz="4" w:space="0" w:color="0989B1" w:themeColor="accent6"/>
        <w:bottom w:val="single" w:sz="4" w:space="0" w:color="0989B1" w:themeColor="accent6"/>
        <w:right w:val="single" w:sz="4" w:space="0" w:color="0989B1" w:themeColor="accent6"/>
        <w:insideH w:val="single" w:sz="4" w:space="0" w:color="FFFFFF" w:themeColor="background1"/>
        <w:insideV w:val="single" w:sz="4" w:space="0" w:color="FFFFFF" w:themeColor="background1"/>
      </w:tblBorders>
    </w:tblPr>
    <w:tcPr>
      <w:shd w:val="clear" w:color="auto" w:fill="E0F6FD" w:themeFill="accent6" w:themeFillTint="19"/>
    </w:tcPr>
    <w:tblStylePr w:type="firstRow">
      <w:rPr>
        <w:b/>
        <w:bCs/>
      </w:rPr>
      <w:tblPr/>
      <w:tcPr>
        <w:tcBorders>
          <w:top w:val="nil"/>
          <w:left w:val="nil"/>
          <w:bottom w:val="single" w:sz="24" w:space="0" w:color="4AB5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55169" w:themeFill="accent6" w:themeFillShade="99"/>
      </w:tcPr>
    </w:tblStylePr>
    <w:tblStylePr w:type="firstCol">
      <w:rPr>
        <w:color w:val="FFFFFF" w:themeColor="background1"/>
      </w:rPr>
      <w:tblPr/>
      <w:tcPr>
        <w:tcBorders>
          <w:top w:val="nil"/>
          <w:left w:val="nil"/>
          <w:bottom w:val="nil"/>
          <w:right w:val="nil"/>
          <w:insideH w:val="single" w:sz="4" w:space="0" w:color="055169" w:themeColor="accent6" w:themeShade="99"/>
          <w:insideV w:val="nil"/>
        </w:tcBorders>
        <w:shd w:val="clear" w:color="auto" w:fill="055169"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55169" w:themeFill="accent6" w:themeFillShade="99"/>
      </w:tcPr>
    </w:tblStylePr>
    <w:tblStylePr w:type="band1Vert">
      <w:tblPr/>
      <w:tcPr>
        <w:shd w:val="clear" w:color="auto" w:fill="83DCF8" w:themeFill="accent6" w:themeFillTint="66"/>
      </w:tcPr>
    </w:tblStylePr>
    <w:tblStylePr w:type="band1Horz">
      <w:tblPr/>
      <w:tcPr>
        <w:shd w:val="clear" w:color="auto" w:fill="65D4F7"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6E9329" w:themeFill="accent2" w:themeFillShade="CC"/>
      </w:tcPr>
    </w:tblStylePr>
    <w:tblStylePr w:type="lastRow">
      <w:rPr>
        <w:b/>
        <w:bCs/>
        <w:color w:val="6E9329"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7E9" w:themeFill="accent1" w:themeFillTint="19"/>
    </w:tcPr>
    <w:tblStylePr w:type="firstRow">
      <w:rPr>
        <w:b/>
        <w:bCs/>
        <w:color w:val="FFFFFF" w:themeColor="background1"/>
      </w:rPr>
      <w:tblPr/>
      <w:tcPr>
        <w:tcBorders>
          <w:bottom w:val="single" w:sz="12" w:space="0" w:color="FFFFFF" w:themeColor="background1"/>
        </w:tcBorders>
        <w:shd w:val="clear" w:color="auto" w:fill="6E9329" w:themeFill="accent2" w:themeFillShade="CC"/>
      </w:tcPr>
    </w:tblStylePr>
    <w:tblStylePr w:type="lastRow">
      <w:rPr>
        <w:b/>
        <w:bCs/>
        <w:color w:val="6E9329"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BC9" w:themeFill="accent1" w:themeFillTint="3F"/>
      </w:tcPr>
    </w:tblStylePr>
    <w:tblStylePr w:type="band1Horz">
      <w:tblPr/>
      <w:tcPr>
        <w:shd w:val="clear" w:color="auto" w:fill="DAEFD3"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3F9E9" w:themeFill="accent2" w:themeFillTint="19"/>
    </w:tcPr>
    <w:tblStylePr w:type="firstRow">
      <w:rPr>
        <w:b/>
        <w:bCs/>
        <w:color w:val="FFFFFF" w:themeColor="background1"/>
      </w:rPr>
      <w:tblPr/>
      <w:tcPr>
        <w:tcBorders>
          <w:bottom w:val="single" w:sz="12" w:space="0" w:color="FFFFFF" w:themeColor="background1"/>
        </w:tcBorders>
        <w:shd w:val="clear" w:color="auto" w:fill="6E9329" w:themeFill="accent2" w:themeFillShade="CC"/>
      </w:tcPr>
    </w:tblStylePr>
    <w:tblStylePr w:type="lastRow">
      <w:rPr>
        <w:b/>
        <w:bCs/>
        <w:color w:val="6E9329"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2F0C9" w:themeFill="accent2" w:themeFillTint="3F"/>
      </w:tcPr>
    </w:tblStylePr>
    <w:tblStylePr w:type="band1Horz">
      <w:tblPr/>
      <w:tcPr>
        <w:shd w:val="clear" w:color="auto" w:fill="E8F3D3"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8FAEB" w:themeFill="accent3" w:themeFillTint="19"/>
    </w:tcPr>
    <w:tblStylePr w:type="firstRow">
      <w:rPr>
        <w:b/>
        <w:bCs/>
        <w:color w:val="FFFFFF" w:themeColor="background1"/>
      </w:rPr>
      <w:tblPr/>
      <w:tcPr>
        <w:tcBorders>
          <w:bottom w:val="single" w:sz="12" w:space="0" w:color="FFFFFF" w:themeColor="background1"/>
        </w:tcBorders>
        <w:shd w:val="clear" w:color="auto" w:fill="01775D" w:themeFill="accent4" w:themeFillShade="CC"/>
      </w:tcPr>
    </w:tblStylePr>
    <w:tblStylePr w:type="lastRow">
      <w:rPr>
        <w:b/>
        <w:bCs/>
        <w:color w:val="01775D"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F3CE" w:themeFill="accent3" w:themeFillTint="3F"/>
      </w:tcPr>
    </w:tblStylePr>
    <w:tblStylePr w:type="band1Horz">
      <w:tblPr/>
      <w:tcPr>
        <w:shd w:val="clear" w:color="auto" w:fill="F2F5D7"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DCFEF7" w:themeFill="accent4" w:themeFillTint="19"/>
    </w:tcPr>
    <w:tblStylePr w:type="firstRow">
      <w:rPr>
        <w:b/>
        <w:bCs/>
        <w:color w:val="FFFFFF" w:themeColor="background1"/>
      </w:rPr>
      <w:tblPr/>
      <w:tcPr>
        <w:tcBorders>
          <w:bottom w:val="single" w:sz="12" w:space="0" w:color="FFFFFF" w:themeColor="background1"/>
        </w:tcBorders>
        <w:shd w:val="clear" w:color="auto" w:fill="9DAA29" w:themeFill="accent3" w:themeFillShade="CC"/>
      </w:tcPr>
    </w:tblStylePr>
    <w:tblStylePr w:type="lastRow">
      <w:rPr>
        <w:b/>
        <w:bCs/>
        <w:color w:val="9DAA29"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7FDEA" w:themeFill="accent4" w:themeFillTint="3F"/>
      </w:tcPr>
    </w:tblStylePr>
    <w:tblStylePr w:type="band1Horz">
      <w:tblPr/>
      <w:tcPr>
        <w:shd w:val="clear" w:color="auto" w:fill="B8FEEE"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7F9" w:themeFill="accent5" w:themeFillTint="19"/>
    </w:tcPr>
    <w:tblStylePr w:type="firstRow">
      <w:rPr>
        <w:b/>
        <w:bCs/>
        <w:color w:val="FFFFFF" w:themeColor="background1"/>
      </w:rPr>
      <w:tblPr/>
      <w:tcPr>
        <w:tcBorders>
          <w:bottom w:val="single" w:sz="12" w:space="0" w:color="FFFFFF" w:themeColor="background1"/>
        </w:tcBorders>
        <w:shd w:val="clear" w:color="auto" w:fill="076D8D" w:themeFill="accent6" w:themeFillShade="CC"/>
      </w:tcPr>
    </w:tblStylePr>
    <w:tblStylePr w:type="lastRow">
      <w:rPr>
        <w:b/>
        <w:bCs/>
        <w:color w:val="076D8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CF0" w:themeFill="accent5" w:themeFillTint="3F"/>
      </w:tcPr>
    </w:tblStylePr>
    <w:tblStylePr w:type="band1Horz">
      <w:tblPr/>
      <w:tcPr>
        <w:shd w:val="clear" w:color="auto" w:fill="DAF0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0F6FD" w:themeFill="accent6" w:themeFillTint="19"/>
    </w:tcPr>
    <w:tblStylePr w:type="firstRow">
      <w:rPr>
        <w:b/>
        <w:bCs/>
        <w:color w:val="FFFFFF" w:themeColor="background1"/>
      </w:rPr>
      <w:tblPr/>
      <w:tcPr>
        <w:tcBorders>
          <w:bottom w:val="single" w:sz="12" w:space="0" w:color="FFFFFF" w:themeColor="background1"/>
        </w:tcBorders>
        <w:shd w:val="clear" w:color="auto" w:fill="3595A2" w:themeFill="accent5" w:themeFillShade="CC"/>
      </w:tcPr>
    </w:tblStylePr>
    <w:tblStylePr w:type="lastRow">
      <w:rPr>
        <w:b/>
        <w:bCs/>
        <w:color w:val="3595A2"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E9FB" w:themeFill="accent6" w:themeFillTint="3F"/>
      </w:tcPr>
    </w:tblStylePr>
    <w:tblStylePr w:type="band1Horz">
      <w:tblPr/>
      <w:tcPr>
        <w:shd w:val="clear" w:color="auto" w:fill="C1EDFC"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FD3" w:themeFill="accent1" w:themeFillTint="33"/>
    </w:tcPr>
    <w:tblStylePr w:type="firstRow">
      <w:rPr>
        <w:b/>
        <w:bCs/>
      </w:rPr>
      <w:tblPr/>
      <w:tcPr>
        <w:shd w:val="clear" w:color="auto" w:fill="B7DFA8" w:themeFill="accent1" w:themeFillTint="66"/>
      </w:tcPr>
    </w:tblStylePr>
    <w:tblStylePr w:type="lastRow">
      <w:rPr>
        <w:b/>
        <w:bCs/>
        <w:color w:val="000000" w:themeColor="text1"/>
      </w:rPr>
      <w:tblPr/>
      <w:tcPr>
        <w:shd w:val="clear" w:color="auto" w:fill="B7DFA8" w:themeFill="accent1" w:themeFillTint="66"/>
      </w:tcPr>
    </w:tblStylePr>
    <w:tblStylePr w:type="firstCol">
      <w:rPr>
        <w:color w:val="FFFFFF" w:themeColor="background1"/>
      </w:rPr>
      <w:tblPr/>
      <w:tcPr>
        <w:shd w:val="clear" w:color="auto" w:fill="3E762A" w:themeFill="accent1" w:themeFillShade="BF"/>
      </w:tcPr>
    </w:tblStylePr>
    <w:tblStylePr w:type="lastCol">
      <w:rPr>
        <w:color w:val="FFFFFF" w:themeColor="background1"/>
      </w:rPr>
      <w:tblPr/>
      <w:tcPr>
        <w:shd w:val="clear" w:color="auto" w:fill="3E762A" w:themeFill="accent1" w:themeFillShade="BF"/>
      </w:tcPr>
    </w:tblStylePr>
    <w:tblStylePr w:type="band1Vert">
      <w:tblPr/>
      <w:tcPr>
        <w:shd w:val="clear" w:color="auto" w:fill="A5D893" w:themeFill="accent1" w:themeFillTint="7F"/>
      </w:tcPr>
    </w:tblStylePr>
    <w:tblStylePr w:type="band1Horz">
      <w:tblPr/>
      <w:tcPr>
        <w:shd w:val="clear" w:color="auto" w:fill="A5D893"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8F3D3" w:themeFill="accent2" w:themeFillTint="33"/>
    </w:tcPr>
    <w:tblStylePr w:type="firstRow">
      <w:rPr>
        <w:b/>
        <w:bCs/>
      </w:rPr>
      <w:tblPr/>
      <w:tcPr>
        <w:shd w:val="clear" w:color="auto" w:fill="D1E7A8" w:themeFill="accent2" w:themeFillTint="66"/>
      </w:tcPr>
    </w:tblStylePr>
    <w:tblStylePr w:type="lastRow">
      <w:rPr>
        <w:b/>
        <w:bCs/>
        <w:color w:val="000000" w:themeColor="text1"/>
      </w:rPr>
      <w:tblPr/>
      <w:tcPr>
        <w:shd w:val="clear" w:color="auto" w:fill="D1E7A8" w:themeFill="accent2" w:themeFillTint="66"/>
      </w:tcPr>
    </w:tblStylePr>
    <w:tblStylePr w:type="firstCol">
      <w:rPr>
        <w:color w:val="FFFFFF" w:themeColor="background1"/>
      </w:rPr>
      <w:tblPr/>
      <w:tcPr>
        <w:shd w:val="clear" w:color="auto" w:fill="668926" w:themeFill="accent2" w:themeFillShade="BF"/>
      </w:tcPr>
    </w:tblStylePr>
    <w:tblStylePr w:type="lastCol">
      <w:rPr>
        <w:color w:val="FFFFFF" w:themeColor="background1"/>
      </w:rPr>
      <w:tblPr/>
      <w:tcPr>
        <w:shd w:val="clear" w:color="auto" w:fill="668926" w:themeFill="accent2" w:themeFillShade="BF"/>
      </w:tcPr>
    </w:tblStylePr>
    <w:tblStylePr w:type="band1Vert">
      <w:tblPr/>
      <w:tcPr>
        <w:shd w:val="clear" w:color="auto" w:fill="C6E193" w:themeFill="accent2" w:themeFillTint="7F"/>
      </w:tcPr>
    </w:tblStylePr>
    <w:tblStylePr w:type="band1Horz">
      <w:tblPr/>
      <w:tcPr>
        <w:shd w:val="clear" w:color="auto" w:fill="C6E193"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F5D7" w:themeFill="accent3" w:themeFillTint="33"/>
    </w:tcPr>
    <w:tblStylePr w:type="firstRow">
      <w:rPr>
        <w:b/>
        <w:bCs/>
      </w:rPr>
      <w:tblPr/>
      <w:tcPr>
        <w:shd w:val="clear" w:color="auto" w:fill="E5EBB0" w:themeFill="accent3" w:themeFillTint="66"/>
      </w:tcPr>
    </w:tblStylePr>
    <w:tblStylePr w:type="lastRow">
      <w:rPr>
        <w:b/>
        <w:bCs/>
        <w:color w:val="000000" w:themeColor="text1"/>
      </w:rPr>
      <w:tblPr/>
      <w:tcPr>
        <w:shd w:val="clear" w:color="auto" w:fill="E5EBB0" w:themeFill="accent3" w:themeFillTint="66"/>
      </w:tcPr>
    </w:tblStylePr>
    <w:tblStylePr w:type="firstCol">
      <w:rPr>
        <w:color w:val="FFFFFF" w:themeColor="background1"/>
      </w:rPr>
      <w:tblPr/>
      <w:tcPr>
        <w:shd w:val="clear" w:color="auto" w:fill="939F27" w:themeFill="accent3" w:themeFillShade="BF"/>
      </w:tcPr>
    </w:tblStylePr>
    <w:tblStylePr w:type="lastCol">
      <w:rPr>
        <w:color w:val="FFFFFF" w:themeColor="background1"/>
      </w:rPr>
      <w:tblPr/>
      <w:tcPr>
        <w:shd w:val="clear" w:color="auto" w:fill="939F27" w:themeFill="accent3" w:themeFillShade="BF"/>
      </w:tcPr>
    </w:tblStylePr>
    <w:tblStylePr w:type="band1Vert">
      <w:tblPr/>
      <w:tcPr>
        <w:shd w:val="clear" w:color="auto" w:fill="DFE79C" w:themeFill="accent3" w:themeFillTint="7F"/>
      </w:tcPr>
    </w:tblStylePr>
    <w:tblStylePr w:type="band1Horz">
      <w:tblPr/>
      <w:tcPr>
        <w:shd w:val="clear" w:color="auto" w:fill="DFE79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B8FEEE" w:themeFill="accent4" w:themeFillTint="33"/>
    </w:tcPr>
    <w:tblStylePr w:type="firstRow">
      <w:rPr>
        <w:b/>
        <w:bCs/>
      </w:rPr>
      <w:tblPr/>
      <w:tcPr>
        <w:shd w:val="clear" w:color="auto" w:fill="71FDDE" w:themeFill="accent4" w:themeFillTint="66"/>
      </w:tcPr>
    </w:tblStylePr>
    <w:tblStylePr w:type="lastRow">
      <w:rPr>
        <w:b/>
        <w:bCs/>
        <w:color w:val="000000" w:themeColor="text1"/>
      </w:rPr>
      <w:tblPr/>
      <w:tcPr>
        <w:shd w:val="clear" w:color="auto" w:fill="71FDDE" w:themeFill="accent4" w:themeFillTint="66"/>
      </w:tcPr>
    </w:tblStylePr>
    <w:tblStylePr w:type="firstCol">
      <w:rPr>
        <w:color w:val="FFFFFF" w:themeColor="background1"/>
      </w:rPr>
      <w:tblPr/>
      <w:tcPr>
        <w:shd w:val="clear" w:color="auto" w:fill="017057" w:themeFill="accent4" w:themeFillShade="BF"/>
      </w:tcPr>
    </w:tblStylePr>
    <w:tblStylePr w:type="lastCol">
      <w:rPr>
        <w:color w:val="FFFFFF" w:themeColor="background1"/>
      </w:rPr>
      <w:tblPr/>
      <w:tcPr>
        <w:shd w:val="clear" w:color="auto" w:fill="017057" w:themeFill="accent4" w:themeFillShade="BF"/>
      </w:tcPr>
    </w:tblStylePr>
    <w:tblStylePr w:type="band1Vert">
      <w:tblPr/>
      <w:tcPr>
        <w:shd w:val="clear" w:color="auto" w:fill="4FFCD6" w:themeFill="accent4" w:themeFillTint="7F"/>
      </w:tcPr>
    </w:tblStylePr>
    <w:tblStylePr w:type="band1Horz">
      <w:tblPr/>
      <w:tcPr>
        <w:shd w:val="clear" w:color="auto" w:fill="4FFCD6"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F0F3" w:themeFill="accent5" w:themeFillTint="33"/>
    </w:tcPr>
    <w:tblStylePr w:type="firstRow">
      <w:rPr>
        <w:b/>
        <w:bCs/>
      </w:rPr>
      <w:tblPr/>
      <w:tcPr>
        <w:shd w:val="clear" w:color="auto" w:fill="B6E1E7" w:themeFill="accent5" w:themeFillTint="66"/>
      </w:tcPr>
    </w:tblStylePr>
    <w:tblStylePr w:type="lastRow">
      <w:rPr>
        <w:b/>
        <w:bCs/>
        <w:color w:val="000000" w:themeColor="text1"/>
      </w:rPr>
      <w:tblPr/>
      <w:tcPr>
        <w:shd w:val="clear" w:color="auto" w:fill="B6E1E7" w:themeFill="accent5" w:themeFillTint="66"/>
      </w:tcPr>
    </w:tblStylePr>
    <w:tblStylePr w:type="firstCol">
      <w:rPr>
        <w:color w:val="FFFFFF" w:themeColor="background1"/>
      </w:rPr>
      <w:tblPr/>
      <w:tcPr>
        <w:shd w:val="clear" w:color="auto" w:fill="318B98" w:themeFill="accent5" w:themeFillShade="BF"/>
      </w:tcPr>
    </w:tblStylePr>
    <w:tblStylePr w:type="lastCol">
      <w:rPr>
        <w:color w:val="FFFFFF" w:themeColor="background1"/>
      </w:rPr>
      <w:tblPr/>
      <w:tcPr>
        <w:shd w:val="clear" w:color="auto" w:fill="318B98" w:themeFill="accent5" w:themeFillShade="BF"/>
      </w:tcPr>
    </w:tblStylePr>
    <w:tblStylePr w:type="band1Vert">
      <w:tblPr/>
      <w:tcPr>
        <w:shd w:val="clear" w:color="auto" w:fill="A4DAE1" w:themeFill="accent5" w:themeFillTint="7F"/>
      </w:tcPr>
    </w:tblStylePr>
    <w:tblStylePr w:type="band1Horz">
      <w:tblPr/>
      <w:tcPr>
        <w:shd w:val="clear" w:color="auto" w:fill="A4DAE1"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DFC" w:themeFill="accent6" w:themeFillTint="33"/>
    </w:tcPr>
    <w:tblStylePr w:type="firstRow">
      <w:rPr>
        <w:b/>
        <w:bCs/>
      </w:rPr>
      <w:tblPr/>
      <w:tcPr>
        <w:shd w:val="clear" w:color="auto" w:fill="83DCF8" w:themeFill="accent6" w:themeFillTint="66"/>
      </w:tcPr>
    </w:tblStylePr>
    <w:tblStylePr w:type="lastRow">
      <w:rPr>
        <w:b/>
        <w:bCs/>
        <w:color w:val="000000" w:themeColor="text1"/>
      </w:rPr>
      <w:tblPr/>
      <w:tcPr>
        <w:shd w:val="clear" w:color="auto" w:fill="83DCF8" w:themeFill="accent6" w:themeFillTint="66"/>
      </w:tcPr>
    </w:tblStylePr>
    <w:tblStylePr w:type="firstCol">
      <w:rPr>
        <w:color w:val="FFFFFF" w:themeColor="background1"/>
      </w:rPr>
      <w:tblPr/>
      <w:tcPr>
        <w:shd w:val="clear" w:color="auto" w:fill="066684" w:themeFill="accent6" w:themeFillShade="BF"/>
      </w:tcPr>
    </w:tblStylePr>
    <w:tblStylePr w:type="lastCol">
      <w:rPr>
        <w:color w:val="FFFFFF" w:themeColor="background1"/>
      </w:rPr>
      <w:tblPr/>
      <w:tcPr>
        <w:shd w:val="clear" w:color="auto" w:fill="066684" w:themeFill="accent6" w:themeFillShade="BF"/>
      </w:tcPr>
    </w:tblStylePr>
    <w:tblStylePr w:type="band1Vert">
      <w:tblPr/>
      <w:tcPr>
        <w:shd w:val="clear" w:color="auto" w:fill="65D4F7" w:themeFill="accent6" w:themeFillTint="7F"/>
      </w:tcPr>
    </w:tblStylePr>
    <w:tblStylePr w:type="band1Horz">
      <w:tblPr/>
      <w:tcPr>
        <w:shd w:val="clear" w:color="auto" w:fill="65D4F7"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Green">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1898</Words>
  <Characters>10822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MediScope — Final Business Analysis Report</dc:title>
  <dc:subject>Power BI hospital dashboard analysis, findings, and recommendations</dc:subject>
  <dc:creator>Saloni Patel</dc:creator>
  <cp:keywords/>
  <dc:description>generated by python-docx</dc:description>
  <cp:lastModifiedBy>Patel Saloni</cp:lastModifiedBy>
  <cp:revision>2</cp:revision>
  <dcterms:created xsi:type="dcterms:W3CDTF">2013-12-23T23:15:00Z</dcterms:created>
  <dcterms:modified xsi:type="dcterms:W3CDTF">2026-10-28T09:28:00Z</dcterms:modified>
  <cp:category/>
</cp:coreProperties>
</file>