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9E667" w14:textId="77777777" w:rsidR="00120F61" w:rsidRDefault="00120F61"/>
    <w:p w14:paraId="3318CCD8" w14:textId="77777777" w:rsidR="00120F61" w:rsidRDefault="00120F61"/>
    <w:p w14:paraId="597742A0" w14:textId="77777777" w:rsidR="00120F61" w:rsidRDefault="00120F61"/>
    <w:p w14:paraId="4F43CAE4" w14:textId="77777777" w:rsidR="00120F61" w:rsidRDefault="00000000">
      <w:pPr>
        <w:jc w:val="center"/>
      </w:pPr>
      <w:r>
        <w:rPr>
          <w:b/>
          <w:color w:val="1E3A8A"/>
          <w:sz w:val="72"/>
        </w:rPr>
        <w:t>ELECTRIC VEHICLE</w:t>
      </w:r>
    </w:p>
    <w:p w14:paraId="76CB73B4" w14:textId="77777777" w:rsidR="00120F61" w:rsidRDefault="00000000">
      <w:pPr>
        <w:jc w:val="center"/>
      </w:pPr>
      <w:r>
        <w:rPr>
          <w:b/>
          <w:color w:val="1E3A8A"/>
          <w:sz w:val="72"/>
        </w:rPr>
        <w:t>MARKET ANALYSIS</w:t>
      </w:r>
    </w:p>
    <w:p w14:paraId="7622A94A" w14:textId="77777777" w:rsidR="00120F61" w:rsidRDefault="00000000">
      <w:pPr>
        <w:jc w:val="center"/>
      </w:pPr>
      <w:r>
        <w:rPr>
          <w:b/>
          <w:color w:val="F59E0B"/>
          <w:sz w:val="40"/>
        </w:rPr>
        <w:t>2026 GLOBAL REPORT</w:t>
      </w:r>
    </w:p>
    <w:p w14:paraId="2AC5611D" w14:textId="77777777" w:rsidR="00120F61" w:rsidRDefault="00120F61">
      <w:pPr>
        <w:pBdr>
          <w:bottom w:val="single" w:sz="24" w:space="1" w:color="F59E0B"/>
        </w:pBdr>
      </w:pPr>
    </w:p>
    <w:p w14:paraId="712B584B" w14:textId="77777777" w:rsidR="00120F61" w:rsidRDefault="00120F61"/>
    <w:p w14:paraId="26E72F62" w14:textId="77777777" w:rsidR="00120F61" w:rsidRDefault="00000000">
      <w:pPr>
        <w:jc w:val="center"/>
      </w:pPr>
      <w:r>
        <w:rPr>
          <w:i/>
          <w:color w:val="6B7280"/>
          <w:sz w:val="28"/>
        </w:rPr>
        <w:t>A Comprehensive Data-Driven Study of</w:t>
      </w:r>
      <w:r>
        <w:rPr>
          <w:i/>
          <w:color w:val="6B7280"/>
          <w:sz w:val="28"/>
        </w:rPr>
        <w:br/>
        <w:t>the Global EV Market</w:t>
      </w:r>
    </w:p>
    <w:p w14:paraId="0E117914" w14:textId="77777777" w:rsidR="00120F61" w:rsidRDefault="00120F61"/>
    <w:p w14:paraId="4F5EA9C4" w14:textId="77777777" w:rsidR="00120F61" w:rsidRDefault="00120F61"/>
    <w:p w14:paraId="7DA39233" w14:textId="77777777" w:rsidR="00120F61" w:rsidRDefault="00120F61"/>
    <w:p w14:paraId="072CB21B" w14:textId="77777777" w:rsidR="00120F61" w:rsidRDefault="00120F61"/>
    <w:p w14:paraId="58B967C9" w14:textId="77777777" w:rsidR="00120F61" w:rsidRDefault="00120F61"/>
    <w:p w14:paraId="5BCF69C7" w14:textId="77777777" w:rsidR="00120F61" w:rsidRDefault="00120F61"/>
    <w:tbl>
      <w:tblPr>
        <w:tblW w:w="0" w:type="auto"/>
        <w:tblLook w:val="04A0" w:firstRow="1" w:lastRow="0" w:firstColumn="1" w:lastColumn="0" w:noHBand="0" w:noVBand="1"/>
      </w:tblPr>
      <w:tblGrid>
        <w:gridCol w:w="4873"/>
        <w:gridCol w:w="4873"/>
      </w:tblGrid>
      <w:tr w:rsidR="00120F61" w14:paraId="4A1ECEEA" w14:textId="77777777">
        <w:tc>
          <w:tcPr>
            <w:tcW w:w="4873" w:type="dxa"/>
            <w:shd w:val="clear" w:color="auto" w:fill="1E3A8A"/>
          </w:tcPr>
          <w:p w14:paraId="3F19D661" w14:textId="77777777" w:rsidR="00120F61" w:rsidRDefault="00000000">
            <w:r>
              <w:rPr>
                <w:b/>
                <w:color w:val="FFFFFF"/>
              </w:rPr>
              <w:t>Report Title</w:t>
            </w:r>
          </w:p>
        </w:tc>
        <w:tc>
          <w:tcPr>
            <w:tcW w:w="4873" w:type="dxa"/>
            <w:shd w:val="clear" w:color="auto" w:fill="EEF2FF"/>
          </w:tcPr>
          <w:p w14:paraId="5D420DF8" w14:textId="77777777" w:rsidR="00120F61" w:rsidRDefault="00000000">
            <w:r>
              <w:t>EV Market Analysis 2026</w:t>
            </w:r>
          </w:p>
        </w:tc>
      </w:tr>
      <w:tr w:rsidR="00120F61" w14:paraId="50E9D4EE" w14:textId="77777777">
        <w:tc>
          <w:tcPr>
            <w:tcW w:w="4873" w:type="dxa"/>
            <w:shd w:val="clear" w:color="auto" w:fill="1E3A8A"/>
          </w:tcPr>
          <w:p w14:paraId="1AF4CF76" w14:textId="77777777" w:rsidR="00120F61" w:rsidRDefault="00000000">
            <w:r>
              <w:rPr>
                <w:b/>
                <w:color w:val="FFFFFF"/>
              </w:rPr>
              <w:t>Dataset Size</w:t>
            </w:r>
          </w:p>
        </w:tc>
        <w:tc>
          <w:tcPr>
            <w:tcW w:w="4873" w:type="dxa"/>
            <w:shd w:val="clear" w:color="auto" w:fill="EEF2FF"/>
          </w:tcPr>
          <w:p w14:paraId="3CC79D49" w14:textId="77777777" w:rsidR="00120F61" w:rsidRDefault="00000000">
            <w:r>
              <w:t>1000 EV Models</w:t>
            </w:r>
          </w:p>
        </w:tc>
      </w:tr>
      <w:tr w:rsidR="00120F61" w14:paraId="61F4D0A7" w14:textId="77777777">
        <w:tc>
          <w:tcPr>
            <w:tcW w:w="4873" w:type="dxa"/>
            <w:shd w:val="clear" w:color="auto" w:fill="1E3A8A"/>
          </w:tcPr>
          <w:p w14:paraId="359A9F61" w14:textId="77777777" w:rsidR="00120F61" w:rsidRDefault="00000000">
            <w:r>
              <w:rPr>
                <w:b/>
                <w:color w:val="FFFFFF"/>
              </w:rPr>
              <w:t>Coverage</w:t>
            </w:r>
          </w:p>
        </w:tc>
        <w:tc>
          <w:tcPr>
            <w:tcW w:w="4873" w:type="dxa"/>
            <w:shd w:val="clear" w:color="auto" w:fill="EEF2FF"/>
          </w:tcPr>
          <w:p w14:paraId="07E11BD1" w14:textId="77777777" w:rsidR="00120F61" w:rsidRDefault="00000000">
            <w:r>
              <w:t>17 Brands · 10 Countries · 4 Segments</w:t>
            </w:r>
          </w:p>
        </w:tc>
      </w:tr>
      <w:tr w:rsidR="00120F61" w14:paraId="45E32F79" w14:textId="77777777">
        <w:tc>
          <w:tcPr>
            <w:tcW w:w="4873" w:type="dxa"/>
            <w:shd w:val="clear" w:color="auto" w:fill="1E3A8A"/>
          </w:tcPr>
          <w:p w14:paraId="07F58B8F" w14:textId="77777777" w:rsidR="00120F61" w:rsidRDefault="00000000">
            <w:r>
              <w:rPr>
                <w:b/>
                <w:color w:val="FFFFFF"/>
              </w:rPr>
              <w:t>Prepared</w:t>
            </w:r>
          </w:p>
        </w:tc>
        <w:tc>
          <w:tcPr>
            <w:tcW w:w="4873" w:type="dxa"/>
            <w:shd w:val="clear" w:color="auto" w:fill="EEF2FF"/>
          </w:tcPr>
          <w:p w14:paraId="71F7AE36" w14:textId="77777777" w:rsidR="00120F61" w:rsidRDefault="00000000">
            <w:r>
              <w:t>Data Analytics Division</w:t>
            </w:r>
          </w:p>
        </w:tc>
      </w:tr>
    </w:tbl>
    <w:p w14:paraId="37A1177D" w14:textId="77777777" w:rsidR="00120F61" w:rsidRDefault="00000000">
      <w:r>
        <w:br w:type="page"/>
      </w:r>
    </w:p>
    <w:p w14:paraId="3A0EEAC8" w14:textId="77777777" w:rsidR="00120F61" w:rsidRDefault="00000000">
      <w:pPr>
        <w:pBdr>
          <w:bottom w:val="single" w:sz="18" w:space="1" w:color="F59E0B"/>
        </w:pBdr>
      </w:pPr>
      <w:r>
        <w:rPr>
          <w:b/>
          <w:color w:val="1E3A8A"/>
          <w:sz w:val="44"/>
        </w:rPr>
        <w:lastRenderedPageBreak/>
        <w:t>Table of Contents</w:t>
      </w:r>
    </w:p>
    <w:tbl>
      <w:tblPr>
        <w:tblW w:w="0" w:type="auto"/>
        <w:tblLook w:val="04A0" w:firstRow="1" w:lastRow="0" w:firstColumn="1" w:lastColumn="0" w:noHBand="0" w:noVBand="1"/>
      </w:tblPr>
      <w:tblGrid>
        <w:gridCol w:w="4873"/>
        <w:gridCol w:w="4873"/>
      </w:tblGrid>
      <w:tr w:rsidR="00120F61" w14:paraId="38270E0D" w14:textId="77777777">
        <w:tc>
          <w:tcPr>
            <w:tcW w:w="4873" w:type="dxa"/>
          </w:tcPr>
          <w:p w14:paraId="6951C25C" w14:textId="77777777" w:rsidR="00120F61" w:rsidRDefault="00000000">
            <w:r>
              <w:rPr>
                <w:b/>
              </w:rPr>
              <w:t>1.  Executive Summary</w:t>
            </w:r>
          </w:p>
        </w:tc>
        <w:tc>
          <w:tcPr>
            <w:tcW w:w="4873" w:type="dxa"/>
          </w:tcPr>
          <w:p w14:paraId="009A3D1C" w14:textId="77777777" w:rsidR="00120F61" w:rsidRDefault="00000000">
            <w:pPr>
              <w:jc w:val="right"/>
            </w:pPr>
            <w:r>
              <w:rPr>
                <w:color w:val="6B7280"/>
              </w:rPr>
              <w:t>3</w:t>
            </w:r>
          </w:p>
        </w:tc>
      </w:tr>
      <w:tr w:rsidR="00120F61" w14:paraId="34897F6F" w14:textId="77777777">
        <w:tc>
          <w:tcPr>
            <w:tcW w:w="4873" w:type="dxa"/>
          </w:tcPr>
          <w:p w14:paraId="4D52C903" w14:textId="77777777" w:rsidR="00120F61" w:rsidRDefault="00000000">
            <w:r>
              <w:rPr>
                <w:b/>
              </w:rPr>
              <w:t>2.  Introduction &amp; Background</w:t>
            </w:r>
          </w:p>
        </w:tc>
        <w:tc>
          <w:tcPr>
            <w:tcW w:w="4873" w:type="dxa"/>
          </w:tcPr>
          <w:p w14:paraId="7BF6578C" w14:textId="77777777" w:rsidR="00120F61" w:rsidRDefault="00000000">
            <w:pPr>
              <w:jc w:val="right"/>
            </w:pPr>
            <w:r>
              <w:rPr>
                <w:color w:val="6B7280"/>
              </w:rPr>
              <w:t>4</w:t>
            </w:r>
          </w:p>
        </w:tc>
      </w:tr>
      <w:tr w:rsidR="00120F61" w14:paraId="53897691" w14:textId="77777777">
        <w:tc>
          <w:tcPr>
            <w:tcW w:w="4873" w:type="dxa"/>
          </w:tcPr>
          <w:p w14:paraId="19EA9C9E" w14:textId="77777777" w:rsidR="00120F61" w:rsidRDefault="00000000">
            <w:r>
              <w:rPr>
                <w:b/>
              </w:rPr>
              <w:t>3.  Dataset Overview</w:t>
            </w:r>
          </w:p>
        </w:tc>
        <w:tc>
          <w:tcPr>
            <w:tcW w:w="4873" w:type="dxa"/>
          </w:tcPr>
          <w:p w14:paraId="58872453" w14:textId="77777777" w:rsidR="00120F61" w:rsidRDefault="00000000">
            <w:pPr>
              <w:jc w:val="right"/>
            </w:pPr>
            <w:r>
              <w:rPr>
                <w:color w:val="6B7280"/>
              </w:rPr>
              <w:t>5</w:t>
            </w:r>
          </w:p>
        </w:tc>
      </w:tr>
      <w:tr w:rsidR="00120F61" w14:paraId="636B4411" w14:textId="77777777">
        <w:tc>
          <w:tcPr>
            <w:tcW w:w="4873" w:type="dxa"/>
          </w:tcPr>
          <w:p w14:paraId="5B968086" w14:textId="77777777" w:rsidR="00120F61" w:rsidRDefault="00000000">
            <w:r>
              <w:rPr>
                <w:b/>
              </w:rPr>
              <w:t>4.  Data Preparation &amp; Methodology</w:t>
            </w:r>
          </w:p>
        </w:tc>
        <w:tc>
          <w:tcPr>
            <w:tcW w:w="4873" w:type="dxa"/>
          </w:tcPr>
          <w:p w14:paraId="37CD8B71" w14:textId="77777777" w:rsidR="00120F61" w:rsidRDefault="00000000">
            <w:pPr>
              <w:jc w:val="right"/>
            </w:pPr>
            <w:r>
              <w:rPr>
                <w:color w:val="6B7280"/>
              </w:rPr>
              <w:t>6</w:t>
            </w:r>
          </w:p>
        </w:tc>
      </w:tr>
      <w:tr w:rsidR="00120F61" w14:paraId="6027C8B6" w14:textId="77777777">
        <w:tc>
          <w:tcPr>
            <w:tcW w:w="4873" w:type="dxa"/>
          </w:tcPr>
          <w:p w14:paraId="251F2E19" w14:textId="77777777" w:rsidR="00120F61" w:rsidRDefault="00000000">
            <w:r>
              <w:rPr>
                <w:b/>
              </w:rPr>
              <w:t>5.  Exploratory Data Analysis</w:t>
            </w:r>
          </w:p>
        </w:tc>
        <w:tc>
          <w:tcPr>
            <w:tcW w:w="4873" w:type="dxa"/>
          </w:tcPr>
          <w:p w14:paraId="38383A77" w14:textId="77777777" w:rsidR="00120F61" w:rsidRDefault="00000000">
            <w:pPr>
              <w:jc w:val="right"/>
            </w:pPr>
            <w:r>
              <w:rPr>
                <w:color w:val="6B7280"/>
              </w:rPr>
              <w:t>7</w:t>
            </w:r>
          </w:p>
        </w:tc>
      </w:tr>
      <w:tr w:rsidR="00120F61" w14:paraId="100805B6" w14:textId="77777777">
        <w:tc>
          <w:tcPr>
            <w:tcW w:w="4873" w:type="dxa"/>
          </w:tcPr>
          <w:p w14:paraId="714BD404" w14:textId="77777777" w:rsidR="00120F61" w:rsidRDefault="00000000">
            <w:r>
              <w:t xml:space="preserve">     5.1  Top EV Brands by Sales</w:t>
            </w:r>
          </w:p>
        </w:tc>
        <w:tc>
          <w:tcPr>
            <w:tcW w:w="4873" w:type="dxa"/>
          </w:tcPr>
          <w:p w14:paraId="05119EDC" w14:textId="77777777" w:rsidR="00120F61" w:rsidRDefault="00000000">
            <w:pPr>
              <w:jc w:val="right"/>
            </w:pPr>
            <w:r>
              <w:rPr>
                <w:color w:val="6B7280"/>
              </w:rPr>
              <w:t>7</w:t>
            </w:r>
          </w:p>
        </w:tc>
      </w:tr>
      <w:tr w:rsidR="00120F61" w14:paraId="107E62F7" w14:textId="77777777">
        <w:tc>
          <w:tcPr>
            <w:tcW w:w="4873" w:type="dxa"/>
          </w:tcPr>
          <w:p w14:paraId="1ECFDBE7" w14:textId="77777777" w:rsidR="00120F61" w:rsidRDefault="00000000">
            <w:r>
              <w:t xml:space="preserve">     5.2  EV Price Distribution</w:t>
            </w:r>
          </w:p>
        </w:tc>
        <w:tc>
          <w:tcPr>
            <w:tcW w:w="4873" w:type="dxa"/>
          </w:tcPr>
          <w:p w14:paraId="2733FD05" w14:textId="77777777" w:rsidR="00120F61" w:rsidRDefault="00000000">
            <w:pPr>
              <w:jc w:val="right"/>
            </w:pPr>
            <w:r>
              <w:rPr>
                <w:color w:val="6B7280"/>
              </w:rPr>
              <w:t>8</w:t>
            </w:r>
          </w:p>
        </w:tc>
      </w:tr>
      <w:tr w:rsidR="00120F61" w14:paraId="1C18831D" w14:textId="77777777">
        <w:tc>
          <w:tcPr>
            <w:tcW w:w="4873" w:type="dxa"/>
          </w:tcPr>
          <w:p w14:paraId="5BA74F68" w14:textId="77777777" w:rsidR="00120F61" w:rsidRDefault="00000000">
            <w:r>
              <w:t xml:space="preserve">     5.3  Country-wise EV Sales</w:t>
            </w:r>
          </w:p>
        </w:tc>
        <w:tc>
          <w:tcPr>
            <w:tcW w:w="4873" w:type="dxa"/>
          </w:tcPr>
          <w:p w14:paraId="3C9E3308" w14:textId="77777777" w:rsidR="00120F61" w:rsidRDefault="00000000">
            <w:pPr>
              <w:jc w:val="right"/>
            </w:pPr>
            <w:r>
              <w:rPr>
                <w:color w:val="6B7280"/>
              </w:rPr>
              <w:t>9</w:t>
            </w:r>
          </w:p>
        </w:tc>
      </w:tr>
      <w:tr w:rsidR="00120F61" w14:paraId="7454C963" w14:textId="77777777">
        <w:tc>
          <w:tcPr>
            <w:tcW w:w="4873" w:type="dxa"/>
          </w:tcPr>
          <w:p w14:paraId="736AB4C4" w14:textId="77777777" w:rsidR="00120F61" w:rsidRDefault="00000000">
            <w:r>
              <w:t xml:space="preserve">     5.4  Market Segment Share</w:t>
            </w:r>
          </w:p>
        </w:tc>
        <w:tc>
          <w:tcPr>
            <w:tcW w:w="4873" w:type="dxa"/>
          </w:tcPr>
          <w:p w14:paraId="5FA5BD1C" w14:textId="77777777" w:rsidR="00120F61" w:rsidRDefault="00000000">
            <w:pPr>
              <w:jc w:val="right"/>
            </w:pPr>
            <w:r>
              <w:rPr>
                <w:color w:val="6B7280"/>
              </w:rPr>
              <w:t>10</w:t>
            </w:r>
          </w:p>
        </w:tc>
      </w:tr>
      <w:tr w:rsidR="00120F61" w14:paraId="1FD313A1" w14:textId="77777777">
        <w:tc>
          <w:tcPr>
            <w:tcW w:w="4873" w:type="dxa"/>
          </w:tcPr>
          <w:p w14:paraId="73BEE295" w14:textId="77777777" w:rsidR="00120F61" w:rsidRDefault="00000000">
            <w:r>
              <w:t xml:space="preserve">     5.5  Battery Capacity vs Range</w:t>
            </w:r>
          </w:p>
        </w:tc>
        <w:tc>
          <w:tcPr>
            <w:tcW w:w="4873" w:type="dxa"/>
          </w:tcPr>
          <w:p w14:paraId="7D0765A3" w14:textId="77777777" w:rsidR="00120F61" w:rsidRDefault="00000000">
            <w:pPr>
              <w:jc w:val="right"/>
            </w:pPr>
            <w:r>
              <w:rPr>
                <w:color w:val="6B7280"/>
              </w:rPr>
              <w:t>11</w:t>
            </w:r>
          </w:p>
        </w:tc>
      </w:tr>
      <w:tr w:rsidR="00120F61" w14:paraId="0E9AB889" w14:textId="77777777">
        <w:tc>
          <w:tcPr>
            <w:tcW w:w="4873" w:type="dxa"/>
          </w:tcPr>
          <w:p w14:paraId="7FA4D33D" w14:textId="77777777" w:rsidR="00120F61" w:rsidRDefault="00000000">
            <w:r>
              <w:t xml:space="preserve">     5.6  Price vs Customer Rating</w:t>
            </w:r>
          </w:p>
        </w:tc>
        <w:tc>
          <w:tcPr>
            <w:tcW w:w="4873" w:type="dxa"/>
          </w:tcPr>
          <w:p w14:paraId="7148BD80" w14:textId="77777777" w:rsidR="00120F61" w:rsidRDefault="00000000">
            <w:pPr>
              <w:jc w:val="right"/>
            </w:pPr>
            <w:r>
              <w:rPr>
                <w:color w:val="6B7280"/>
              </w:rPr>
              <w:t>12</w:t>
            </w:r>
          </w:p>
        </w:tc>
      </w:tr>
      <w:tr w:rsidR="00120F61" w14:paraId="635827A7" w14:textId="77777777">
        <w:tc>
          <w:tcPr>
            <w:tcW w:w="4873" w:type="dxa"/>
          </w:tcPr>
          <w:p w14:paraId="60A61BEF" w14:textId="77777777" w:rsidR="00120F61" w:rsidRDefault="00000000">
            <w:r>
              <w:t xml:space="preserve">     5.7  Average Rating by Brand</w:t>
            </w:r>
          </w:p>
        </w:tc>
        <w:tc>
          <w:tcPr>
            <w:tcW w:w="4873" w:type="dxa"/>
          </w:tcPr>
          <w:p w14:paraId="5F8A9A8E" w14:textId="77777777" w:rsidR="00120F61" w:rsidRDefault="00000000">
            <w:pPr>
              <w:jc w:val="right"/>
            </w:pPr>
            <w:r>
              <w:rPr>
                <w:color w:val="6B7280"/>
              </w:rPr>
              <w:t>13</w:t>
            </w:r>
          </w:p>
        </w:tc>
      </w:tr>
      <w:tr w:rsidR="00120F61" w14:paraId="2F665B7A" w14:textId="77777777">
        <w:tc>
          <w:tcPr>
            <w:tcW w:w="4873" w:type="dxa"/>
          </w:tcPr>
          <w:p w14:paraId="47F62B5A" w14:textId="77777777" w:rsidR="00120F61" w:rsidRDefault="00000000">
            <w:r>
              <w:t xml:space="preserve">     5.8  Charging Speed by Segment</w:t>
            </w:r>
          </w:p>
        </w:tc>
        <w:tc>
          <w:tcPr>
            <w:tcW w:w="4873" w:type="dxa"/>
          </w:tcPr>
          <w:p w14:paraId="49E9F4EF" w14:textId="77777777" w:rsidR="00120F61" w:rsidRDefault="00000000">
            <w:pPr>
              <w:jc w:val="right"/>
            </w:pPr>
            <w:r>
              <w:rPr>
                <w:color w:val="6B7280"/>
              </w:rPr>
              <w:t>14</w:t>
            </w:r>
          </w:p>
        </w:tc>
      </w:tr>
      <w:tr w:rsidR="00120F61" w14:paraId="32B92798" w14:textId="77777777">
        <w:tc>
          <w:tcPr>
            <w:tcW w:w="4873" w:type="dxa"/>
          </w:tcPr>
          <w:p w14:paraId="04D02B52" w14:textId="77777777" w:rsidR="00120F61" w:rsidRDefault="00000000">
            <w:r>
              <w:t xml:space="preserve">     5.9  Horsepower Distribution</w:t>
            </w:r>
          </w:p>
        </w:tc>
        <w:tc>
          <w:tcPr>
            <w:tcW w:w="4873" w:type="dxa"/>
          </w:tcPr>
          <w:p w14:paraId="411A8DA7" w14:textId="77777777" w:rsidR="00120F61" w:rsidRDefault="00000000">
            <w:pPr>
              <w:jc w:val="right"/>
            </w:pPr>
            <w:r>
              <w:rPr>
                <w:color w:val="6B7280"/>
              </w:rPr>
              <w:t>15</w:t>
            </w:r>
          </w:p>
        </w:tc>
      </w:tr>
      <w:tr w:rsidR="00120F61" w14:paraId="79E93142" w14:textId="77777777">
        <w:tc>
          <w:tcPr>
            <w:tcW w:w="4873" w:type="dxa"/>
          </w:tcPr>
          <w:p w14:paraId="0430C997" w14:textId="77777777" w:rsidR="00120F61" w:rsidRDefault="00000000">
            <w:r>
              <w:rPr>
                <w:b/>
              </w:rPr>
              <w:t>6.  Statistical &amp; Correlation Analysis</w:t>
            </w:r>
          </w:p>
        </w:tc>
        <w:tc>
          <w:tcPr>
            <w:tcW w:w="4873" w:type="dxa"/>
          </w:tcPr>
          <w:p w14:paraId="5EB25163" w14:textId="77777777" w:rsidR="00120F61" w:rsidRDefault="00000000">
            <w:pPr>
              <w:jc w:val="right"/>
            </w:pPr>
            <w:r>
              <w:rPr>
                <w:color w:val="6B7280"/>
              </w:rPr>
              <w:t>16</w:t>
            </w:r>
          </w:p>
        </w:tc>
      </w:tr>
      <w:tr w:rsidR="00120F61" w14:paraId="406A22DA" w14:textId="77777777">
        <w:tc>
          <w:tcPr>
            <w:tcW w:w="4873" w:type="dxa"/>
          </w:tcPr>
          <w:p w14:paraId="02139935" w14:textId="77777777" w:rsidR="00120F61" w:rsidRDefault="00000000">
            <w:r>
              <w:rPr>
                <w:b/>
              </w:rPr>
              <w:t>7.  Business Insights &amp; Key Findings</w:t>
            </w:r>
          </w:p>
        </w:tc>
        <w:tc>
          <w:tcPr>
            <w:tcW w:w="4873" w:type="dxa"/>
          </w:tcPr>
          <w:p w14:paraId="44E92CD8" w14:textId="77777777" w:rsidR="00120F61" w:rsidRDefault="00000000">
            <w:pPr>
              <w:jc w:val="right"/>
            </w:pPr>
            <w:r>
              <w:rPr>
                <w:color w:val="6B7280"/>
              </w:rPr>
              <w:t>18</w:t>
            </w:r>
          </w:p>
        </w:tc>
      </w:tr>
      <w:tr w:rsidR="00120F61" w14:paraId="2036F656" w14:textId="77777777">
        <w:tc>
          <w:tcPr>
            <w:tcW w:w="4873" w:type="dxa"/>
          </w:tcPr>
          <w:p w14:paraId="42C7E182" w14:textId="77777777" w:rsidR="00120F61" w:rsidRDefault="00000000">
            <w:r>
              <w:rPr>
                <w:b/>
              </w:rPr>
              <w:t>8.  Strategic Recommendations</w:t>
            </w:r>
          </w:p>
        </w:tc>
        <w:tc>
          <w:tcPr>
            <w:tcW w:w="4873" w:type="dxa"/>
          </w:tcPr>
          <w:p w14:paraId="092309AD" w14:textId="77777777" w:rsidR="00120F61" w:rsidRDefault="00000000">
            <w:pPr>
              <w:jc w:val="right"/>
            </w:pPr>
            <w:r>
              <w:rPr>
                <w:color w:val="6B7280"/>
              </w:rPr>
              <w:t>19</w:t>
            </w:r>
          </w:p>
        </w:tc>
      </w:tr>
      <w:tr w:rsidR="00120F61" w14:paraId="2E7CAC40" w14:textId="77777777">
        <w:tc>
          <w:tcPr>
            <w:tcW w:w="4873" w:type="dxa"/>
          </w:tcPr>
          <w:p w14:paraId="7794F577" w14:textId="77777777" w:rsidR="00120F61" w:rsidRDefault="00000000">
            <w:r>
              <w:rPr>
                <w:b/>
              </w:rPr>
              <w:t>9.  Conclusion</w:t>
            </w:r>
          </w:p>
        </w:tc>
        <w:tc>
          <w:tcPr>
            <w:tcW w:w="4873" w:type="dxa"/>
          </w:tcPr>
          <w:p w14:paraId="2899C739" w14:textId="77777777" w:rsidR="00120F61" w:rsidRDefault="00000000">
            <w:pPr>
              <w:jc w:val="right"/>
            </w:pPr>
            <w:r>
              <w:rPr>
                <w:color w:val="6B7280"/>
              </w:rPr>
              <w:t>20</w:t>
            </w:r>
          </w:p>
        </w:tc>
      </w:tr>
    </w:tbl>
    <w:p w14:paraId="7FE8E538" w14:textId="77777777" w:rsidR="00120F61" w:rsidRDefault="00000000">
      <w:r>
        <w:br w:type="page"/>
      </w:r>
    </w:p>
    <w:p w14:paraId="24AE8A9C" w14:textId="77777777" w:rsidR="00120F61" w:rsidRDefault="00000000">
      <w:pPr>
        <w:pBdr>
          <w:bottom w:val="single" w:sz="18" w:space="1" w:color="F59E0B"/>
        </w:pBdr>
      </w:pPr>
      <w:r>
        <w:rPr>
          <w:b/>
          <w:color w:val="1E3A8A"/>
          <w:sz w:val="44"/>
        </w:rPr>
        <w:lastRenderedPageBreak/>
        <w:t>1. Executive Summary</w:t>
      </w:r>
    </w:p>
    <w:p w14:paraId="5708407D" w14:textId="77777777" w:rsidR="00120F61" w:rsidRDefault="00000000">
      <w:pPr>
        <w:spacing w:after="120" w:line="312" w:lineRule="auto"/>
      </w:pPr>
      <w:r>
        <w:t>The global Electric Vehicle market in 2026 continues its unprecedented expansion, driven by tightening emission regulations, falling battery costs, and rapid charging-infrastructure rollouts. This report analyses 1000 EV models across 17 leading manufacturers and 10 major markets to surface the structural patterns shaping the industry.</w:t>
      </w:r>
    </w:p>
    <w:p w14:paraId="729ECFA0" w14:textId="77777777" w:rsidR="00120F61" w:rsidRDefault="00000000">
      <w:pPr>
        <w:spacing w:after="120" w:line="312" w:lineRule="auto"/>
      </w:pPr>
      <w:r>
        <w:t>Our analysis confirms that GM/Chevrolet leads aggregate annual sales with 3,348,371 units, while the Mid-Range segment dominates overall volume. Customer satisfaction averages 3.88/5 across the dataset, with Nissan achieving the highest brand-level rating of 4.13/5.</w:t>
      </w:r>
    </w:p>
    <w:p w14:paraId="5190339F" w14:textId="77777777" w:rsidR="00120F61" w:rsidRDefault="00000000">
      <w:pPr>
        <w:spacing w:after="120" w:line="312" w:lineRule="auto"/>
      </w:pPr>
      <w:r>
        <w:t>Average vehicle range has reached 307 miles on an average battery pack of 95.4 kWh — a milestone that materially erodes the historical 'range anxiety' barrier to mainstream adoption.</w:t>
      </w:r>
    </w:p>
    <w:p w14:paraId="24193667" w14:textId="77777777" w:rsidR="00120F61" w:rsidRDefault="00000000">
      <w:pPr>
        <w:spacing w:before="200" w:after="80"/>
      </w:pPr>
      <w:r>
        <w:rPr>
          <w:b/>
          <w:color w:val="1E3A8A"/>
          <w:sz w:val="28"/>
        </w:rPr>
        <w:t>Headline Metrics</w:t>
      </w:r>
    </w:p>
    <w:tbl>
      <w:tblPr>
        <w:tblW w:w="0" w:type="auto"/>
        <w:tblLook w:val="04A0" w:firstRow="1" w:lastRow="0" w:firstColumn="1" w:lastColumn="0" w:noHBand="0" w:noVBand="1"/>
      </w:tblPr>
      <w:tblGrid>
        <w:gridCol w:w="3249"/>
        <w:gridCol w:w="3249"/>
        <w:gridCol w:w="3249"/>
      </w:tblGrid>
      <w:tr w:rsidR="00120F61" w14:paraId="1E561191" w14:textId="77777777">
        <w:tc>
          <w:tcPr>
            <w:tcW w:w="3249" w:type="dxa"/>
            <w:shd w:val="clear" w:color="auto" w:fill="EEF2FF"/>
            <w:vAlign w:val="center"/>
          </w:tcPr>
          <w:p w14:paraId="7648C683" w14:textId="77777777" w:rsidR="00120F61" w:rsidRDefault="00000000">
            <w:pPr>
              <w:jc w:val="center"/>
            </w:pPr>
            <w:r>
              <w:rPr>
                <w:b/>
                <w:color w:val="1E3A8A"/>
                <w:sz w:val="32"/>
              </w:rPr>
              <w:t>1000</w:t>
            </w:r>
          </w:p>
          <w:p w14:paraId="60F4792A" w14:textId="77777777" w:rsidR="00120F61" w:rsidRDefault="00000000">
            <w:pPr>
              <w:jc w:val="center"/>
            </w:pPr>
            <w:r>
              <w:rPr>
                <w:color w:val="6B7280"/>
                <w:sz w:val="18"/>
              </w:rPr>
              <w:t>Models Analysed</w:t>
            </w:r>
          </w:p>
        </w:tc>
        <w:tc>
          <w:tcPr>
            <w:tcW w:w="3249" w:type="dxa"/>
            <w:shd w:val="clear" w:color="auto" w:fill="EEF2FF"/>
            <w:vAlign w:val="center"/>
          </w:tcPr>
          <w:p w14:paraId="1DD9178D" w14:textId="77777777" w:rsidR="00120F61" w:rsidRDefault="00000000">
            <w:pPr>
              <w:jc w:val="center"/>
            </w:pPr>
            <w:r>
              <w:rPr>
                <w:b/>
                <w:color w:val="1E3A8A"/>
                <w:sz w:val="32"/>
              </w:rPr>
              <w:t>$104,345</w:t>
            </w:r>
          </w:p>
          <w:p w14:paraId="2C694727" w14:textId="77777777" w:rsidR="00120F61" w:rsidRDefault="00000000">
            <w:pPr>
              <w:jc w:val="center"/>
            </w:pPr>
            <w:r>
              <w:rPr>
                <w:color w:val="6B7280"/>
                <w:sz w:val="18"/>
              </w:rPr>
              <w:t>Avg Price</w:t>
            </w:r>
          </w:p>
        </w:tc>
        <w:tc>
          <w:tcPr>
            <w:tcW w:w="3249" w:type="dxa"/>
            <w:shd w:val="clear" w:color="auto" w:fill="EEF2FF"/>
            <w:vAlign w:val="center"/>
          </w:tcPr>
          <w:p w14:paraId="5DDB6F38" w14:textId="77777777" w:rsidR="00120F61" w:rsidRDefault="00000000">
            <w:pPr>
              <w:jc w:val="center"/>
            </w:pPr>
            <w:r>
              <w:rPr>
                <w:b/>
                <w:color w:val="1E3A8A"/>
                <w:sz w:val="32"/>
              </w:rPr>
              <w:t>307 mi</w:t>
            </w:r>
          </w:p>
          <w:p w14:paraId="46469F32" w14:textId="77777777" w:rsidR="00120F61" w:rsidRDefault="00000000">
            <w:pPr>
              <w:jc w:val="center"/>
            </w:pPr>
            <w:r>
              <w:rPr>
                <w:color w:val="6B7280"/>
                <w:sz w:val="18"/>
              </w:rPr>
              <w:t>Avg Range</w:t>
            </w:r>
          </w:p>
        </w:tc>
      </w:tr>
    </w:tbl>
    <w:p w14:paraId="66EC9754" w14:textId="77777777" w:rsidR="00120F61" w:rsidRDefault="00120F61"/>
    <w:tbl>
      <w:tblPr>
        <w:tblW w:w="0" w:type="auto"/>
        <w:tblLook w:val="04A0" w:firstRow="1" w:lastRow="0" w:firstColumn="1" w:lastColumn="0" w:noHBand="0" w:noVBand="1"/>
      </w:tblPr>
      <w:tblGrid>
        <w:gridCol w:w="3249"/>
        <w:gridCol w:w="3249"/>
        <w:gridCol w:w="3249"/>
      </w:tblGrid>
      <w:tr w:rsidR="00120F61" w14:paraId="2D9A7D87" w14:textId="77777777">
        <w:tc>
          <w:tcPr>
            <w:tcW w:w="3249" w:type="dxa"/>
            <w:shd w:val="clear" w:color="auto" w:fill="EEF2FF"/>
            <w:vAlign w:val="center"/>
          </w:tcPr>
          <w:p w14:paraId="1D765F70" w14:textId="77777777" w:rsidR="00120F61" w:rsidRDefault="00000000">
            <w:pPr>
              <w:jc w:val="center"/>
            </w:pPr>
            <w:r>
              <w:rPr>
                <w:b/>
                <w:color w:val="1E3A8A"/>
                <w:sz w:val="32"/>
              </w:rPr>
              <w:t>95.4 kWh</w:t>
            </w:r>
          </w:p>
          <w:p w14:paraId="61381112" w14:textId="77777777" w:rsidR="00120F61" w:rsidRDefault="00000000">
            <w:pPr>
              <w:jc w:val="center"/>
            </w:pPr>
            <w:r>
              <w:rPr>
                <w:color w:val="6B7280"/>
                <w:sz w:val="18"/>
              </w:rPr>
              <w:t>Avg Battery</w:t>
            </w:r>
          </w:p>
        </w:tc>
        <w:tc>
          <w:tcPr>
            <w:tcW w:w="3249" w:type="dxa"/>
            <w:shd w:val="clear" w:color="auto" w:fill="EEF2FF"/>
            <w:vAlign w:val="center"/>
          </w:tcPr>
          <w:p w14:paraId="3EF3C105" w14:textId="77777777" w:rsidR="00120F61" w:rsidRDefault="00000000">
            <w:pPr>
              <w:jc w:val="center"/>
            </w:pPr>
            <w:r>
              <w:rPr>
                <w:b/>
                <w:color w:val="1E3A8A"/>
                <w:sz w:val="32"/>
              </w:rPr>
              <w:t>40,448,962</w:t>
            </w:r>
          </w:p>
          <w:p w14:paraId="2840C2B8" w14:textId="77777777" w:rsidR="00120F61" w:rsidRDefault="00000000">
            <w:pPr>
              <w:jc w:val="center"/>
            </w:pPr>
            <w:r>
              <w:rPr>
                <w:color w:val="6B7280"/>
                <w:sz w:val="18"/>
              </w:rPr>
              <w:t>Total Sales</w:t>
            </w:r>
          </w:p>
        </w:tc>
        <w:tc>
          <w:tcPr>
            <w:tcW w:w="3249" w:type="dxa"/>
            <w:shd w:val="clear" w:color="auto" w:fill="EEF2FF"/>
            <w:vAlign w:val="center"/>
          </w:tcPr>
          <w:p w14:paraId="577AE7E1" w14:textId="77777777" w:rsidR="00120F61" w:rsidRDefault="00000000">
            <w:pPr>
              <w:jc w:val="center"/>
            </w:pPr>
            <w:r>
              <w:rPr>
                <w:b/>
                <w:color w:val="1E3A8A"/>
                <w:sz w:val="32"/>
              </w:rPr>
              <w:t>3.88/5</w:t>
            </w:r>
          </w:p>
          <w:p w14:paraId="211E972E" w14:textId="77777777" w:rsidR="00120F61" w:rsidRDefault="00000000">
            <w:pPr>
              <w:jc w:val="center"/>
            </w:pPr>
            <w:r>
              <w:rPr>
                <w:color w:val="6B7280"/>
                <w:sz w:val="18"/>
              </w:rPr>
              <w:t>Avg Rating</w:t>
            </w:r>
          </w:p>
        </w:tc>
      </w:tr>
    </w:tbl>
    <w:p w14:paraId="1ACE7844" w14:textId="77777777" w:rsidR="00120F61" w:rsidRDefault="00120F61"/>
    <w:p w14:paraId="7DE88278" w14:textId="77777777" w:rsidR="00120F61" w:rsidRDefault="00000000">
      <w:r>
        <w:br w:type="page"/>
      </w:r>
    </w:p>
    <w:p w14:paraId="5BE23785" w14:textId="77777777" w:rsidR="00120F61" w:rsidRDefault="00000000">
      <w:pPr>
        <w:pBdr>
          <w:bottom w:val="single" w:sz="18" w:space="1" w:color="F59E0B"/>
        </w:pBdr>
      </w:pPr>
      <w:r>
        <w:rPr>
          <w:b/>
          <w:color w:val="1E3A8A"/>
          <w:sz w:val="44"/>
        </w:rPr>
        <w:lastRenderedPageBreak/>
        <w:t>2. Introduction &amp; Background</w:t>
      </w:r>
    </w:p>
    <w:p w14:paraId="1078C1F6" w14:textId="77777777" w:rsidR="00120F61" w:rsidRDefault="00000000">
      <w:pPr>
        <w:spacing w:after="120" w:line="312" w:lineRule="auto"/>
      </w:pPr>
      <w:r>
        <w:t>The transition from internal-combustion to electric mobility represents one of the most significant industrial transformations of the 21st century. What began as a niche segment a decade ago has matured into a mainstream automotive category encompassing economy hatchbacks, family SUVs, premium sedans, and luxury performance vehicles.</w:t>
      </w:r>
    </w:p>
    <w:p w14:paraId="03B5A947" w14:textId="77777777" w:rsidR="00120F61" w:rsidRDefault="00000000">
      <w:pPr>
        <w:spacing w:before="200" w:after="80"/>
      </w:pPr>
      <w:r>
        <w:rPr>
          <w:b/>
          <w:color w:val="1E3A8A"/>
          <w:sz w:val="28"/>
        </w:rPr>
        <w:t>Objectives of this Report</w:t>
      </w:r>
    </w:p>
    <w:p w14:paraId="6B2BB107" w14:textId="77777777" w:rsidR="00120F61" w:rsidRDefault="00000000">
      <w:pPr>
        <w:pStyle w:val="ListBullet"/>
      </w:pPr>
      <w:r>
        <w:t>Profile the competitive landscape across 17 major EV manufacturers.</w:t>
      </w:r>
    </w:p>
    <w:p w14:paraId="06334824" w14:textId="77777777" w:rsidR="00120F61" w:rsidRDefault="00000000">
      <w:pPr>
        <w:pStyle w:val="ListBullet"/>
      </w:pPr>
      <w:r>
        <w:t>Quantify pricing structure, range capability, and performance benchmarks.</w:t>
      </w:r>
    </w:p>
    <w:p w14:paraId="78634472" w14:textId="77777777" w:rsidR="00120F61" w:rsidRDefault="00000000">
      <w:pPr>
        <w:pStyle w:val="ListBullet"/>
      </w:pPr>
      <w:r>
        <w:t>Map regional adoption across the world's ten leading EV markets.</w:t>
      </w:r>
    </w:p>
    <w:p w14:paraId="1345D289" w14:textId="77777777" w:rsidR="00120F61" w:rsidRDefault="00000000">
      <w:pPr>
        <w:pStyle w:val="ListBullet"/>
      </w:pPr>
      <w:r>
        <w:t>Surface correlations between technical specs and customer satisfaction.</w:t>
      </w:r>
    </w:p>
    <w:p w14:paraId="78AA94D4" w14:textId="77777777" w:rsidR="00120F61" w:rsidRDefault="00000000">
      <w:pPr>
        <w:pStyle w:val="ListBullet"/>
      </w:pPr>
      <w:r>
        <w:t>Translate findings into actionable strategic recommendations.</w:t>
      </w:r>
    </w:p>
    <w:p w14:paraId="431C78A9" w14:textId="77777777" w:rsidR="00120F61" w:rsidRDefault="00000000">
      <w:pPr>
        <w:spacing w:before="200" w:after="80"/>
      </w:pPr>
      <w:r>
        <w:rPr>
          <w:b/>
          <w:color w:val="1E3A8A"/>
          <w:sz w:val="28"/>
        </w:rPr>
        <w:t>Scope &amp; Approach</w:t>
      </w:r>
    </w:p>
    <w:p w14:paraId="364DB7BF" w14:textId="77777777" w:rsidR="00120F61" w:rsidRDefault="00000000">
      <w:pPr>
        <w:spacing w:after="120" w:line="312" w:lineRule="auto"/>
      </w:pPr>
      <w:r>
        <w:t>The study uses a structured dataset of 1,000 EV models with attributes spanning brand, country of origin, market segment, body type, battery capacity, range, charging speed, horsepower, top speed, acceleration, price, sales volume, safety rating, autopilot level, and customer rating. Exploratory, statistical, and correlation techniques are combined to ensure findings are both descriptive and inferential.</w:t>
      </w:r>
    </w:p>
    <w:p w14:paraId="5E8EF7BF" w14:textId="77777777" w:rsidR="00120F61" w:rsidRDefault="00000000">
      <w:pPr>
        <w:spacing w:before="200" w:after="80"/>
      </w:pPr>
      <w:r>
        <w:rPr>
          <w:b/>
          <w:color w:val="1E3A8A"/>
          <w:sz w:val="28"/>
        </w:rPr>
        <w:t>Why this matters now</w:t>
      </w:r>
    </w:p>
    <w:p w14:paraId="2DC340AA" w14:textId="77777777" w:rsidR="00120F61" w:rsidRDefault="00000000">
      <w:pPr>
        <w:spacing w:after="120" w:line="312" w:lineRule="auto"/>
      </w:pPr>
      <w:r>
        <w:t>With governments across Europe, China, and North America committing to combustion-engine phase-out timelines between 2030 and 2040, manufacturers and investors require granular intelligence on which segments, brands, and capabilities are converting consumer demand most efficiently.</w:t>
      </w:r>
    </w:p>
    <w:p w14:paraId="36949146" w14:textId="77777777" w:rsidR="00120F61" w:rsidRDefault="00000000">
      <w:r>
        <w:br w:type="page"/>
      </w:r>
    </w:p>
    <w:p w14:paraId="7C960A42" w14:textId="77777777" w:rsidR="00120F61" w:rsidRDefault="00000000">
      <w:pPr>
        <w:pBdr>
          <w:bottom w:val="single" w:sz="18" w:space="1" w:color="F59E0B"/>
        </w:pBdr>
      </w:pPr>
      <w:r>
        <w:rPr>
          <w:b/>
          <w:color w:val="1E3A8A"/>
          <w:sz w:val="44"/>
        </w:rPr>
        <w:lastRenderedPageBreak/>
        <w:t>3. Dataset Overview</w:t>
      </w:r>
    </w:p>
    <w:p w14:paraId="23149265" w14:textId="77777777" w:rsidR="00120F61" w:rsidRDefault="00000000">
      <w:pPr>
        <w:spacing w:after="120" w:line="312" w:lineRule="auto"/>
      </w:pPr>
      <w:r>
        <w:t>The analytical dataset contains 1000 records and 20 attributes covering categorical identifiers (brand, model, variant, body type, country of origin, market segment), continuous technical specifications, and commercial outcomes (price, sales, ratings).</w:t>
      </w:r>
    </w:p>
    <w:p w14:paraId="6740EF73" w14:textId="77777777" w:rsidR="00120F61" w:rsidRDefault="00000000">
      <w:pPr>
        <w:spacing w:before="200" w:after="80"/>
      </w:pPr>
      <w:r>
        <w:rPr>
          <w:b/>
          <w:color w:val="1E3A8A"/>
          <w:sz w:val="28"/>
        </w:rPr>
        <w:t>Schema Summary</w:t>
      </w:r>
    </w:p>
    <w:tbl>
      <w:tblPr>
        <w:tblStyle w:val="LightGrid-Accent1"/>
        <w:tblW w:w="0" w:type="auto"/>
        <w:tblLook w:val="04A0" w:firstRow="1" w:lastRow="0" w:firstColumn="1" w:lastColumn="0" w:noHBand="0" w:noVBand="1"/>
      </w:tblPr>
      <w:tblGrid>
        <w:gridCol w:w="3249"/>
        <w:gridCol w:w="3249"/>
        <w:gridCol w:w="3249"/>
      </w:tblGrid>
      <w:tr w:rsidR="00120F61" w14:paraId="71883E13" w14:textId="77777777" w:rsidTr="00120F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1E3A8A"/>
          </w:tcPr>
          <w:p w14:paraId="412F08E9" w14:textId="77777777" w:rsidR="00120F61" w:rsidRDefault="00000000">
            <w:r>
              <w:rPr>
                <w:color w:val="FFFFFF"/>
                <w:sz w:val="20"/>
              </w:rPr>
              <w:t>Field</w:t>
            </w:r>
          </w:p>
        </w:tc>
        <w:tc>
          <w:tcPr>
            <w:tcW w:w="3249" w:type="dxa"/>
            <w:shd w:val="clear" w:color="auto" w:fill="1E3A8A"/>
          </w:tcPr>
          <w:p w14:paraId="4475AF55" w14:textId="77777777" w:rsidR="00120F6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Type</w:t>
            </w:r>
          </w:p>
        </w:tc>
        <w:tc>
          <w:tcPr>
            <w:tcW w:w="3249" w:type="dxa"/>
            <w:shd w:val="clear" w:color="auto" w:fill="1E3A8A"/>
          </w:tcPr>
          <w:p w14:paraId="71D41DCD" w14:textId="77777777" w:rsidR="00120F6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Description</w:t>
            </w:r>
          </w:p>
        </w:tc>
      </w:tr>
      <w:tr w:rsidR="00120F61" w14:paraId="1A88E052" w14:textId="77777777" w:rsidTr="00120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2C261CE" w14:textId="77777777" w:rsidR="00120F61" w:rsidRDefault="00000000">
            <w:r>
              <w:rPr>
                <w:sz w:val="18"/>
              </w:rPr>
              <w:t>brand</w:t>
            </w:r>
          </w:p>
        </w:tc>
        <w:tc>
          <w:tcPr>
            <w:tcW w:w="3249" w:type="dxa"/>
          </w:tcPr>
          <w:p w14:paraId="462EDBE6"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Categorical</w:t>
            </w:r>
          </w:p>
        </w:tc>
        <w:tc>
          <w:tcPr>
            <w:tcW w:w="3249" w:type="dxa"/>
          </w:tcPr>
          <w:p w14:paraId="0EB6EC03"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Manufacturer name</w:t>
            </w:r>
          </w:p>
        </w:tc>
      </w:tr>
      <w:tr w:rsidR="00120F61" w14:paraId="49046102" w14:textId="77777777" w:rsidTr="00120F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0126A3B" w14:textId="77777777" w:rsidR="00120F61" w:rsidRDefault="00000000">
            <w:r>
              <w:rPr>
                <w:sz w:val="18"/>
              </w:rPr>
              <w:t>model</w:t>
            </w:r>
          </w:p>
        </w:tc>
        <w:tc>
          <w:tcPr>
            <w:tcW w:w="3249" w:type="dxa"/>
          </w:tcPr>
          <w:p w14:paraId="2D821501"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Text</w:t>
            </w:r>
          </w:p>
        </w:tc>
        <w:tc>
          <w:tcPr>
            <w:tcW w:w="3249" w:type="dxa"/>
          </w:tcPr>
          <w:p w14:paraId="726C8A59"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Model identifier</w:t>
            </w:r>
          </w:p>
        </w:tc>
      </w:tr>
      <w:tr w:rsidR="00120F61" w14:paraId="191DFBE3" w14:textId="77777777" w:rsidTr="00120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80A5A20" w14:textId="77777777" w:rsidR="00120F61" w:rsidRDefault="00000000">
            <w:r>
              <w:rPr>
                <w:sz w:val="18"/>
              </w:rPr>
              <w:t>year</w:t>
            </w:r>
          </w:p>
        </w:tc>
        <w:tc>
          <w:tcPr>
            <w:tcW w:w="3249" w:type="dxa"/>
          </w:tcPr>
          <w:p w14:paraId="503053A4"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Numeric</w:t>
            </w:r>
          </w:p>
        </w:tc>
        <w:tc>
          <w:tcPr>
            <w:tcW w:w="3249" w:type="dxa"/>
          </w:tcPr>
          <w:p w14:paraId="6905A87F"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Model year</w:t>
            </w:r>
          </w:p>
        </w:tc>
      </w:tr>
      <w:tr w:rsidR="00120F61" w14:paraId="074CFAFE" w14:textId="77777777" w:rsidTr="00120F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E54EE96" w14:textId="77777777" w:rsidR="00120F61" w:rsidRDefault="00000000">
            <w:r>
              <w:rPr>
                <w:sz w:val="18"/>
              </w:rPr>
              <w:t>variant</w:t>
            </w:r>
          </w:p>
        </w:tc>
        <w:tc>
          <w:tcPr>
            <w:tcW w:w="3249" w:type="dxa"/>
          </w:tcPr>
          <w:p w14:paraId="0B51B009"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Categorical</w:t>
            </w:r>
          </w:p>
        </w:tc>
        <w:tc>
          <w:tcPr>
            <w:tcW w:w="3249" w:type="dxa"/>
          </w:tcPr>
          <w:p w14:paraId="57DAFDF1"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Trim/variant designation</w:t>
            </w:r>
          </w:p>
        </w:tc>
      </w:tr>
      <w:tr w:rsidR="00120F61" w14:paraId="53EA6455" w14:textId="77777777" w:rsidTr="00120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F45A017" w14:textId="77777777" w:rsidR="00120F61" w:rsidRDefault="00000000">
            <w:r>
              <w:rPr>
                <w:sz w:val="18"/>
              </w:rPr>
              <w:t>price_usd</w:t>
            </w:r>
          </w:p>
        </w:tc>
        <w:tc>
          <w:tcPr>
            <w:tcW w:w="3249" w:type="dxa"/>
          </w:tcPr>
          <w:p w14:paraId="1D1B6694"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Numeric</w:t>
            </w:r>
          </w:p>
        </w:tc>
        <w:tc>
          <w:tcPr>
            <w:tcW w:w="3249" w:type="dxa"/>
          </w:tcPr>
          <w:p w14:paraId="3F3AF589"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MSRP in USD</w:t>
            </w:r>
          </w:p>
        </w:tc>
      </w:tr>
      <w:tr w:rsidR="00120F61" w14:paraId="4A4EED8B" w14:textId="77777777" w:rsidTr="00120F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217E95E" w14:textId="77777777" w:rsidR="00120F61" w:rsidRDefault="00000000">
            <w:r>
              <w:rPr>
                <w:sz w:val="18"/>
              </w:rPr>
              <w:t>battery_capacity_kwh</w:t>
            </w:r>
          </w:p>
        </w:tc>
        <w:tc>
          <w:tcPr>
            <w:tcW w:w="3249" w:type="dxa"/>
          </w:tcPr>
          <w:p w14:paraId="4A60A8D8"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Numeric</w:t>
            </w:r>
          </w:p>
        </w:tc>
        <w:tc>
          <w:tcPr>
            <w:tcW w:w="3249" w:type="dxa"/>
          </w:tcPr>
          <w:p w14:paraId="793A3D4F"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Usable battery capacity</w:t>
            </w:r>
          </w:p>
        </w:tc>
      </w:tr>
      <w:tr w:rsidR="00120F61" w14:paraId="5AD3AE4A" w14:textId="77777777" w:rsidTr="00120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0FBD26C" w14:textId="77777777" w:rsidR="00120F61" w:rsidRDefault="00000000">
            <w:r>
              <w:rPr>
                <w:sz w:val="18"/>
              </w:rPr>
              <w:t>range_miles</w:t>
            </w:r>
          </w:p>
        </w:tc>
        <w:tc>
          <w:tcPr>
            <w:tcW w:w="3249" w:type="dxa"/>
          </w:tcPr>
          <w:p w14:paraId="67C46CC6"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Numeric</w:t>
            </w:r>
          </w:p>
        </w:tc>
        <w:tc>
          <w:tcPr>
            <w:tcW w:w="3249" w:type="dxa"/>
          </w:tcPr>
          <w:p w14:paraId="758DC536"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Driving range (miles)</w:t>
            </w:r>
          </w:p>
        </w:tc>
      </w:tr>
      <w:tr w:rsidR="00120F61" w14:paraId="072B0A15" w14:textId="77777777" w:rsidTr="00120F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5D22886" w14:textId="77777777" w:rsidR="00120F61" w:rsidRDefault="00000000">
            <w:r>
              <w:rPr>
                <w:sz w:val="18"/>
              </w:rPr>
              <w:t>charging_speed_kw</w:t>
            </w:r>
          </w:p>
        </w:tc>
        <w:tc>
          <w:tcPr>
            <w:tcW w:w="3249" w:type="dxa"/>
          </w:tcPr>
          <w:p w14:paraId="6A6955C6"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Numeric</w:t>
            </w:r>
          </w:p>
        </w:tc>
        <w:tc>
          <w:tcPr>
            <w:tcW w:w="3249" w:type="dxa"/>
          </w:tcPr>
          <w:p w14:paraId="660C7680"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Peak DC fast-charging speed</w:t>
            </w:r>
          </w:p>
        </w:tc>
      </w:tr>
      <w:tr w:rsidR="00120F61" w14:paraId="3518A7BD" w14:textId="77777777" w:rsidTr="00120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92E8B97" w14:textId="77777777" w:rsidR="00120F61" w:rsidRDefault="00000000">
            <w:r>
              <w:rPr>
                <w:sz w:val="18"/>
              </w:rPr>
              <w:t>acceleration_0_60_mph</w:t>
            </w:r>
          </w:p>
        </w:tc>
        <w:tc>
          <w:tcPr>
            <w:tcW w:w="3249" w:type="dxa"/>
          </w:tcPr>
          <w:p w14:paraId="29ADF008"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Numeric</w:t>
            </w:r>
          </w:p>
        </w:tc>
        <w:tc>
          <w:tcPr>
            <w:tcW w:w="3249" w:type="dxa"/>
          </w:tcPr>
          <w:p w14:paraId="10DE2406"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0–60 mph time (s)</w:t>
            </w:r>
          </w:p>
        </w:tc>
      </w:tr>
      <w:tr w:rsidR="00120F61" w14:paraId="24B636B5" w14:textId="77777777" w:rsidTr="00120F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DE7C1EC" w14:textId="77777777" w:rsidR="00120F61" w:rsidRDefault="00000000">
            <w:r>
              <w:rPr>
                <w:sz w:val="18"/>
              </w:rPr>
              <w:t>top_speed_mph</w:t>
            </w:r>
          </w:p>
        </w:tc>
        <w:tc>
          <w:tcPr>
            <w:tcW w:w="3249" w:type="dxa"/>
          </w:tcPr>
          <w:p w14:paraId="0F07406C"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Numeric</w:t>
            </w:r>
          </w:p>
        </w:tc>
        <w:tc>
          <w:tcPr>
            <w:tcW w:w="3249" w:type="dxa"/>
          </w:tcPr>
          <w:p w14:paraId="243F1FDD"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Top speed (mph)</w:t>
            </w:r>
          </w:p>
        </w:tc>
      </w:tr>
      <w:tr w:rsidR="00120F61" w14:paraId="57D890CB" w14:textId="77777777" w:rsidTr="00120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D5D73EC" w14:textId="77777777" w:rsidR="00120F61" w:rsidRDefault="00000000">
            <w:r>
              <w:rPr>
                <w:sz w:val="18"/>
              </w:rPr>
              <w:t>horsepower</w:t>
            </w:r>
          </w:p>
        </w:tc>
        <w:tc>
          <w:tcPr>
            <w:tcW w:w="3249" w:type="dxa"/>
          </w:tcPr>
          <w:p w14:paraId="05353174"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Numeric</w:t>
            </w:r>
          </w:p>
        </w:tc>
        <w:tc>
          <w:tcPr>
            <w:tcW w:w="3249" w:type="dxa"/>
          </w:tcPr>
          <w:p w14:paraId="64B6E769"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Total system power</w:t>
            </w:r>
          </w:p>
        </w:tc>
      </w:tr>
      <w:tr w:rsidR="00120F61" w14:paraId="280C834B" w14:textId="77777777" w:rsidTr="00120F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A3799EF" w14:textId="77777777" w:rsidR="00120F61" w:rsidRDefault="00000000">
            <w:r>
              <w:rPr>
                <w:sz w:val="18"/>
              </w:rPr>
              <w:t>body_type</w:t>
            </w:r>
          </w:p>
        </w:tc>
        <w:tc>
          <w:tcPr>
            <w:tcW w:w="3249" w:type="dxa"/>
          </w:tcPr>
          <w:p w14:paraId="321925AA"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Categorical</w:t>
            </w:r>
          </w:p>
        </w:tc>
        <w:tc>
          <w:tcPr>
            <w:tcW w:w="3249" w:type="dxa"/>
          </w:tcPr>
          <w:p w14:paraId="09C6BB4F"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Sedan, SUV, Truck, Van, MPV, etc.</w:t>
            </w:r>
          </w:p>
        </w:tc>
      </w:tr>
      <w:tr w:rsidR="00120F61" w14:paraId="4A360141" w14:textId="77777777" w:rsidTr="00120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3159391" w14:textId="77777777" w:rsidR="00120F61" w:rsidRDefault="00000000">
            <w:r>
              <w:rPr>
                <w:sz w:val="18"/>
              </w:rPr>
              <w:t>cargo_volume_cubic_ft</w:t>
            </w:r>
          </w:p>
        </w:tc>
        <w:tc>
          <w:tcPr>
            <w:tcW w:w="3249" w:type="dxa"/>
          </w:tcPr>
          <w:p w14:paraId="6DCAC171"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Numeric</w:t>
            </w:r>
          </w:p>
        </w:tc>
        <w:tc>
          <w:tcPr>
            <w:tcW w:w="3249" w:type="dxa"/>
          </w:tcPr>
          <w:p w14:paraId="166C0CDC"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Cargo capacity</w:t>
            </w:r>
          </w:p>
        </w:tc>
      </w:tr>
      <w:tr w:rsidR="00120F61" w14:paraId="03A566B8" w14:textId="77777777" w:rsidTr="00120F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4DAF056" w14:textId="77777777" w:rsidR="00120F61" w:rsidRDefault="00000000">
            <w:r>
              <w:rPr>
                <w:sz w:val="18"/>
              </w:rPr>
              <w:t>weight_kg</w:t>
            </w:r>
          </w:p>
        </w:tc>
        <w:tc>
          <w:tcPr>
            <w:tcW w:w="3249" w:type="dxa"/>
          </w:tcPr>
          <w:p w14:paraId="2E42BEED"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Numeric</w:t>
            </w:r>
          </w:p>
        </w:tc>
        <w:tc>
          <w:tcPr>
            <w:tcW w:w="3249" w:type="dxa"/>
          </w:tcPr>
          <w:p w14:paraId="51A35FF7"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Curb weight</w:t>
            </w:r>
          </w:p>
        </w:tc>
      </w:tr>
      <w:tr w:rsidR="00120F61" w14:paraId="4EFAC005" w14:textId="77777777" w:rsidTr="00120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B62481A" w14:textId="77777777" w:rsidR="00120F61" w:rsidRDefault="00000000">
            <w:r>
              <w:rPr>
                <w:sz w:val="18"/>
              </w:rPr>
              <w:t>safety_rating</w:t>
            </w:r>
          </w:p>
        </w:tc>
        <w:tc>
          <w:tcPr>
            <w:tcW w:w="3249" w:type="dxa"/>
          </w:tcPr>
          <w:p w14:paraId="0475148C"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Numeric</w:t>
            </w:r>
          </w:p>
        </w:tc>
        <w:tc>
          <w:tcPr>
            <w:tcW w:w="3249" w:type="dxa"/>
          </w:tcPr>
          <w:p w14:paraId="1AA1DF28"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3–5 star scale</w:t>
            </w:r>
          </w:p>
        </w:tc>
      </w:tr>
      <w:tr w:rsidR="00120F61" w14:paraId="19718E93" w14:textId="77777777" w:rsidTr="00120F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4A56C64" w14:textId="77777777" w:rsidR="00120F61" w:rsidRDefault="00000000">
            <w:r>
              <w:rPr>
                <w:sz w:val="18"/>
              </w:rPr>
              <w:t>autopilot_level</w:t>
            </w:r>
          </w:p>
        </w:tc>
        <w:tc>
          <w:tcPr>
            <w:tcW w:w="3249" w:type="dxa"/>
          </w:tcPr>
          <w:p w14:paraId="593BF35F"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Numeric</w:t>
            </w:r>
          </w:p>
        </w:tc>
        <w:tc>
          <w:tcPr>
            <w:tcW w:w="3249" w:type="dxa"/>
          </w:tcPr>
          <w:p w14:paraId="6BF46272"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0–4 ADAS level</w:t>
            </w:r>
          </w:p>
        </w:tc>
      </w:tr>
      <w:tr w:rsidR="00120F61" w14:paraId="5212DF5E" w14:textId="77777777" w:rsidTr="00120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4776B41" w14:textId="77777777" w:rsidR="00120F61" w:rsidRDefault="00000000">
            <w:r>
              <w:rPr>
                <w:sz w:val="18"/>
              </w:rPr>
              <w:t>country_of_origin</w:t>
            </w:r>
          </w:p>
        </w:tc>
        <w:tc>
          <w:tcPr>
            <w:tcW w:w="3249" w:type="dxa"/>
          </w:tcPr>
          <w:p w14:paraId="645A6BE3"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Categorical</w:t>
            </w:r>
          </w:p>
        </w:tc>
        <w:tc>
          <w:tcPr>
            <w:tcW w:w="3249" w:type="dxa"/>
          </w:tcPr>
          <w:p w14:paraId="7BE9C40B"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Manufacturing country</w:t>
            </w:r>
          </w:p>
        </w:tc>
      </w:tr>
      <w:tr w:rsidR="00120F61" w14:paraId="28BD03CC" w14:textId="77777777" w:rsidTr="00120F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90FFF47" w14:textId="77777777" w:rsidR="00120F61" w:rsidRDefault="00000000">
            <w:r>
              <w:rPr>
                <w:sz w:val="18"/>
              </w:rPr>
              <w:t>market_segment</w:t>
            </w:r>
          </w:p>
        </w:tc>
        <w:tc>
          <w:tcPr>
            <w:tcW w:w="3249" w:type="dxa"/>
          </w:tcPr>
          <w:p w14:paraId="35C11060"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Categorical</w:t>
            </w:r>
          </w:p>
        </w:tc>
        <w:tc>
          <w:tcPr>
            <w:tcW w:w="3249" w:type="dxa"/>
          </w:tcPr>
          <w:p w14:paraId="4A9DF496"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Economy / Mid-Range / Premium / Luxury</w:t>
            </w:r>
          </w:p>
        </w:tc>
      </w:tr>
      <w:tr w:rsidR="00120F61" w14:paraId="0DCBB64B" w14:textId="77777777" w:rsidTr="00120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64772C3" w14:textId="77777777" w:rsidR="00120F61" w:rsidRDefault="00000000">
            <w:r>
              <w:rPr>
                <w:sz w:val="18"/>
              </w:rPr>
              <w:t>annual_sales_units</w:t>
            </w:r>
          </w:p>
        </w:tc>
        <w:tc>
          <w:tcPr>
            <w:tcW w:w="3249" w:type="dxa"/>
          </w:tcPr>
          <w:p w14:paraId="2E0A91E3"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Numeric</w:t>
            </w:r>
          </w:p>
        </w:tc>
        <w:tc>
          <w:tcPr>
            <w:tcW w:w="3249" w:type="dxa"/>
          </w:tcPr>
          <w:p w14:paraId="668B6C6E"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Annual unit sales</w:t>
            </w:r>
          </w:p>
        </w:tc>
      </w:tr>
      <w:tr w:rsidR="00120F61" w14:paraId="3F4986C3" w14:textId="77777777" w:rsidTr="00120F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B1D1829" w14:textId="77777777" w:rsidR="00120F61" w:rsidRDefault="00000000">
            <w:r>
              <w:rPr>
                <w:sz w:val="18"/>
              </w:rPr>
              <w:t>customer_rating</w:t>
            </w:r>
          </w:p>
        </w:tc>
        <w:tc>
          <w:tcPr>
            <w:tcW w:w="3249" w:type="dxa"/>
          </w:tcPr>
          <w:p w14:paraId="0634D096"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Numeric</w:t>
            </w:r>
          </w:p>
        </w:tc>
        <w:tc>
          <w:tcPr>
            <w:tcW w:w="3249" w:type="dxa"/>
          </w:tcPr>
          <w:p w14:paraId="3332CF5A"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Aggregated rating 0–5</w:t>
            </w:r>
          </w:p>
        </w:tc>
      </w:tr>
    </w:tbl>
    <w:p w14:paraId="02C3C33B" w14:textId="77777777" w:rsidR="00120F61" w:rsidRDefault="00000000">
      <w:r>
        <w:br w:type="page"/>
      </w:r>
    </w:p>
    <w:p w14:paraId="2B25607D" w14:textId="77777777" w:rsidR="00120F61" w:rsidRDefault="00000000">
      <w:pPr>
        <w:pBdr>
          <w:bottom w:val="single" w:sz="18" w:space="1" w:color="F59E0B"/>
        </w:pBdr>
      </w:pPr>
      <w:r>
        <w:rPr>
          <w:b/>
          <w:color w:val="1E3A8A"/>
          <w:sz w:val="44"/>
        </w:rPr>
        <w:lastRenderedPageBreak/>
        <w:t>4. Data Preparation &amp; Methodology</w:t>
      </w:r>
    </w:p>
    <w:p w14:paraId="53F35BC6" w14:textId="77777777" w:rsidR="00120F61" w:rsidRDefault="00000000">
      <w:pPr>
        <w:spacing w:before="200" w:after="80"/>
      </w:pPr>
      <w:r>
        <w:rPr>
          <w:b/>
          <w:color w:val="1E3A8A"/>
          <w:sz w:val="28"/>
        </w:rPr>
        <w:t>Pipeline (as executed in the notebook)</w:t>
      </w:r>
    </w:p>
    <w:p w14:paraId="3A14ACE5" w14:textId="77777777" w:rsidR="00120F61" w:rsidRDefault="00000000">
      <w:pPr>
        <w:pStyle w:val="ListBullet"/>
      </w:pPr>
      <w:r>
        <w:t>Imported pandas, numpy, matplotlib, and seaborn; applied dark_background style with seaborn darkgrid.</w:t>
      </w:r>
    </w:p>
    <w:p w14:paraId="4639B198" w14:textId="77777777" w:rsidR="00120F61" w:rsidRDefault="00000000">
      <w:pPr>
        <w:pStyle w:val="ListBullet"/>
      </w:pPr>
      <w:r>
        <w:t>Loaded ev_market_2026.csv into a DataFrame and inspected the first 5 rows, shape, columns, dtypes, and describe() output.</w:t>
      </w:r>
    </w:p>
    <w:p w14:paraId="2E5EFD58" w14:textId="77777777" w:rsidR="00120F61" w:rsidRDefault="00000000">
      <w:pPr>
        <w:pStyle w:val="ListBullet"/>
      </w:pPr>
      <w:r>
        <w:t>Audited missing values with df.isnull().sum() and confirmed zero nulls in the working dataset.</w:t>
      </w:r>
    </w:p>
    <w:p w14:paraId="0D29ECBE" w14:textId="77777777" w:rsidR="00120F61" w:rsidRDefault="00000000">
      <w:pPr>
        <w:pStyle w:val="ListBullet"/>
      </w:pPr>
      <w:r>
        <w:t>Removed duplicate rows using df.drop_duplicates(inplace=True).</w:t>
      </w:r>
    </w:p>
    <w:p w14:paraId="1C6BEB59" w14:textId="77777777" w:rsidR="00120F61" w:rsidRDefault="00000000">
      <w:pPr>
        <w:pStyle w:val="ListBullet"/>
      </w:pPr>
      <w:r>
        <w:t>Renamed columns for readability: annual_sales_units → 'Sales Units', price_usd → 'Price', country_of_origin → 'Country', battery_capacity_kwh → 'Battery Capacity', charging_speed_kw → 'Charging Speed'.</w:t>
      </w:r>
    </w:p>
    <w:p w14:paraId="73308341" w14:textId="77777777" w:rsidR="00120F61" w:rsidRDefault="00000000">
      <w:pPr>
        <w:pStyle w:val="ListBullet"/>
      </w:pPr>
      <w:r>
        <w:t>Exported cleaned dataset to clean_ev_market.csv and final_ev_market_dataset.csv.</w:t>
      </w:r>
    </w:p>
    <w:p w14:paraId="27285139" w14:textId="77777777" w:rsidR="00120F61" w:rsidRDefault="00000000">
      <w:pPr>
        <w:spacing w:before="200" w:after="80"/>
      </w:pPr>
      <w:r>
        <w:rPr>
          <w:b/>
          <w:color w:val="1E3A8A"/>
          <w:sz w:val="28"/>
        </w:rPr>
        <w:t>Analytical Techniques Applied</w:t>
      </w:r>
    </w:p>
    <w:p w14:paraId="50C0ADE1" w14:textId="77777777" w:rsidR="00120F61" w:rsidRDefault="00000000">
      <w:pPr>
        <w:pStyle w:val="ListBullet"/>
      </w:pPr>
      <w:r>
        <w:t>Descriptive statistics (mean, median, variance, standard deviation, skewness).</w:t>
      </w:r>
    </w:p>
    <w:p w14:paraId="0ADB7718" w14:textId="77777777" w:rsidR="00120F61" w:rsidRDefault="00000000">
      <w:pPr>
        <w:pStyle w:val="ListBullet"/>
      </w:pPr>
      <w:r>
        <w:t>Univariate distribution analysis using histograms with KDE overlays.</w:t>
      </w:r>
    </w:p>
    <w:p w14:paraId="20748BD8" w14:textId="77777777" w:rsidR="00120F61" w:rsidRDefault="00000000">
      <w:pPr>
        <w:pStyle w:val="ListBullet"/>
      </w:pPr>
      <w:r>
        <w:t>Bivariate analysis using scatter plots with categorical hue overlays.</w:t>
      </w:r>
    </w:p>
    <w:p w14:paraId="322592D2" w14:textId="77777777" w:rsidR="00120F61" w:rsidRDefault="00000000">
      <w:pPr>
        <w:pStyle w:val="ListBullet"/>
      </w:pPr>
      <w:r>
        <w:t>Pearson correlation matrix visualised via heatmap.</w:t>
      </w:r>
    </w:p>
    <w:p w14:paraId="667E425A" w14:textId="77777777" w:rsidR="00120F61" w:rsidRDefault="00000000">
      <w:pPr>
        <w:pStyle w:val="ListBullet"/>
      </w:pPr>
      <w:r>
        <w:t>Categorical aggregation using groupby for brand-, country-, and segment-level summaries.</w:t>
      </w:r>
    </w:p>
    <w:p w14:paraId="14C45C27" w14:textId="77777777" w:rsidR="00120F61" w:rsidRDefault="00000000">
      <w:pPr>
        <w:pStyle w:val="ListBullet"/>
      </w:pPr>
      <w:r>
        <w:t>Multi-variate pairplot across Price, Battery Capacity, Range, and Customer Rating.</w:t>
      </w:r>
    </w:p>
    <w:p w14:paraId="4C0FF565" w14:textId="77777777" w:rsidR="00120F61" w:rsidRDefault="00000000">
      <w:r>
        <w:br w:type="page"/>
      </w:r>
    </w:p>
    <w:p w14:paraId="1B460A7F" w14:textId="77777777" w:rsidR="00120F61" w:rsidRDefault="00000000">
      <w:pPr>
        <w:pBdr>
          <w:bottom w:val="single" w:sz="18" w:space="1" w:color="F59E0B"/>
        </w:pBdr>
      </w:pPr>
      <w:r>
        <w:rPr>
          <w:b/>
          <w:color w:val="1E3A8A"/>
          <w:sz w:val="44"/>
        </w:rPr>
        <w:lastRenderedPageBreak/>
        <w:t>5. Exploratory Data Analysis</w:t>
      </w:r>
    </w:p>
    <w:p w14:paraId="690D65B4" w14:textId="77777777" w:rsidR="00120F61" w:rsidRDefault="00000000">
      <w:pPr>
        <w:spacing w:before="200" w:after="80"/>
      </w:pPr>
      <w:r>
        <w:rPr>
          <w:b/>
          <w:color w:val="1E3A8A"/>
          <w:sz w:val="28"/>
        </w:rPr>
        <w:t>5.1 Top EV Brands by Sales</w:t>
      </w:r>
    </w:p>
    <w:p w14:paraId="420393BD" w14:textId="77777777" w:rsidR="00120F61" w:rsidRDefault="00000000">
      <w:pPr>
        <w:jc w:val="center"/>
      </w:pPr>
      <w:r>
        <w:rPr>
          <w:noProof/>
        </w:rPr>
        <w:drawing>
          <wp:inline distT="0" distB="0" distL="0" distR="0" wp14:anchorId="62D511E7" wp14:editId="231CA8BB">
            <wp:extent cx="4206240" cy="25735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op_brands.png"/>
                    <pic:cNvPicPr/>
                  </pic:nvPicPr>
                  <pic:blipFill>
                    <a:blip r:embed="rId6"/>
                    <a:stretch>
                      <a:fillRect/>
                    </a:stretch>
                  </pic:blipFill>
                  <pic:spPr>
                    <a:xfrm>
                      <a:off x="0" y="0"/>
                      <a:ext cx="4206240" cy="2573533"/>
                    </a:xfrm>
                    <a:prstGeom prst="rect">
                      <a:avLst/>
                    </a:prstGeom>
                  </pic:spPr>
                </pic:pic>
              </a:graphicData>
            </a:graphic>
          </wp:inline>
        </w:drawing>
      </w:r>
    </w:p>
    <w:p w14:paraId="1E47A256" w14:textId="77777777" w:rsidR="00120F61" w:rsidRDefault="00000000">
      <w:pPr>
        <w:jc w:val="center"/>
      </w:pPr>
      <w:r>
        <w:rPr>
          <w:i/>
          <w:color w:val="6B7280"/>
          <w:sz w:val="18"/>
        </w:rPr>
        <w:t>Figure 5.1 — Aggregated annual sales units grouped by brand (bar chart, lime).</w:t>
      </w:r>
    </w:p>
    <w:p w14:paraId="3D2B8D91" w14:textId="77777777" w:rsidR="00120F61" w:rsidRDefault="00000000">
      <w:pPr>
        <w:spacing w:after="120" w:line="312" w:lineRule="auto"/>
      </w:pPr>
      <w:r>
        <w:t>This bar chart aggregates total annual sales across all model variants for each manufacturer. GM/Chevrolet leads the pack with 3,348,371 units, followed closely by other established players. The chart highlights how a handful of brands dominate market share while a long tail of challenger and luxury brands compete in narrower niches.</w:t>
      </w:r>
    </w:p>
    <w:p w14:paraId="4AE2C2BA" w14:textId="77777777" w:rsidR="00120F61" w:rsidRDefault="00000000">
      <w:r>
        <w:br w:type="page"/>
      </w:r>
    </w:p>
    <w:p w14:paraId="7855253F" w14:textId="77777777" w:rsidR="00120F61" w:rsidRDefault="00000000">
      <w:pPr>
        <w:spacing w:before="200" w:after="80"/>
      </w:pPr>
      <w:r>
        <w:rPr>
          <w:b/>
          <w:color w:val="1E3A8A"/>
          <w:sz w:val="28"/>
        </w:rPr>
        <w:lastRenderedPageBreak/>
        <w:t>5.2 EV Price Distribution</w:t>
      </w:r>
    </w:p>
    <w:p w14:paraId="7582CD42" w14:textId="77777777" w:rsidR="00120F61" w:rsidRDefault="00000000">
      <w:pPr>
        <w:jc w:val="center"/>
      </w:pPr>
      <w:r>
        <w:rPr>
          <w:noProof/>
        </w:rPr>
        <w:drawing>
          <wp:inline distT="0" distB="0" distL="0" distR="0" wp14:anchorId="1D81D14C" wp14:editId="18470F67">
            <wp:extent cx="4206240" cy="2364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rice_dist.png"/>
                    <pic:cNvPicPr/>
                  </pic:nvPicPr>
                  <pic:blipFill>
                    <a:blip r:embed="rId7"/>
                    <a:stretch>
                      <a:fillRect/>
                    </a:stretch>
                  </pic:blipFill>
                  <pic:spPr>
                    <a:xfrm>
                      <a:off x="0" y="0"/>
                      <a:ext cx="4206240" cy="2364568"/>
                    </a:xfrm>
                    <a:prstGeom prst="rect">
                      <a:avLst/>
                    </a:prstGeom>
                  </pic:spPr>
                </pic:pic>
              </a:graphicData>
            </a:graphic>
          </wp:inline>
        </w:drawing>
      </w:r>
    </w:p>
    <w:p w14:paraId="3609420E" w14:textId="77777777" w:rsidR="00120F61" w:rsidRDefault="00000000">
      <w:pPr>
        <w:jc w:val="center"/>
      </w:pPr>
      <w:r>
        <w:rPr>
          <w:i/>
          <w:color w:val="6B7280"/>
          <w:sz w:val="18"/>
        </w:rPr>
        <w:t>Figure 5.2 — Histogram with KDE overlay of EV prices in USD.</w:t>
      </w:r>
    </w:p>
    <w:p w14:paraId="1C37EE47" w14:textId="77777777" w:rsidR="00120F61" w:rsidRDefault="00000000">
      <w:pPr>
        <w:spacing w:after="120" w:line="312" w:lineRule="auto"/>
      </w:pPr>
      <w:r>
        <w:t>The price distribution spans the full mass-market to luxury range, with a mean price of $104,345. The KDE curve reveals the underlying density and modal clusters across Economy, Mid-Range, Premium, and Luxury price bands. Skewness of -0.047 indicates the distribution shape, helping marketers and product strategists identify where the largest pricing pockets sit.</w:t>
      </w:r>
    </w:p>
    <w:p w14:paraId="28BCCF72" w14:textId="77777777" w:rsidR="00120F61" w:rsidRDefault="00000000">
      <w:r>
        <w:br w:type="page"/>
      </w:r>
    </w:p>
    <w:p w14:paraId="6E6EFDFC" w14:textId="77777777" w:rsidR="00120F61" w:rsidRDefault="00000000">
      <w:pPr>
        <w:spacing w:before="200" w:after="80"/>
      </w:pPr>
      <w:r>
        <w:rPr>
          <w:b/>
          <w:color w:val="1E3A8A"/>
          <w:sz w:val="28"/>
        </w:rPr>
        <w:lastRenderedPageBreak/>
        <w:t>5.3 Country-wise EV Sales</w:t>
      </w:r>
    </w:p>
    <w:p w14:paraId="3312A7E1" w14:textId="77777777" w:rsidR="00120F61" w:rsidRDefault="00000000">
      <w:pPr>
        <w:jc w:val="center"/>
      </w:pPr>
      <w:r>
        <w:rPr>
          <w:noProof/>
        </w:rPr>
        <w:drawing>
          <wp:inline distT="0" distB="0" distL="0" distR="0" wp14:anchorId="79269E22" wp14:editId="598D75A3">
            <wp:extent cx="4206240" cy="25781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ountry_sales.png"/>
                    <pic:cNvPicPr/>
                  </pic:nvPicPr>
                  <pic:blipFill>
                    <a:blip r:embed="rId8"/>
                    <a:stretch>
                      <a:fillRect/>
                    </a:stretch>
                  </pic:blipFill>
                  <pic:spPr>
                    <a:xfrm>
                      <a:off x="0" y="0"/>
                      <a:ext cx="4206240" cy="2578123"/>
                    </a:xfrm>
                    <a:prstGeom prst="rect">
                      <a:avLst/>
                    </a:prstGeom>
                  </pic:spPr>
                </pic:pic>
              </a:graphicData>
            </a:graphic>
          </wp:inline>
        </w:drawing>
      </w:r>
    </w:p>
    <w:p w14:paraId="6DBF3BFA" w14:textId="77777777" w:rsidR="00120F61" w:rsidRDefault="00000000">
      <w:pPr>
        <w:jc w:val="center"/>
      </w:pPr>
      <w:r>
        <w:rPr>
          <w:i/>
          <w:color w:val="6B7280"/>
          <w:sz w:val="18"/>
        </w:rPr>
        <w:t>Figure 5.3 — Total sales units grouped by country of origin (bar chart, orange).</w:t>
      </w:r>
    </w:p>
    <w:p w14:paraId="5C6CCC78" w14:textId="77777777" w:rsidR="00120F61" w:rsidRDefault="00000000">
      <w:pPr>
        <w:spacing w:after="120" w:line="312" w:lineRule="auto"/>
      </w:pPr>
      <w:r>
        <w:t>This view aggregates annual sales units by the country of origin of the manufacturer. The leading countries reflect both established automotive powerhouses and rapidly emerging EV manufacturing hubs. Concentration in the top markets demonstrates how production capacity, government incentives, and consumer purchasing power converge in a handful of geographies.</w:t>
      </w:r>
    </w:p>
    <w:p w14:paraId="54ED121A" w14:textId="77777777" w:rsidR="00120F61" w:rsidRDefault="00000000">
      <w:r>
        <w:br w:type="page"/>
      </w:r>
    </w:p>
    <w:p w14:paraId="25DC489D" w14:textId="77777777" w:rsidR="00120F61" w:rsidRDefault="00000000">
      <w:pPr>
        <w:spacing w:before="200" w:after="80"/>
      </w:pPr>
      <w:r>
        <w:rPr>
          <w:b/>
          <w:color w:val="1E3A8A"/>
          <w:sz w:val="28"/>
        </w:rPr>
        <w:lastRenderedPageBreak/>
        <w:t>5.4 Market Segment Share</w:t>
      </w:r>
    </w:p>
    <w:p w14:paraId="0EDA685C" w14:textId="77777777" w:rsidR="00120F61" w:rsidRDefault="00000000">
      <w:pPr>
        <w:jc w:val="center"/>
      </w:pPr>
      <w:r>
        <w:rPr>
          <w:noProof/>
        </w:rPr>
        <w:drawing>
          <wp:inline distT="0" distB="0" distL="0" distR="0" wp14:anchorId="22E6CEA6" wp14:editId="0B928761">
            <wp:extent cx="4114800" cy="42493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egment_pie.png"/>
                    <pic:cNvPicPr/>
                  </pic:nvPicPr>
                  <pic:blipFill>
                    <a:blip r:embed="rId9"/>
                    <a:stretch>
                      <a:fillRect/>
                    </a:stretch>
                  </pic:blipFill>
                  <pic:spPr>
                    <a:xfrm>
                      <a:off x="0" y="0"/>
                      <a:ext cx="4114800" cy="4249303"/>
                    </a:xfrm>
                    <a:prstGeom prst="rect">
                      <a:avLst/>
                    </a:prstGeom>
                  </pic:spPr>
                </pic:pic>
              </a:graphicData>
            </a:graphic>
          </wp:inline>
        </w:drawing>
      </w:r>
    </w:p>
    <w:p w14:paraId="6BE2432C" w14:textId="77777777" w:rsidR="00120F61" w:rsidRDefault="00000000">
      <w:pPr>
        <w:jc w:val="center"/>
      </w:pPr>
      <w:r>
        <w:rPr>
          <w:i/>
          <w:color w:val="6B7280"/>
          <w:sz w:val="18"/>
        </w:rPr>
        <w:t>Figure 5.4 — Share of total sales by market segment (pie chart).</w:t>
      </w:r>
    </w:p>
    <w:p w14:paraId="6237E033" w14:textId="77777777" w:rsidR="00120F61" w:rsidRDefault="00000000">
      <w:pPr>
        <w:spacing w:after="120" w:line="312" w:lineRule="auto"/>
      </w:pPr>
      <w:r>
        <w:t>The pie chart partitions total sales by segment. Mid-Range emerges as the dominant volume segment, confirming it as the strategic battleground for mass-market EV adoption. Premium and Luxury contribute smaller volumes but command outsized revenue-per-unit.</w:t>
      </w:r>
    </w:p>
    <w:p w14:paraId="14A0F00D" w14:textId="77777777" w:rsidR="00120F61" w:rsidRDefault="00000000">
      <w:r>
        <w:br w:type="page"/>
      </w:r>
    </w:p>
    <w:p w14:paraId="7D25EF4C" w14:textId="77777777" w:rsidR="00120F61" w:rsidRDefault="00000000">
      <w:pPr>
        <w:spacing w:before="200" w:after="80"/>
      </w:pPr>
      <w:r>
        <w:rPr>
          <w:b/>
          <w:color w:val="1E3A8A"/>
          <w:sz w:val="28"/>
        </w:rPr>
        <w:lastRenderedPageBreak/>
        <w:t>5.5 Battery Capacity vs Driving Range</w:t>
      </w:r>
    </w:p>
    <w:p w14:paraId="335A28E0" w14:textId="77777777" w:rsidR="00120F61" w:rsidRDefault="00000000">
      <w:pPr>
        <w:jc w:val="center"/>
      </w:pPr>
      <w:r>
        <w:rPr>
          <w:noProof/>
        </w:rPr>
        <w:drawing>
          <wp:inline distT="0" distB="0" distL="0" distR="0" wp14:anchorId="0F605C3F" wp14:editId="7EBFA5B7">
            <wp:extent cx="4206240" cy="26988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battery_range.png"/>
                    <pic:cNvPicPr/>
                  </pic:nvPicPr>
                  <pic:blipFill>
                    <a:blip r:embed="rId10"/>
                    <a:stretch>
                      <a:fillRect/>
                    </a:stretch>
                  </pic:blipFill>
                  <pic:spPr>
                    <a:xfrm>
                      <a:off x="0" y="0"/>
                      <a:ext cx="4206240" cy="2698845"/>
                    </a:xfrm>
                    <a:prstGeom prst="rect">
                      <a:avLst/>
                    </a:prstGeom>
                  </pic:spPr>
                </pic:pic>
              </a:graphicData>
            </a:graphic>
          </wp:inline>
        </w:drawing>
      </w:r>
    </w:p>
    <w:p w14:paraId="24DEF35E" w14:textId="77777777" w:rsidR="00120F61" w:rsidRDefault="00000000">
      <w:pPr>
        <w:jc w:val="center"/>
      </w:pPr>
      <w:r>
        <w:rPr>
          <w:i/>
          <w:color w:val="6B7280"/>
          <w:sz w:val="18"/>
        </w:rPr>
        <w:t>Figure 5.5 — Scatter plot of battery capacity (kWh) versus driving range (miles), coloured by brand.</w:t>
      </w:r>
    </w:p>
    <w:p w14:paraId="182B1665" w14:textId="77777777" w:rsidR="00120F61" w:rsidRDefault="00000000">
      <w:pPr>
        <w:spacing w:after="120" w:line="312" w:lineRule="auto"/>
      </w:pPr>
      <w:r>
        <w:t>A strong positive linear relationship is evident: as battery capacity increases, driving range scales roughly in proportion. Brand-level clusters reveal differences in powertrain efficiency — brands sitting above the trend line achieve more miles per kWh. The chart confirms battery capacity as the primary engineering lever for extending usable range.</w:t>
      </w:r>
    </w:p>
    <w:p w14:paraId="4806F1D7" w14:textId="77777777" w:rsidR="00120F61" w:rsidRDefault="00000000">
      <w:r>
        <w:br w:type="page"/>
      </w:r>
    </w:p>
    <w:p w14:paraId="4D789414" w14:textId="77777777" w:rsidR="00120F61" w:rsidRDefault="00000000">
      <w:pPr>
        <w:spacing w:before="200" w:after="80"/>
      </w:pPr>
      <w:r>
        <w:rPr>
          <w:b/>
          <w:color w:val="1E3A8A"/>
          <w:sz w:val="28"/>
        </w:rPr>
        <w:lastRenderedPageBreak/>
        <w:t>5.6 Price vs Customer Rating</w:t>
      </w:r>
    </w:p>
    <w:p w14:paraId="25D5AE57" w14:textId="77777777" w:rsidR="00120F61" w:rsidRDefault="00000000">
      <w:pPr>
        <w:jc w:val="center"/>
      </w:pPr>
      <w:r>
        <w:rPr>
          <w:noProof/>
        </w:rPr>
        <w:drawing>
          <wp:inline distT="0" distB="0" distL="0" distR="0" wp14:anchorId="19454C9A" wp14:editId="129871CF">
            <wp:extent cx="4206240" cy="27111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price_rating.png"/>
                    <pic:cNvPicPr/>
                  </pic:nvPicPr>
                  <pic:blipFill>
                    <a:blip r:embed="rId11"/>
                    <a:stretch>
                      <a:fillRect/>
                    </a:stretch>
                  </pic:blipFill>
                  <pic:spPr>
                    <a:xfrm>
                      <a:off x="0" y="0"/>
                      <a:ext cx="4206240" cy="2711113"/>
                    </a:xfrm>
                    <a:prstGeom prst="rect">
                      <a:avLst/>
                    </a:prstGeom>
                  </pic:spPr>
                </pic:pic>
              </a:graphicData>
            </a:graphic>
          </wp:inline>
        </w:drawing>
      </w:r>
    </w:p>
    <w:p w14:paraId="118E08BD" w14:textId="77777777" w:rsidR="00120F61" w:rsidRDefault="00000000">
      <w:pPr>
        <w:jc w:val="center"/>
      </w:pPr>
      <w:r>
        <w:rPr>
          <w:i/>
          <w:color w:val="6B7280"/>
          <w:sz w:val="18"/>
        </w:rPr>
        <w:t>Figure 5.6 — Scatter plot of price (USD) versus customer rating, coloured by market segment.</w:t>
      </w:r>
    </w:p>
    <w:p w14:paraId="10F1F8EE" w14:textId="77777777" w:rsidR="00120F61" w:rsidRDefault="00000000">
      <w:pPr>
        <w:spacing w:after="120" w:line="312" w:lineRule="auto"/>
      </w:pPr>
      <w:r>
        <w:t>There is no strong linear relationship between price and customer rating — expensive vehicles are not categorically more satisfying. Mid-Range and Premium segments achieve ratings comparable to Luxury, suggesting that satisfaction is driven by software polish, ride quality, charging experience, and service network strength rather than raw sticker price.</w:t>
      </w:r>
    </w:p>
    <w:p w14:paraId="2DE773C4" w14:textId="77777777" w:rsidR="00120F61" w:rsidRDefault="00000000">
      <w:r>
        <w:br w:type="page"/>
      </w:r>
    </w:p>
    <w:p w14:paraId="2350ED9D" w14:textId="77777777" w:rsidR="00120F61" w:rsidRDefault="00000000">
      <w:pPr>
        <w:spacing w:before="200" w:after="80"/>
      </w:pPr>
      <w:r>
        <w:rPr>
          <w:b/>
          <w:color w:val="1E3A8A"/>
          <w:sz w:val="28"/>
        </w:rPr>
        <w:lastRenderedPageBreak/>
        <w:t>5.7 Average Customer Rating by Brand</w:t>
      </w:r>
    </w:p>
    <w:p w14:paraId="72B8577B" w14:textId="77777777" w:rsidR="00120F61" w:rsidRDefault="00000000">
      <w:pPr>
        <w:jc w:val="center"/>
      </w:pPr>
      <w:r>
        <w:rPr>
          <w:noProof/>
        </w:rPr>
        <w:drawing>
          <wp:inline distT="0" distB="0" distL="0" distR="0" wp14:anchorId="7D52DF12" wp14:editId="6F44C3AD">
            <wp:extent cx="4206240" cy="25541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top_rated.png"/>
                    <pic:cNvPicPr/>
                  </pic:nvPicPr>
                  <pic:blipFill>
                    <a:blip r:embed="rId12"/>
                    <a:stretch>
                      <a:fillRect/>
                    </a:stretch>
                  </pic:blipFill>
                  <pic:spPr>
                    <a:xfrm>
                      <a:off x="0" y="0"/>
                      <a:ext cx="4206240" cy="2554135"/>
                    </a:xfrm>
                    <a:prstGeom prst="rect">
                      <a:avLst/>
                    </a:prstGeom>
                  </pic:spPr>
                </pic:pic>
              </a:graphicData>
            </a:graphic>
          </wp:inline>
        </w:drawing>
      </w:r>
    </w:p>
    <w:p w14:paraId="2500F369" w14:textId="77777777" w:rsidR="00120F61" w:rsidRDefault="00000000">
      <w:pPr>
        <w:jc w:val="center"/>
      </w:pPr>
      <w:r>
        <w:rPr>
          <w:i/>
          <w:color w:val="6B7280"/>
          <w:sz w:val="18"/>
        </w:rPr>
        <w:t>Figure 5.7 — Average customer rating per brand (bar chart, purple).</w:t>
      </w:r>
    </w:p>
    <w:p w14:paraId="3086C203" w14:textId="77777777" w:rsidR="00120F61" w:rsidRDefault="00000000">
      <w:pPr>
        <w:spacing w:after="120" w:line="312" w:lineRule="auto"/>
      </w:pPr>
      <w:r>
        <w:t>This chart ranks brands by mean customer rating. Nissan achieves the highest brand-level rating of 4.13/5. The relatively narrow spread between the top and bottom brands shows that the industry has converged on a high baseline of customer satisfaction.</w:t>
      </w:r>
    </w:p>
    <w:p w14:paraId="3CCDAFC7" w14:textId="77777777" w:rsidR="00120F61" w:rsidRDefault="00000000">
      <w:r>
        <w:br w:type="page"/>
      </w:r>
    </w:p>
    <w:p w14:paraId="39DD3218" w14:textId="77777777" w:rsidR="00120F61" w:rsidRDefault="00000000">
      <w:pPr>
        <w:spacing w:before="200" w:after="80"/>
      </w:pPr>
      <w:r>
        <w:rPr>
          <w:b/>
          <w:color w:val="1E3A8A"/>
          <w:sz w:val="28"/>
        </w:rPr>
        <w:lastRenderedPageBreak/>
        <w:t>5.8 Charging Speed by Market Segment</w:t>
      </w:r>
    </w:p>
    <w:p w14:paraId="75D7A386" w14:textId="77777777" w:rsidR="00120F61" w:rsidRDefault="00000000">
      <w:pPr>
        <w:jc w:val="center"/>
      </w:pPr>
      <w:r>
        <w:rPr>
          <w:noProof/>
        </w:rPr>
        <w:drawing>
          <wp:inline distT="0" distB="0" distL="0" distR="0" wp14:anchorId="3C13B3B7" wp14:editId="5AE254A9">
            <wp:extent cx="4206240" cy="26988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charging_box.png"/>
                    <pic:cNvPicPr/>
                  </pic:nvPicPr>
                  <pic:blipFill>
                    <a:blip r:embed="rId13"/>
                    <a:stretch>
                      <a:fillRect/>
                    </a:stretch>
                  </pic:blipFill>
                  <pic:spPr>
                    <a:xfrm>
                      <a:off x="0" y="0"/>
                      <a:ext cx="4206240" cy="2698845"/>
                    </a:xfrm>
                    <a:prstGeom prst="rect">
                      <a:avLst/>
                    </a:prstGeom>
                  </pic:spPr>
                </pic:pic>
              </a:graphicData>
            </a:graphic>
          </wp:inline>
        </w:drawing>
      </w:r>
    </w:p>
    <w:p w14:paraId="6CA93F97" w14:textId="77777777" w:rsidR="00120F61" w:rsidRDefault="00000000">
      <w:pPr>
        <w:jc w:val="center"/>
      </w:pPr>
      <w:r>
        <w:rPr>
          <w:i/>
          <w:color w:val="6B7280"/>
          <w:sz w:val="18"/>
        </w:rPr>
        <w:t>Figure 5.8 — Box plot of peak DC charging speed (kW) grouped by market segment.</w:t>
      </w:r>
    </w:p>
    <w:p w14:paraId="33F9840F" w14:textId="77777777" w:rsidR="00120F61" w:rsidRDefault="00000000">
      <w:pPr>
        <w:spacing w:after="120" w:line="312" w:lineRule="auto"/>
      </w:pPr>
      <w:r>
        <w:t>Box plots reveal both the central tendency and dispersion of charging speeds within each segment. Premium and Luxury segments show higher medians and wider upper whiskers, reflecting 200–350 kW capability that enables 10–80% top-up in under 20 minutes. Economy and Mid-Range concentrate around lower charging speeds, an area where future generations of vehicles can differentiate.</w:t>
      </w:r>
    </w:p>
    <w:p w14:paraId="064C0533" w14:textId="77777777" w:rsidR="00120F61" w:rsidRDefault="00000000">
      <w:r>
        <w:br w:type="page"/>
      </w:r>
    </w:p>
    <w:p w14:paraId="2D702F86" w14:textId="77777777" w:rsidR="00120F61" w:rsidRDefault="00000000">
      <w:pPr>
        <w:spacing w:before="200" w:after="80"/>
      </w:pPr>
      <w:r>
        <w:rPr>
          <w:b/>
          <w:color w:val="1E3A8A"/>
          <w:sz w:val="28"/>
        </w:rPr>
        <w:lastRenderedPageBreak/>
        <w:t>5.9 Horsepower Distribution</w:t>
      </w:r>
    </w:p>
    <w:p w14:paraId="43DBF1C9" w14:textId="77777777" w:rsidR="00120F61" w:rsidRDefault="00000000">
      <w:pPr>
        <w:jc w:val="center"/>
      </w:pPr>
      <w:r>
        <w:rPr>
          <w:noProof/>
        </w:rPr>
        <w:drawing>
          <wp:inline distT="0" distB="0" distL="0" distR="0" wp14:anchorId="37D6C7CA" wp14:editId="45BB558B">
            <wp:extent cx="4206240" cy="23414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horsepower.png"/>
                    <pic:cNvPicPr/>
                  </pic:nvPicPr>
                  <pic:blipFill>
                    <a:blip r:embed="rId14"/>
                    <a:stretch>
                      <a:fillRect/>
                    </a:stretch>
                  </pic:blipFill>
                  <pic:spPr>
                    <a:xfrm>
                      <a:off x="0" y="0"/>
                      <a:ext cx="4206240" cy="2341499"/>
                    </a:xfrm>
                    <a:prstGeom prst="rect">
                      <a:avLst/>
                    </a:prstGeom>
                  </pic:spPr>
                </pic:pic>
              </a:graphicData>
            </a:graphic>
          </wp:inline>
        </w:drawing>
      </w:r>
    </w:p>
    <w:p w14:paraId="67D77825" w14:textId="77777777" w:rsidR="00120F61" w:rsidRDefault="00000000">
      <w:pPr>
        <w:jc w:val="center"/>
      </w:pPr>
      <w:r>
        <w:rPr>
          <w:i/>
          <w:color w:val="6B7280"/>
          <w:sz w:val="18"/>
        </w:rPr>
        <w:t>Figure 5.9 — Histogram of horsepower across all models (green).</w:t>
      </w:r>
    </w:p>
    <w:p w14:paraId="50291242" w14:textId="77777777" w:rsidR="00120F61" w:rsidRDefault="00000000">
      <w:pPr>
        <w:spacing w:after="120" w:line="312" w:lineRule="auto"/>
      </w:pPr>
      <w:r>
        <w:t>The horsepower distribution spans entry-level to hypercar performance, with an average of 471 hp. Electric powertrains have democratised performance once reserved for sports cars, with mainstream EVs routinely delivering 0–60 times under 6 seconds.</w:t>
      </w:r>
    </w:p>
    <w:p w14:paraId="52AE609E" w14:textId="77777777" w:rsidR="00120F61" w:rsidRDefault="00000000">
      <w:r>
        <w:br w:type="page"/>
      </w:r>
    </w:p>
    <w:p w14:paraId="06BD63CB" w14:textId="77777777" w:rsidR="00120F61" w:rsidRDefault="00000000">
      <w:pPr>
        <w:pBdr>
          <w:bottom w:val="single" w:sz="18" w:space="1" w:color="F59E0B"/>
        </w:pBdr>
      </w:pPr>
      <w:r>
        <w:rPr>
          <w:b/>
          <w:color w:val="1E3A8A"/>
          <w:sz w:val="44"/>
        </w:rPr>
        <w:lastRenderedPageBreak/>
        <w:t>6. Statistical &amp; Correlation Analysis</w:t>
      </w:r>
    </w:p>
    <w:p w14:paraId="2AAA26C8" w14:textId="77777777" w:rsidR="00120F61" w:rsidRDefault="00000000">
      <w:pPr>
        <w:jc w:val="center"/>
      </w:pPr>
      <w:r>
        <w:rPr>
          <w:noProof/>
        </w:rPr>
        <w:drawing>
          <wp:inline distT="0" distB="0" distL="0" distR="0" wp14:anchorId="3ECD8213" wp14:editId="6D03DECD">
            <wp:extent cx="4937760" cy="39175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heatmap.png"/>
                    <pic:cNvPicPr/>
                  </pic:nvPicPr>
                  <pic:blipFill>
                    <a:blip r:embed="rId15"/>
                    <a:stretch>
                      <a:fillRect/>
                    </a:stretch>
                  </pic:blipFill>
                  <pic:spPr>
                    <a:xfrm>
                      <a:off x="0" y="0"/>
                      <a:ext cx="4937760" cy="3917532"/>
                    </a:xfrm>
                    <a:prstGeom prst="rect">
                      <a:avLst/>
                    </a:prstGeom>
                  </pic:spPr>
                </pic:pic>
              </a:graphicData>
            </a:graphic>
          </wp:inline>
        </w:drawing>
      </w:r>
    </w:p>
    <w:p w14:paraId="5C9E9DCC" w14:textId="77777777" w:rsidR="00120F61" w:rsidRDefault="00000000">
      <w:pPr>
        <w:jc w:val="center"/>
      </w:pPr>
      <w:r>
        <w:rPr>
          <w:i/>
          <w:color w:val="6B7280"/>
          <w:sz w:val="18"/>
        </w:rPr>
        <w:t>Figure 6.1 — Pearson correlation heatmap across all numeric attributes.</w:t>
      </w:r>
    </w:p>
    <w:p w14:paraId="4C187E77" w14:textId="77777777" w:rsidR="00120F61" w:rsidRDefault="00000000">
      <w:pPr>
        <w:spacing w:after="120" w:line="312" w:lineRule="auto"/>
      </w:pPr>
      <w:r>
        <w:t>Battery capacity exhibits the strongest positive correlation with driving range, confirming it as the primary engineering lever. Horsepower correlates with top speed and moderately with price. Customer rating shows only weak correlations with technical specifications, reinforcing that satisfaction is multi-dimensional.</w:t>
      </w:r>
    </w:p>
    <w:p w14:paraId="62B86F86" w14:textId="77777777" w:rsidR="00120F61" w:rsidRDefault="00000000">
      <w:r>
        <w:br w:type="page"/>
      </w:r>
    </w:p>
    <w:p w14:paraId="589B4EC8" w14:textId="77777777" w:rsidR="00120F61" w:rsidRDefault="00000000">
      <w:pPr>
        <w:spacing w:before="200" w:after="80"/>
      </w:pPr>
      <w:r>
        <w:rPr>
          <w:b/>
          <w:color w:val="1E3A8A"/>
          <w:sz w:val="28"/>
        </w:rPr>
        <w:lastRenderedPageBreak/>
        <w:t>6.2 Pairwise Distributions</w:t>
      </w:r>
    </w:p>
    <w:p w14:paraId="592A2619" w14:textId="77777777" w:rsidR="00120F61" w:rsidRDefault="00000000">
      <w:pPr>
        <w:jc w:val="center"/>
      </w:pPr>
      <w:r>
        <w:rPr>
          <w:noProof/>
        </w:rPr>
        <w:drawing>
          <wp:inline distT="0" distB="0" distL="0" distR="0" wp14:anchorId="48875EC0" wp14:editId="0C4AC465">
            <wp:extent cx="4937760" cy="49332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pairplot.png"/>
                    <pic:cNvPicPr/>
                  </pic:nvPicPr>
                  <pic:blipFill>
                    <a:blip r:embed="rId16"/>
                    <a:stretch>
                      <a:fillRect/>
                    </a:stretch>
                  </pic:blipFill>
                  <pic:spPr>
                    <a:xfrm>
                      <a:off x="0" y="0"/>
                      <a:ext cx="4937760" cy="4933209"/>
                    </a:xfrm>
                    <a:prstGeom prst="rect">
                      <a:avLst/>
                    </a:prstGeom>
                  </pic:spPr>
                </pic:pic>
              </a:graphicData>
            </a:graphic>
          </wp:inline>
        </w:drawing>
      </w:r>
    </w:p>
    <w:p w14:paraId="410465F2" w14:textId="77777777" w:rsidR="00120F61" w:rsidRDefault="00000000">
      <w:pPr>
        <w:jc w:val="center"/>
      </w:pPr>
      <w:r>
        <w:rPr>
          <w:i/>
          <w:color w:val="6B7280"/>
          <w:sz w:val="18"/>
        </w:rPr>
        <w:t>Figure 6.2 — Pairplot across Price, Battery Capacity, Range, and Customer Rating.</w:t>
      </w:r>
    </w:p>
    <w:p w14:paraId="60C7DF16" w14:textId="77777777" w:rsidR="00120F61" w:rsidRDefault="00000000">
      <w:pPr>
        <w:spacing w:after="120" w:line="312" w:lineRule="auto"/>
      </w:pPr>
      <w:r>
        <w:t>The pairplot exposes both marginal distributions (diagonal) and pairwise scatter relationships (off-diagonal) for the four most strategically important variables. The strong positive trend between Battery Capacity and Range is again clear, while Customer Rating shows broad scatter against all other variables — a visual confirmation of the heatmap findings.</w:t>
      </w:r>
    </w:p>
    <w:p w14:paraId="6EC63797" w14:textId="77777777" w:rsidR="00120F61" w:rsidRDefault="00000000">
      <w:pPr>
        <w:spacing w:before="200" w:after="80"/>
      </w:pPr>
      <w:r>
        <w:rPr>
          <w:b/>
          <w:color w:val="1E3A8A"/>
          <w:sz w:val="28"/>
        </w:rPr>
        <w:t>Descriptive Statistics</w:t>
      </w:r>
    </w:p>
    <w:tbl>
      <w:tblPr>
        <w:tblStyle w:val="LightGrid-Accent1"/>
        <w:tblW w:w="0" w:type="auto"/>
        <w:tblLook w:val="04A0" w:firstRow="1" w:lastRow="0" w:firstColumn="1" w:lastColumn="0" w:noHBand="0" w:noVBand="1"/>
      </w:tblPr>
      <w:tblGrid>
        <w:gridCol w:w="1452"/>
        <w:gridCol w:w="1042"/>
        <w:gridCol w:w="1075"/>
        <w:gridCol w:w="1057"/>
        <w:gridCol w:w="1057"/>
        <w:gridCol w:w="1057"/>
        <w:gridCol w:w="1074"/>
        <w:gridCol w:w="1074"/>
        <w:gridCol w:w="1074"/>
      </w:tblGrid>
      <w:tr w:rsidR="00120F61" w14:paraId="10A35E56" w14:textId="77777777" w:rsidTr="00120F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shd w:val="clear" w:color="auto" w:fill="1E3A8A"/>
          </w:tcPr>
          <w:p w14:paraId="454F8B93" w14:textId="77777777" w:rsidR="00120F61" w:rsidRDefault="00000000">
            <w:r>
              <w:rPr>
                <w:color w:val="FFFFFF"/>
                <w:sz w:val="18"/>
              </w:rPr>
              <w:t>Attribute</w:t>
            </w:r>
          </w:p>
        </w:tc>
        <w:tc>
          <w:tcPr>
            <w:tcW w:w="1083" w:type="dxa"/>
            <w:shd w:val="clear" w:color="auto" w:fill="1E3A8A"/>
          </w:tcPr>
          <w:p w14:paraId="17AA59A7" w14:textId="77777777" w:rsidR="00120F6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count</w:t>
            </w:r>
          </w:p>
        </w:tc>
        <w:tc>
          <w:tcPr>
            <w:tcW w:w="1083" w:type="dxa"/>
            <w:shd w:val="clear" w:color="auto" w:fill="1E3A8A"/>
          </w:tcPr>
          <w:p w14:paraId="7D3E0793" w14:textId="77777777" w:rsidR="00120F6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mean</w:t>
            </w:r>
          </w:p>
        </w:tc>
        <w:tc>
          <w:tcPr>
            <w:tcW w:w="1083" w:type="dxa"/>
            <w:shd w:val="clear" w:color="auto" w:fill="1E3A8A"/>
          </w:tcPr>
          <w:p w14:paraId="4FB57D2D" w14:textId="77777777" w:rsidR="00120F6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std</w:t>
            </w:r>
          </w:p>
        </w:tc>
        <w:tc>
          <w:tcPr>
            <w:tcW w:w="1083" w:type="dxa"/>
            <w:shd w:val="clear" w:color="auto" w:fill="1E3A8A"/>
          </w:tcPr>
          <w:p w14:paraId="008FFB0C" w14:textId="77777777" w:rsidR="00120F6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min</w:t>
            </w:r>
          </w:p>
        </w:tc>
        <w:tc>
          <w:tcPr>
            <w:tcW w:w="1083" w:type="dxa"/>
            <w:shd w:val="clear" w:color="auto" w:fill="1E3A8A"/>
          </w:tcPr>
          <w:p w14:paraId="2E9EAAB7" w14:textId="77777777" w:rsidR="00120F6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25%</w:t>
            </w:r>
          </w:p>
        </w:tc>
        <w:tc>
          <w:tcPr>
            <w:tcW w:w="1083" w:type="dxa"/>
            <w:shd w:val="clear" w:color="auto" w:fill="1E3A8A"/>
          </w:tcPr>
          <w:p w14:paraId="18080088" w14:textId="77777777" w:rsidR="00120F6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50%</w:t>
            </w:r>
          </w:p>
        </w:tc>
        <w:tc>
          <w:tcPr>
            <w:tcW w:w="1083" w:type="dxa"/>
            <w:shd w:val="clear" w:color="auto" w:fill="1E3A8A"/>
          </w:tcPr>
          <w:p w14:paraId="06091C6B" w14:textId="77777777" w:rsidR="00120F6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75%</w:t>
            </w:r>
          </w:p>
        </w:tc>
        <w:tc>
          <w:tcPr>
            <w:tcW w:w="1083" w:type="dxa"/>
            <w:shd w:val="clear" w:color="auto" w:fill="1E3A8A"/>
          </w:tcPr>
          <w:p w14:paraId="2693D6C7" w14:textId="77777777" w:rsidR="00120F6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max</w:t>
            </w:r>
          </w:p>
        </w:tc>
      </w:tr>
      <w:tr w:rsidR="00120F61" w14:paraId="1BF8FFDB" w14:textId="77777777" w:rsidTr="00120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6666B064" w14:textId="77777777" w:rsidR="00120F61" w:rsidRDefault="00000000">
            <w:r>
              <w:rPr>
                <w:sz w:val="18"/>
              </w:rPr>
              <w:t>Price</w:t>
            </w:r>
          </w:p>
        </w:tc>
        <w:tc>
          <w:tcPr>
            <w:tcW w:w="1083" w:type="dxa"/>
          </w:tcPr>
          <w:p w14:paraId="0C89D5CB"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1,000.00</w:t>
            </w:r>
          </w:p>
        </w:tc>
        <w:tc>
          <w:tcPr>
            <w:tcW w:w="1083" w:type="dxa"/>
          </w:tcPr>
          <w:p w14:paraId="1EDB864B"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104,344.54</w:t>
            </w:r>
          </w:p>
        </w:tc>
        <w:tc>
          <w:tcPr>
            <w:tcW w:w="1083" w:type="dxa"/>
          </w:tcPr>
          <w:p w14:paraId="66BBB1E7"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43,507.17</w:t>
            </w:r>
          </w:p>
        </w:tc>
        <w:tc>
          <w:tcPr>
            <w:tcW w:w="1083" w:type="dxa"/>
          </w:tcPr>
          <w:p w14:paraId="49A4CFC5"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25,170.42</w:t>
            </w:r>
          </w:p>
        </w:tc>
        <w:tc>
          <w:tcPr>
            <w:tcW w:w="1083" w:type="dxa"/>
          </w:tcPr>
          <w:p w14:paraId="52C3A523"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66,315.08</w:t>
            </w:r>
          </w:p>
        </w:tc>
        <w:tc>
          <w:tcPr>
            <w:tcW w:w="1083" w:type="dxa"/>
          </w:tcPr>
          <w:p w14:paraId="36A3111F"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105,694.10</w:t>
            </w:r>
          </w:p>
        </w:tc>
        <w:tc>
          <w:tcPr>
            <w:tcW w:w="1083" w:type="dxa"/>
          </w:tcPr>
          <w:p w14:paraId="28D4B133"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141,650.11</w:t>
            </w:r>
          </w:p>
        </w:tc>
        <w:tc>
          <w:tcPr>
            <w:tcW w:w="1083" w:type="dxa"/>
          </w:tcPr>
          <w:p w14:paraId="029EAA54"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179,965.81</w:t>
            </w:r>
          </w:p>
        </w:tc>
      </w:tr>
      <w:tr w:rsidR="00120F61" w14:paraId="4AC67B1F" w14:textId="77777777" w:rsidTr="00120F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3A7C35E6" w14:textId="77777777" w:rsidR="00120F61" w:rsidRDefault="00000000">
            <w:r>
              <w:rPr>
                <w:sz w:val="18"/>
              </w:rPr>
              <w:t>Battery Capacity</w:t>
            </w:r>
          </w:p>
        </w:tc>
        <w:tc>
          <w:tcPr>
            <w:tcW w:w="1083" w:type="dxa"/>
          </w:tcPr>
          <w:p w14:paraId="4A2C9205"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1,000.00</w:t>
            </w:r>
          </w:p>
        </w:tc>
        <w:tc>
          <w:tcPr>
            <w:tcW w:w="1083" w:type="dxa"/>
          </w:tcPr>
          <w:p w14:paraId="2AEA9F03"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95.43</w:t>
            </w:r>
          </w:p>
        </w:tc>
        <w:tc>
          <w:tcPr>
            <w:tcW w:w="1083" w:type="dxa"/>
          </w:tcPr>
          <w:p w14:paraId="05E2FDBA"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32.22</w:t>
            </w:r>
          </w:p>
        </w:tc>
        <w:tc>
          <w:tcPr>
            <w:tcW w:w="1083" w:type="dxa"/>
          </w:tcPr>
          <w:p w14:paraId="702C6E8E"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40.10</w:t>
            </w:r>
          </w:p>
        </w:tc>
        <w:tc>
          <w:tcPr>
            <w:tcW w:w="1083" w:type="dxa"/>
          </w:tcPr>
          <w:p w14:paraId="739A414F"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67.40</w:t>
            </w:r>
          </w:p>
        </w:tc>
        <w:tc>
          <w:tcPr>
            <w:tcW w:w="1083" w:type="dxa"/>
          </w:tcPr>
          <w:p w14:paraId="7FC85A1F"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94.60</w:t>
            </w:r>
          </w:p>
        </w:tc>
        <w:tc>
          <w:tcPr>
            <w:tcW w:w="1083" w:type="dxa"/>
          </w:tcPr>
          <w:p w14:paraId="44366327"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124.70</w:t>
            </w:r>
          </w:p>
        </w:tc>
        <w:tc>
          <w:tcPr>
            <w:tcW w:w="1083" w:type="dxa"/>
          </w:tcPr>
          <w:p w14:paraId="7586ADCD"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149.70</w:t>
            </w:r>
          </w:p>
        </w:tc>
      </w:tr>
      <w:tr w:rsidR="00120F61" w14:paraId="5E6C33E5" w14:textId="77777777" w:rsidTr="00120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3B6E3299" w14:textId="77777777" w:rsidR="00120F61" w:rsidRDefault="00000000">
            <w:r>
              <w:rPr>
                <w:sz w:val="18"/>
              </w:rPr>
              <w:t>range_miles</w:t>
            </w:r>
          </w:p>
        </w:tc>
        <w:tc>
          <w:tcPr>
            <w:tcW w:w="1083" w:type="dxa"/>
          </w:tcPr>
          <w:p w14:paraId="0D97E55C"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1,000.00</w:t>
            </w:r>
          </w:p>
        </w:tc>
        <w:tc>
          <w:tcPr>
            <w:tcW w:w="1083" w:type="dxa"/>
          </w:tcPr>
          <w:p w14:paraId="1746C2BB"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306.92</w:t>
            </w:r>
          </w:p>
        </w:tc>
        <w:tc>
          <w:tcPr>
            <w:tcW w:w="1083" w:type="dxa"/>
          </w:tcPr>
          <w:p w14:paraId="10A93E47"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106.70</w:t>
            </w:r>
          </w:p>
        </w:tc>
        <w:tc>
          <w:tcPr>
            <w:tcW w:w="1083" w:type="dxa"/>
          </w:tcPr>
          <w:p w14:paraId="47C6E210"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80.00</w:t>
            </w:r>
          </w:p>
        </w:tc>
        <w:tc>
          <w:tcPr>
            <w:tcW w:w="1083" w:type="dxa"/>
          </w:tcPr>
          <w:p w14:paraId="33DB6976"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215.00</w:t>
            </w:r>
          </w:p>
        </w:tc>
        <w:tc>
          <w:tcPr>
            <w:tcW w:w="1083" w:type="dxa"/>
          </w:tcPr>
          <w:p w14:paraId="0369B20E"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302.50</w:t>
            </w:r>
          </w:p>
        </w:tc>
        <w:tc>
          <w:tcPr>
            <w:tcW w:w="1083" w:type="dxa"/>
          </w:tcPr>
          <w:p w14:paraId="08E082EE"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402.25</w:t>
            </w:r>
          </w:p>
        </w:tc>
        <w:tc>
          <w:tcPr>
            <w:tcW w:w="1083" w:type="dxa"/>
          </w:tcPr>
          <w:p w14:paraId="280B8EA6"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500.00</w:t>
            </w:r>
          </w:p>
        </w:tc>
      </w:tr>
      <w:tr w:rsidR="00120F61" w14:paraId="3582F570" w14:textId="77777777" w:rsidTr="00120F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780FBDDE" w14:textId="77777777" w:rsidR="00120F61" w:rsidRDefault="00000000">
            <w:r>
              <w:rPr>
                <w:sz w:val="18"/>
              </w:rPr>
              <w:t>horsepower</w:t>
            </w:r>
          </w:p>
        </w:tc>
        <w:tc>
          <w:tcPr>
            <w:tcW w:w="1083" w:type="dxa"/>
          </w:tcPr>
          <w:p w14:paraId="0EF3DA26"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1,000.00</w:t>
            </w:r>
          </w:p>
        </w:tc>
        <w:tc>
          <w:tcPr>
            <w:tcW w:w="1083" w:type="dxa"/>
          </w:tcPr>
          <w:p w14:paraId="3C0497E1"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471.84</w:t>
            </w:r>
          </w:p>
        </w:tc>
        <w:tc>
          <w:tcPr>
            <w:tcW w:w="1083" w:type="dxa"/>
          </w:tcPr>
          <w:p w14:paraId="174375CC"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188.43</w:t>
            </w:r>
          </w:p>
        </w:tc>
        <w:tc>
          <w:tcPr>
            <w:tcW w:w="1083" w:type="dxa"/>
          </w:tcPr>
          <w:p w14:paraId="120ACB89"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150.00</w:t>
            </w:r>
          </w:p>
        </w:tc>
        <w:tc>
          <w:tcPr>
            <w:tcW w:w="1083" w:type="dxa"/>
          </w:tcPr>
          <w:p w14:paraId="432EF1A1"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306.00</w:t>
            </w:r>
          </w:p>
        </w:tc>
        <w:tc>
          <w:tcPr>
            <w:tcW w:w="1083" w:type="dxa"/>
          </w:tcPr>
          <w:p w14:paraId="7AF8836E"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476.50</w:t>
            </w:r>
          </w:p>
        </w:tc>
        <w:tc>
          <w:tcPr>
            <w:tcW w:w="1083" w:type="dxa"/>
          </w:tcPr>
          <w:p w14:paraId="2AD6F9EA"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635.00</w:t>
            </w:r>
          </w:p>
        </w:tc>
        <w:tc>
          <w:tcPr>
            <w:tcW w:w="1083" w:type="dxa"/>
          </w:tcPr>
          <w:p w14:paraId="143E4FAA" w14:textId="77777777" w:rsidR="00120F61" w:rsidRDefault="00000000">
            <w:pPr>
              <w:cnfStyle w:val="000000010000" w:firstRow="0" w:lastRow="0" w:firstColumn="0" w:lastColumn="0" w:oddVBand="0" w:evenVBand="0" w:oddHBand="0" w:evenHBand="1" w:firstRowFirstColumn="0" w:firstRowLastColumn="0" w:lastRowFirstColumn="0" w:lastRowLastColumn="0"/>
            </w:pPr>
            <w:r>
              <w:rPr>
                <w:sz w:val="18"/>
              </w:rPr>
              <w:t>798.00</w:t>
            </w:r>
          </w:p>
        </w:tc>
      </w:tr>
      <w:tr w:rsidR="00120F61" w14:paraId="678D9C2F" w14:textId="77777777" w:rsidTr="00120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7C0EAADE" w14:textId="77777777" w:rsidR="00120F61" w:rsidRDefault="00000000">
            <w:r>
              <w:rPr>
                <w:sz w:val="18"/>
              </w:rPr>
              <w:t>customer_rating</w:t>
            </w:r>
          </w:p>
        </w:tc>
        <w:tc>
          <w:tcPr>
            <w:tcW w:w="1083" w:type="dxa"/>
          </w:tcPr>
          <w:p w14:paraId="59BDF70A"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1,000.00</w:t>
            </w:r>
          </w:p>
        </w:tc>
        <w:tc>
          <w:tcPr>
            <w:tcW w:w="1083" w:type="dxa"/>
          </w:tcPr>
          <w:p w14:paraId="67BB2627"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3.88</w:t>
            </w:r>
          </w:p>
        </w:tc>
        <w:tc>
          <w:tcPr>
            <w:tcW w:w="1083" w:type="dxa"/>
          </w:tcPr>
          <w:p w14:paraId="11B3991C"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0.64</w:t>
            </w:r>
          </w:p>
        </w:tc>
        <w:tc>
          <w:tcPr>
            <w:tcW w:w="1083" w:type="dxa"/>
          </w:tcPr>
          <w:p w14:paraId="32059313"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2.80</w:t>
            </w:r>
          </w:p>
        </w:tc>
        <w:tc>
          <w:tcPr>
            <w:tcW w:w="1083" w:type="dxa"/>
          </w:tcPr>
          <w:p w14:paraId="1AE819D2"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3.32</w:t>
            </w:r>
          </w:p>
        </w:tc>
        <w:tc>
          <w:tcPr>
            <w:tcW w:w="1083" w:type="dxa"/>
          </w:tcPr>
          <w:p w14:paraId="55333F91"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3.88</w:t>
            </w:r>
          </w:p>
        </w:tc>
        <w:tc>
          <w:tcPr>
            <w:tcW w:w="1083" w:type="dxa"/>
          </w:tcPr>
          <w:p w14:paraId="2A1A72F2"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4.45</w:t>
            </w:r>
          </w:p>
        </w:tc>
        <w:tc>
          <w:tcPr>
            <w:tcW w:w="1083" w:type="dxa"/>
          </w:tcPr>
          <w:p w14:paraId="53B87C83" w14:textId="77777777" w:rsidR="00120F61" w:rsidRDefault="00000000">
            <w:pPr>
              <w:cnfStyle w:val="000000100000" w:firstRow="0" w:lastRow="0" w:firstColumn="0" w:lastColumn="0" w:oddVBand="0" w:evenVBand="0" w:oddHBand="1" w:evenHBand="0" w:firstRowFirstColumn="0" w:firstRowLastColumn="0" w:lastRowFirstColumn="0" w:lastRowLastColumn="0"/>
            </w:pPr>
            <w:r>
              <w:rPr>
                <w:sz w:val="18"/>
              </w:rPr>
              <w:t>5.00</w:t>
            </w:r>
          </w:p>
        </w:tc>
      </w:tr>
    </w:tbl>
    <w:p w14:paraId="3EAD94CF" w14:textId="77777777" w:rsidR="00120F61" w:rsidRDefault="00120F61"/>
    <w:p w14:paraId="2432ABF5" w14:textId="77777777" w:rsidR="00120F61" w:rsidRDefault="00000000">
      <w:pPr>
        <w:spacing w:before="200" w:after="80"/>
      </w:pPr>
      <w:r>
        <w:rPr>
          <w:b/>
          <w:color w:val="1E3A8A"/>
          <w:sz w:val="28"/>
        </w:rPr>
        <w:t>Skewness, Variance &amp; Spread</w:t>
      </w:r>
    </w:p>
    <w:p w14:paraId="46FB98EA" w14:textId="77777777" w:rsidR="00120F61" w:rsidRDefault="00000000">
      <w:pPr>
        <w:spacing w:after="120" w:line="312" w:lineRule="auto"/>
      </w:pPr>
      <w:r>
        <w:lastRenderedPageBreak/>
        <w:t>Price skewness is -0.047 (near-symmetric); Range skewness is 0.006 (approximately normal). Price variance is large (1,892,873,787) reflecting the wide market span, while Customer Rating variance is small (0.413), indicating consistent buyer sentiment across the industry.</w:t>
      </w:r>
    </w:p>
    <w:p w14:paraId="3D262AB7" w14:textId="77777777" w:rsidR="00120F61" w:rsidRDefault="00000000">
      <w:r>
        <w:br w:type="page"/>
      </w:r>
    </w:p>
    <w:p w14:paraId="7C4182EC" w14:textId="77777777" w:rsidR="00120F61" w:rsidRDefault="00000000">
      <w:pPr>
        <w:pBdr>
          <w:bottom w:val="single" w:sz="18" w:space="1" w:color="F59E0B"/>
        </w:pBdr>
      </w:pPr>
      <w:r>
        <w:rPr>
          <w:b/>
          <w:color w:val="1E3A8A"/>
          <w:sz w:val="44"/>
        </w:rPr>
        <w:lastRenderedPageBreak/>
        <w:t>7. Business Insights &amp; Key Findings</w:t>
      </w:r>
    </w:p>
    <w:tbl>
      <w:tblPr>
        <w:tblW w:w="0" w:type="auto"/>
        <w:tblLook w:val="04A0" w:firstRow="1" w:lastRow="0" w:firstColumn="1" w:lastColumn="0" w:noHBand="0" w:noVBand="1"/>
      </w:tblPr>
      <w:tblGrid>
        <w:gridCol w:w="3249"/>
        <w:gridCol w:w="3249"/>
        <w:gridCol w:w="3249"/>
      </w:tblGrid>
      <w:tr w:rsidR="00120F61" w14:paraId="0A6664DB" w14:textId="77777777">
        <w:tc>
          <w:tcPr>
            <w:tcW w:w="3249" w:type="dxa"/>
            <w:shd w:val="clear" w:color="auto" w:fill="EEF2FF"/>
            <w:vAlign w:val="center"/>
          </w:tcPr>
          <w:p w14:paraId="78488CC5" w14:textId="77777777" w:rsidR="00120F61" w:rsidRDefault="00000000">
            <w:pPr>
              <w:jc w:val="center"/>
            </w:pPr>
            <w:r>
              <w:rPr>
                <w:b/>
                <w:color w:val="1E3A8A"/>
                <w:sz w:val="32"/>
              </w:rPr>
              <w:t>GM/Chevrolet</w:t>
            </w:r>
          </w:p>
          <w:p w14:paraId="124D5748" w14:textId="77777777" w:rsidR="00120F61" w:rsidRDefault="00000000">
            <w:pPr>
              <w:jc w:val="center"/>
            </w:pPr>
            <w:r>
              <w:rPr>
                <w:color w:val="6B7280"/>
                <w:sz w:val="18"/>
              </w:rPr>
              <w:t>Top Brand</w:t>
            </w:r>
          </w:p>
        </w:tc>
        <w:tc>
          <w:tcPr>
            <w:tcW w:w="3249" w:type="dxa"/>
            <w:shd w:val="clear" w:color="auto" w:fill="EEF2FF"/>
            <w:vAlign w:val="center"/>
          </w:tcPr>
          <w:p w14:paraId="3C1A266B" w14:textId="77777777" w:rsidR="00120F61" w:rsidRDefault="00000000">
            <w:pPr>
              <w:jc w:val="center"/>
            </w:pPr>
            <w:r>
              <w:rPr>
                <w:b/>
                <w:color w:val="1E3A8A"/>
                <w:sz w:val="32"/>
              </w:rPr>
              <w:t>Nissan</w:t>
            </w:r>
          </w:p>
          <w:p w14:paraId="5240B8BA" w14:textId="77777777" w:rsidR="00120F61" w:rsidRDefault="00000000">
            <w:pPr>
              <w:jc w:val="center"/>
            </w:pPr>
            <w:r>
              <w:rPr>
                <w:color w:val="6B7280"/>
                <w:sz w:val="18"/>
              </w:rPr>
              <w:t>Best Rated</w:t>
            </w:r>
          </w:p>
        </w:tc>
        <w:tc>
          <w:tcPr>
            <w:tcW w:w="3249" w:type="dxa"/>
            <w:shd w:val="clear" w:color="auto" w:fill="EEF2FF"/>
            <w:vAlign w:val="center"/>
          </w:tcPr>
          <w:p w14:paraId="17FB99F4" w14:textId="77777777" w:rsidR="00120F61" w:rsidRDefault="00000000">
            <w:pPr>
              <w:jc w:val="center"/>
            </w:pPr>
            <w:r>
              <w:rPr>
                <w:b/>
                <w:color w:val="1E3A8A"/>
                <w:sz w:val="32"/>
              </w:rPr>
              <w:t>Mid-Range</w:t>
            </w:r>
          </w:p>
          <w:p w14:paraId="2A4DEC13" w14:textId="77777777" w:rsidR="00120F61" w:rsidRDefault="00000000">
            <w:pPr>
              <w:jc w:val="center"/>
            </w:pPr>
            <w:r>
              <w:rPr>
                <w:color w:val="6B7280"/>
                <w:sz w:val="18"/>
              </w:rPr>
              <w:t>Top Segment</w:t>
            </w:r>
          </w:p>
        </w:tc>
      </w:tr>
    </w:tbl>
    <w:p w14:paraId="1537D1C5" w14:textId="77777777" w:rsidR="00120F61" w:rsidRDefault="00120F61"/>
    <w:tbl>
      <w:tblPr>
        <w:tblW w:w="0" w:type="auto"/>
        <w:tblLook w:val="04A0" w:firstRow="1" w:lastRow="0" w:firstColumn="1" w:lastColumn="0" w:noHBand="0" w:noVBand="1"/>
      </w:tblPr>
      <w:tblGrid>
        <w:gridCol w:w="3249"/>
        <w:gridCol w:w="3249"/>
        <w:gridCol w:w="3249"/>
      </w:tblGrid>
      <w:tr w:rsidR="00120F61" w14:paraId="349B1063" w14:textId="77777777">
        <w:tc>
          <w:tcPr>
            <w:tcW w:w="3249" w:type="dxa"/>
            <w:shd w:val="clear" w:color="auto" w:fill="EEF2FF"/>
            <w:vAlign w:val="center"/>
          </w:tcPr>
          <w:p w14:paraId="19772C7D" w14:textId="77777777" w:rsidR="00120F61" w:rsidRDefault="00000000">
            <w:pPr>
              <w:jc w:val="center"/>
            </w:pPr>
            <w:r>
              <w:rPr>
                <w:b/>
                <w:color w:val="1E3A8A"/>
                <w:sz w:val="32"/>
              </w:rPr>
              <w:t>307 mi</w:t>
            </w:r>
          </w:p>
          <w:p w14:paraId="0BF27A8D" w14:textId="77777777" w:rsidR="00120F61" w:rsidRDefault="00000000">
            <w:pPr>
              <w:jc w:val="center"/>
            </w:pPr>
            <w:r>
              <w:rPr>
                <w:color w:val="6B7280"/>
                <w:sz w:val="18"/>
              </w:rPr>
              <w:t>Avg Range</w:t>
            </w:r>
          </w:p>
        </w:tc>
        <w:tc>
          <w:tcPr>
            <w:tcW w:w="3249" w:type="dxa"/>
            <w:shd w:val="clear" w:color="auto" w:fill="EEF2FF"/>
            <w:vAlign w:val="center"/>
          </w:tcPr>
          <w:p w14:paraId="70541D1B" w14:textId="77777777" w:rsidR="00120F61" w:rsidRDefault="00000000">
            <w:pPr>
              <w:jc w:val="center"/>
            </w:pPr>
            <w:r>
              <w:rPr>
                <w:b/>
                <w:color w:val="1E3A8A"/>
                <w:sz w:val="32"/>
              </w:rPr>
              <w:t>$104,345</w:t>
            </w:r>
          </w:p>
          <w:p w14:paraId="65ED8340" w14:textId="77777777" w:rsidR="00120F61" w:rsidRDefault="00000000">
            <w:pPr>
              <w:jc w:val="center"/>
            </w:pPr>
            <w:r>
              <w:rPr>
                <w:color w:val="6B7280"/>
                <w:sz w:val="18"/>
              </w:rPr>
              <w:t>Avg Price</w:t>
            </w:r>
          </w:p>
        </w:tc>
        <w:tc>
          <w:tcPr>
            <w:tcW w:w="3249" w:type="dxa"/>
            <w:shd w:val="clear" w:color="auto" w:fill="EEF2FF"/>
            <w:vAlign w:val="center"/>
          </w:tcPr>
          <w:p w14:paraId="63D1248F" w14:textId="77777777" w:rsidR="00120F61" w:rsidRDefault="00000000">
            <w:pPr>
              <w:jc w:val="center"/>
            </w:pPr>
            <w:r>
              <w:rPr>
                <w:b/>
                <w:color w:val="1E3A8A"/>
                <w:sz w:val="32"/>
              </w:rPr>
              <w:t>40,448,962</w:t>
            </w:r>
          </w:p>
          <w:p w14:paraId="69747AE2" w14:textId="77777777" w:rsidR="00120F61" w:rsidRDefault="00000000">
            <w:pPr>
              <w:jc w:val="center"/>
            </w:pPr>
            <w:r>
              <w:rPr>
                <w:color w:val="6B7280"/>
                <w:sz w:val="18"/>
              </w:rPr>
              <w:t>Total Sales</w:t>
            </w:r>
          </w:p>
        </w:tc>
      </w:tr>
    </w:tbl>
    <w:p w14:paraId="3BD0691A" w14:textId="77777777" w:rsidR="00120F61" w:rsidRDefault="00120F61"/>
    <w:p w14:paraId="455CDAB2" w14:textId="77777777" w:rsidR="00120F61" w:rsidRDefault="00000000">
      <w:pPr>
        <w:pStyle w:val="ListBullet"/>
      </w:pPr>
      <w:r>
        <w:t>Market Leadership: GM/Chevrolet dominates aggregate sales with 3,348,371 units annually.</w:t>
      </w:r>
    </w:p>
    <w:p w14:paraId="163EA6BF" w14:textId="77777777" w:rsidR="00120F61" w:rsidRDefault="00000000">
      <w:pPr>
        <w:pStyle w:val="ListBullet"/>
      </w:pPr>
      <w:r>
        <w:t>Satisfaction Champion: Nissan achieves the highest customer rating at 4.13/5.</w:t>
      </w:r>
    </w:p>
    <w:p w14:paraId="7C8FBD2F" w14:textId="77777777" w:rsidR="00120F61" w:rsidRDefault="00000000">
      <w:pPr>
        <w:pStyle w:val="ListBullet"/>
      </w:pPr>
      <w:r>
        <w:t>Volume Centre: The Mid-Range segment captures the largest share of unit sales.</w:t>
      </w:r>
    </w:p>
    <w:p w14:paraId="31599F13" w14:textId="77777777" w:rsidR="00120F61" w:rsidRDefault="00000000">
      <w:pPr>
        <w:pStyle w:val="ListBullet"/>
      </w:pPr>
      <w:r>
        <w:t>Range Maturity: Average driving range of 307 miles now exceeds the practical commuting needs of most users.</w:t>
      </w:r>
    </w:p>
    <w:p w14:paraId="56385E10" w14:textId="77777777" w:rsidR="00120F61" w:rsidRDefault="00000000">
      <w:pPr>
        <w:pStyle w:val="ListBullet"/>
      </w:pPr>
      <w:r>
        <w:t>Performance Democratisation: Average power output of 471 hp puts mainstream EVs above many premium ICE vehicles.</w:t>
      </w:r>
    </w:p>
    <w:p w14:paraId="4B7D7490" w14:textId="77777777" w:rsidR="00120F61" w:rsidRDefault="00000000">
      <w:pPr>
        <w:pStyle w:val="ListBullet"/>
      </w:pPr>
      <w:r>
        <w:t>Charging Differentiation: Peak charging speeds in Premium/Luxury (150–350 kW) materially shorten long-distance travel time vs. Mid-Range.</w:t>
      </w:r>
    </w:p>
    <w:p w14:paraId="26ED8F9B" w14:textId="77777777" w:rsidR="00120F61" w:rsidRDefault="00000000">
      <w:pPr>
        <w:pStyle w:val="ListBullet"/>
      </w:pPr>
      <w:r>
        <w:t>Pricing Pressure: The wide price distribution suggests headroom for further Economy/Mid-Range cost reduction as battery costs fall.</w:t>
      </w:r>
    </w:p>
    <w:p w14:paraId="02AAF83E" w14:textId="77777777" w:rsidR="00120F61" w:rsidRDefault="00000000">
      <w:pPr>
        <w:pStyle w:val="ListBullet"/>
      </w:pPr>
      <w:r>
        <w:t>Brand Differentiation: Weak correlation between price and rating means brand experience and software polish are the new battlegrounds.</w:t>
      </w:r>
    </w:p>
    <w:p w14:paraId="74020836" w14:textId="77777777" w:rsidR="00120F61" w:rsidRDefault="00000000">
      <w:r>
        <w:br w:type="page"/>
      </w:r>
    </w:p>
    <w:p w14:paraId="0D01E779" w14:textId="77777777" w:rsidR="00120F61" w:rsidRDefault="00000000">
      <w:pPr>
        <w:pBdr>
          <w:bottom w:val="single" w:sz="18" w:space="1" w:color="F59E0B"/>
        </w:pBdr>
      </w:pPr>
      <w:r>
        <w:rPr>
          <w:b/>
          <w:color w:val="1E3A8A"/>
          <w:sz w:val="44"/>
        </w:rPr>
        <w:lastRenderedPageBreak/>
        <w:t>8. Strategic Recommendations</w:t>
      </w:r>
    </w:p>
    <w:p w14:paraId="1D19CE12" w14:textId="77777777" w:rsidR="00120F61" w:rsidRDefault="00000000">
      <w:pPr>
        <w:spacing w:before="200" w:after="80"/>
      </w:pPr>
      <w:r>
        <w:rPr>
          <w:b/>
          <w:color w:val="1E3A8A"/>
          <w:sz w:val="28"/>
        </w:rPr>
        <w:t>For Manufacturers</w:t>
      </w:r>
    </w:p>
    <w:p w14:paraId="02035C76" w14:textId="77777777" w:rsidR="00120F61" w:rsidRDefault="00000000">
      <w:pPr>
        <w:pStyle w:val="ListBullet"/>
      </w:pPr>
      <w:r>
        <w:t>Prioritise the Mid-Range segment with platforms optimised for 60–80 kWh batteries and 300+ mile range.</w:t>
      </w:r>
    </w:p>
    <w:p w14:paraId="55FEDF20" w14:textId="77777777" w:rsidR="00120F61" w:rsidRDefault="00000000">
      <w:pPr>
        <w:pStyle w:val="ListBullet"/>
      </w:pPr>
      <w:r>
        <w:t>Invest in 800V architectures to unlock 200kW+ fast-charging across the Mid-Range tier.</w:t>
      </w:r>
    </w:p>
    <w:p w14:paraId="2DC2BAAD" w14:textId="77777777" w:rsidR="00120F61" w:rsidRDefault="00000000">
      <w:pPr>
        <w:pStyle w:val="ListBullet"/>
      </w:pPr>
      <w:r>
        <w:t>Treat software and OTA update cadence as a competitive moat — ratings track experience, not specs.</w:t>
      </w:r>
    </w:p>
    <w:p w14:paraId="2280467B" w14:textId="77777777" w:rsidR="00120F61" w:rsidRDefault="00000000">
      <w:pPr>
        <w:pStyle w:val="ListBullet"/>
      </w:pPr>
      <w:r>
        <w:t>Localise production near demand centres to capture incentive eligibility.</w:t>
      </w:r>
    </w:p>
    <w:p w14:paraId="2E1CA909" w14:textId="77777777" w:rsidR="00120F61" w:rsidRDefault="00000000">
      <w:pPr>
        <w:pStyle w:val="ListBullet"/>
      </w:pPr>
      <w:r>
        <w:t>Standardise Level-2 ADAS as baseline; differentiate with Level-3 hands-off in Premium tiers.</w:t>
      </w:r>
    </w:p>
    <w:p w14:paraId="1C8D9BA2" w14:textId="77777777" w:rsidR="00120F61" w:rsidRDefault="00000000">
      <w:pPr>
        <w:spacing w:before="200" w:after="80"/>
      </w:pPr>
      <w:r>
        <w:rPr>
          <w:b/>
          <w:color w:val="1E3A8A"/>
          <w:sz w:val="28"/>
        </w:rPr>
        <w:t>For Investors</w:t>
      </w:r>
    </w:p>
    <w:p w14:paraId="7F9855C3" w14:textId="77777777" w:rsidR="00120F61" w:rsidRDefault="00000000">
      <w:pPr>
        <w:pStyle w:val="ListBullet"/>
      </w:pPr>
      <w:r>
        <w:t>Battery cell manufacturing and recycling remain structural long-term plays.</w:t>
      </w:r>
    </w:p>
    <w:p w14:paraId="121F17B9" w14:textId="77777777" w:rsidR="00120F61" w:rsidRDefault="00000000">
      <w:pPr>
        <w:pStyle w:val="ListBullet"/>
      </w:pPr>
      <w:r>
        <w:t>Charging-infrastructure operators in under-penetrated EU/Asia corridors offer asymmetric upside.</w:t>
      </w:r>
    </w:p>
    <w:p w14:paraId="4DDDCDAD" w14:textId="77777777" w:rsidR="00120F61" w:rsidRDefault="00000000">
      <w:pPr>
        <w:pStyle w:val="ListBullet"/>
      </w:pPr>
      <w:r>
        <w:t>Software-defined-vehicle suppliers capture rising share of vehicle BOM.</w:t>
      </w:r>
    </w:p>
    <w:p w14:paraId="51284BE6" w14:textId="77777777" w:rsidR="00120F61" w:rsidRDefault="00000000">
      <w:pPr>
        <w:pStyle w:val="ListBullet"/>
      </w:pPr>
      <w:r>
        <w:t>Be selective on luxury EV start-ups — the segment is crowded relative to addressable demand.</w:t>
      </w:r>
    </w:p>
    <w:p w14:paraId="11F49F88" w14:textId="77777777" w:rsidR="00120F61" w:rsidRDefault="00000000">
      <w:pPr>
        <w:spacing w:before="200" w:after="80"/>
      </w:pPr>
      <w:r>
        <w:rPr>
          <w:b/>
          <w:color w:val="1E3A8A"/>
          <w:sz w:val="28"/>
        </w:rPr>
        <w:t>For Policymakers</w:t>
      </w:r>
    </w:p>
    <w:p w14:paraId="7098EA3D" w14:textId="77777777" w:rsidR="00120F61" w:rsidRDefault="00000000">
      <w:pPr>
        <w:pStyle w:val="ListBullet"/>
      </w:pPr>
      <w:r>
        <w:t>Maintain purchase incentives focused on Economy/Mid-Range tiers where price elasticity is highest.</w:t>
      </w:r>
    </w:p>
    <w:p w14:paraId="355F0B17" w14:textId="77777777" w:rsidR="00120F61" w:rsidRDefault="00000000">
      <w:pPr>
        <w:pStyle w:val="ListBullet"/>
      </w:pPr>
      <w:r>
        <w:t>Mandate interoperable charging standards to remove buyer friction.</w:t>
      </w:r>
    </w:p>
    <w:p w14:paraId="1A393E9C" w14:textId="77777777" w:rsidR="00120F61" w:rsidRDefault="00000000">
      <w:pPr>
        <w:pStyle w:val="ListBullet"/>
      </w:pPr>
      <w:r>
        <w:t>Tie subsidies to local content rules to anchor manufacturing employment.</w:t>
      </w:r>
    </w:p>
    <w:p w14:paraId="2123A491" w14:textId="77777777" w:rsidR="00120F61" w:rsidRDefault="00000000">
      <w:pPr>
        <w:pStyle w:val="ListBullet"/>
      </w:pPr>
      <w:r>
        <w:t>Invest in grid upgrades to support residential and fleet charging at scale.</w:t>
      </w:r>
    </w:p>
    <w:p w14:paraId="6F6D037F" w14:textId="77777777" w:rsidR="00120F61" w:rsidRDefault="00000000">
      <w:r>
        <w:br w:type="page"/>
      </w:r>
    </w:p>
    <w:p w14:paraId="442C2183" w14:textId="77777777" w:rsidR="00120F61" w:rsidRDefault="00000000">
      <w:pPr>
        <w:pBdr>
          <w:bottom w:val="single" w:sz="18" w:space="1" w:color="F59E0B"/>
        </w:pBdr>
      </w:pPr>
      <w:r>
        <w:rPr>
          <w:b/>
          <w:color w:val="1E3A8A"/>
          <w:sz w:val="44"/>
        </w:rPr>
        <w:lastRenderedPageBreak/>
        <w:t>9. Conclusion</w:t>
      </w:r>
    </w:p>
    <w:p w14:paraId="6C0E7A86" w14:textId="77777777" w:rsidR="00120F61" w:rsidRDefault="00000000">
      <w:pPr>
        <w:spacing w:after="120" w:line="312" w:lineRule="auto"/>
      </w:pPr>
      <w:r>
        <w:t>The 2026 Electric Vehicle market is no longer an emerging category — it is the structural future of personal mobility. Our analysis of 1000 models across 17 brands reveals a market that has crossed key technical thresholds: average range now exceeds 307 miles, average power surpasses 471 hp, and customer satisfaction averages 3.88/5.</w:t>
      </w:r>
    </w:p>
    <w:p w14:paraId="027F6204" w14:textId="77777777" w:rsidR="00120F61" w:rsidRDefault="00000000">
      <w:pPr>
        <w:spacing w:after="120" w:line="312" w:lineRule="auto"/>
      </w:pPr>
      <w:r>
        <w:t>Market leadership remains contested. GM/Chevrolet leads on sales volume while Nissan leads on customer satisfaction. The Mid-Range segment dominates volume and will continue to define mainstream adoption.</w:t>
      </w:r>
    </w:p>
    <w:p w14:paraId="6BDFE654" w14:textId="77777777" w:rsidR="00120F61" w:rsidRDefault="00000000">
      <w:pPr>
        <w:spacing w:after="120" w:line="312" w:lineRule="auto"/>
      </w:pPr>
      <w:r>
        <w:t>Three structural trends will define the next phase: (1) Mid-Range volume convergence as battery costs continue falling, (2) software-defined differentiation overtaking hardware specs as the primary buyer decision factor, and (3) charging infrastructure becoming the binding constraint on adoption velocity.</w:t>
      </w:r>
    </w:p>
    <w:p w14:paraId="453384CB" w14:textId="3ACF4A6B" w:rsidR="00120F61" w:rsidRDefault="00120F61" w:rsidP="00B469E1">
      <w:pPr>
        <w:spacing w:before="200" w:after="80"/>
      </w:pPr>
    </w:p>
    <w:p w14:paraId="647A445F" w14:textId="77777777" w:rsidR="00120F61" w:rsidRDefault="00120F61">
      <w:pPr>
        <w:pBdr>
          <w:bottom w:val="single" w:sz="18" w:space="1" w:color="F59E0B"/>
        </w:pBdr>
      </w:pPr>
    </w:p>
    <w:p w14:paraId="419DEE8B" w14:textId="77777777" w:rsidR="00120F61" w:rsidRDefault="00000000">
      <w:pPr>
        <w:jc w:val="center"/>
      </w:pPr>
      <w:r>
        <w:rPr>
          <w:b/>
          <w:color w:val="6B7280"/>
          <w:sz w:val="20"/>
        </w:rPr>
        <w:t>— End of Report —</w:t>
      </w:r>
    </w:p>
    <w:sectPr w:rsidR="00120F61"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371075">
    <w:abstractNumId w:val="8"/>
  </w:num>
  <w:num w:numId="2" w16cid:durableId="1465659857">
    <w:abstractNumId w:val="6"/>
  </w:num>
  <w:num w:numId="3" w16cid:durableId="637731950">
    <w:abstractNumId w:val="5"/>
  </w:num>
  <w:num w:numId="4" w16cid:durableId="1125345020">
    <w:abstractNumId w:val="4"/>
  </w:num>
  <w:num w:numId="5" w16cid:durableId="571349360">
    <w:abstractNumId w:val="7"/>
  </w:num>
  <w:num w:numId="6" w16cid:durableId="19357117">
    <w:abstractNumId w:val="3"/>
  </w:num>
  <w:num w:numId="7" w16cid:durableId="1533297973">
    <w:abstractNumId w:val="2"/>
  </w:num>
  <w:num w:numId="8" w16cid:durableId="1463189187">
    <w:abstractNumId w:val="1"/>
  </w:num>
  <w:num w:numId="9" w16cid:durableId="294526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F61"/>
    <w:rsid w:val="0015074B"/>
    <w:rsid w:val="0029639D"/>
    <w:rsid w:val="00326F90"/>
    <w:rsid w:val="00A53131"/>
    <w:rsid w:val="00AA1D8D"/>
    <w:rsid w:val="00B469E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31EA11"/>
  <w14:defaultImageDpi w14:val="300"/>
  <w15:docId w15:val="{A5B49BCD-FF49-47BF-8DF8-6DDEABC0B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2151</Words>
  <Characters>12266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Saloni Anand</cp:lastModifiedBy>
  <cp:revision>2</cp:revision>
  <dcterms:created xsi:type="dcterms:W3CDTF">2013-12-23T23:15:00Z</dcterms:created>
  <dcterms:modified xsi:type="dcterms:W3CDTF">2026-05-20T19:55:00Z</dcterms:modified>
  <cp:category/>
</cp:coreProperties>
</file>