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0D3B66"/>
          <w:sz w:val="48"/>
          <w:szCs w:val="48"/>
        </w:rPr>
        <w:t xml:space="preserve">SOFTWARE REQUIREMENTS SPECIFICATION</w:t>
      </w:r>
    </w:p>
    <w:p>
      <w:pPr>
        <w:pBdr>
          <w:bottom w:val="single" w:color="00C49A" w:sz="10" w:space="8"/>
        </w:pBdr>
        <w:spacing w:after="240" w:before="0"/>
        <w:jc w:val="center"/>
      </w:pPr>
      <w:r>
        <w:rPr>
          <w:rFonts w:ascii="Arial" w:cs="Arial" w:eastAsia="Arial" w:hAnsi="Arial"/>
          <w:b/>
          <w:bCs/>
          <w:color w:val="1E7FCC"/>
          <w:sz w:val="36"/>
          <w:szCs w:val="36"/>
        </w:rPr>
        <w:t xml:space="preserve">EV Market Analysis Dashboard</w:t>
      </w:r>
    </w:p>
    <w:p>
      <w:pPr>
        <w:spacing w:after="20" w:before="60"/>
        <w:jc w:val="center"/>
      </w:pPr>
      <w:r>
        <w:rPr>
          <w:rFonts w:ascii="Arial" w:cs="Arial" w:eastAsia="Arial" w:hAnsi="Arial"/>
          <w:i/>
          <w:iCs/>
          <w:color w:val="555555"/>
          <w:sz w:val="22"/>
          <w:szCs w:val="22"/>
        </w:rPr>
        <w:t xml:space="preserve">Power BI Business Intelligence Solution</w:t>
      </w:r>
    </w:p>
    <w:p>
      <w:pPr>
        <w:spacing w:after="0" w:before="0"/>
      </w:pPr>
      <w:r>
        <w:t xml:space="preserve"/>
      </w:r>
    </w:p>
    <w:p>
      <w:pPr>
        <w:spacing w:after="0" w:before="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B8D9EC" w:sz="1"/>
              <w:left w:val="single" w:color="B8D9EC" w:sz="1"/>
              <w:bottom w:val="single" w:color="B8D9EC" w:sz="1"/>
              <w:right w:val="single" w:color="B8D9EC" w:sz="1"/>
            </w:tcBorders>
            <w:shd w:fill="0D3B66" w:val="clear"/>
            <w:tcMar>
              <w:top w:type="dxa" w:w="90"/>
              <w:left w:type="dxa" w:w="140"/>
              <w:bottom w:type="dxa" w:w="90"/>
              <w:right w:type="dxa" w:w="140"/>
            </w:tcMar>
          </w:tcPr>
          <w:p>
            <w:r>
              <w:rPr>
                <w:rFonts w:ascii="Arial" w:cs="Arial" w:eastAsia="Arial" w:hAnsi="Arial"/>
                <w:b/>
                <w:bCs/>
                <w:color w:val="FFFFFF"/>
                <w:sz w:val="20"/>
                <w:szCs w:val="20"/>
              </w:rPr>
              <w:t xml:space="preserve">Document Version</w:t>
            </w:r>
          </w:p>
        </w:tc>
        <w:tc>
          <w:tcPr>
            <w:tcW w:type="dxa" w:w="3700"/>
            <w:tcBorders>
              <w:top w:val="single" w:color="B8D9EC" w:sz="1"/>
              <w:left w:val="single" w:color="B8D9EC" w:sz="1"/>
              <w:bottom w:val="single" w:color="B8D9EC" w:sz="1"/>
              <w:right w:val="single" w:color="B8D9EC" w:sz="1"/>
            </w:tcBorders>
            <w:shd w:fill="EAF6FB" w:val="clear"/>
            <w:tcMar>
              <w:top w:type="dxa" w:w="90"/>
              <w:left w:type="dxa" w:w="140"/>
              <w:bottom w:type="dxa" w:w="90"/>
              <w:right w:type="dxa" w:w="140"/>
            </w:tcMar>
          </w:tcPr>
          <w:p>
            <w:r>
              <w:rPr>
                <w:rFonts w:ascii="Arial" w:cs="Arial" w:eastAsia="Arial" w:hAnsi="Arial"/>
                <w:color w:val="111111"/>
                <w:sz w:val="20"/>
                <w:szCs w:val="20"/>
              </w:rPr>
              <w:t xml:space="preserve">1.0</w:t>
            </w:r>
          </w:p>
        </w:tc>
      </w:tr>
      <w:tr>
        <w:tc>
          <w:tcPr>
            <w:tcW w:type="dxa" w:w="2800"/>
            <w:tcBorders>
              <w:top w:val="single" w:color="B8D9EC" w:sz="1"/>
              <w:left w:val="single" w:color="B8D9EC" w:sz="1"/>
              <w:bottom w:val="single" w:color="B8D9EC" w:sz="1"/>
              <w:right w:val="single" w:color="B8D9EC" w:sz="1"/>
            </w:tcBorders>
            <w:shd w:fill="0D3B66" w:val="clear"/>
            <w:tcMar>
              <w:top w:type="dxa" w:w="90"/>
              <w:left w:type="dxa" w:w="140"/>
              <w:bottom w:type="dxa" w:w="90"/>
              <w:right w:type="dxa" w:w="140"/>
            </w:tcMar>
          </w:tcPr>
          <w:p>
            <w:r>
              <w:rPr>
                <w:rFonts w:ascii="Arial" w:cs="Arial" w:eastAsia="Arial" w:hAnsi="Arial"/>
                <w:b/>
                <w:bCs/>
                <w:color w:val="FFFFFF"/>
                <w:sz w:val="20"/>
                <w:szCs w:val="20"/>
              </w:rPr>
              <w:t xml:space="preserve">Date</w:t>
            </w:r>
          </w:p>
        </w:tc>
        <w:tc>
          <w:tcPr>
            <w:tcW w:type="dxa" w:w="3700"/>
            <w:tcBorders>
              <w:top w:val="single" w:color="B8D9EC" w:sz="1"/>
              <w:left w:val="single" w:color="B8D9EC" w:sz="1"/>
              <w:bottom w:val="single" w:color="B8D9EC" w:sz="1"/>
              <w:right w:val="single" w:color="B8D9E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21 May 2026</w:t>
            </w:r>
          </w:p>
        </w:tc>
      </w:tr>
      <w:tr>
        <w:tc>
          <w:tcPr>
            <w:tcW w:type="dxa" w:w="2800"/>
            <w:tcBorders>
              <w:top w:val="single" w:color="B8D9EC" w:sz="1"/>
              <w:left w:val="single" w:color="B8D9EC" w:sz="1"/>
              <w:bottom w:val="single" w:color="B8D9EC" w:sz="1"/>
              <w:right w:val="single" w:color="B8D9EC" w:sz="1"/>
            </w:tcBorders>
            <w:shd w:fill="0D3B66" w:val="clear"/>
            <w:tcMar>
              <w:top w:type="dxa" w:w="90"/>
              <w:left w:type="dxa" w:w="140"/>
              <w:bottom w:type="dxa" w:w="90"/>
              <w:right w:type="dxa" w:w="140"/>
            </w:tcMar>
          </w:tcPr>
          <w:p>
            <w:r>
              <w:rPr>
                <w:rFonts w:ascii="Arial" w:cs="Arial" w:eastAsia="Arial" w:hAnsi="Arial"/>
                <w:b/>
                <w:bCs/>
                <w:color w:val="FFFFFF"/>
                <w:sz w:val="20"/>
                <w:szCs w:val="20"/>
              </w:rPr>
              <w:t xml:space="preserve">Status</w:t>
            </w:r>
          </w:p>
        </w:tc>
        <w:tc>
          <w:tcPr>
            <w:tcW w:type="dxa" w:w="3700"/>
            <w:tcBorders>
              <w:top w:val="single" w:color="B8D9EC" w:sz="1"/>
              <w:left w:val="single" w:color="B8D9EC" w:sz="1"/>
              <w:bottom w:val="single" w:color="B8D9EC" w:sz="1"/>
              <w:right w:val="single" w:color="B8D9EC" w:sz="1"/>
            </w:tcBorders>
            <w:shd w:fill="EAF6FB" w:val="clear"/>
            <w:tcMar>
              <w:top w:type="dxa" w:w="90"/>
              <w:left w:type="dxa" w:w="140"/>
              <w:bottom w:type="dxa" w:w="90"/>
              <w:right w:type="dxa" w:w="140"/>
            </w:tcMar>
          </w:tcPr>
          <w:p>
            <w:r>
              <w:rPr>
                <w:rFonts w:ascii="Arial" w:cs="Arial" w:eastAsia="Arial" w:hAnsi="Arial"/>
                <w:color w:val="111111"/>
                <w:sz w:val="20"/>
                <w:szCs w:val="20"/>
              </w:rPr>
              <w:t xml:space="preserve">Final</w:t>
            </w:r>
          </w:p>
        </w:tc>
      </w:tr>
      <w:tr>
        <w:tc>
          <w:tcPr>
            <w:tcW w:type="dxa" w:w="2800"/>
            <w:tcBorders>
              <w:top w:val="single" w:color="B8D9EC" w:sz="1"/>
              <w:left w:val="single" w:color="B8D9EC" w:sz="1"/>
              <w:bottom w:val="single" w:color="B8D9EC" w:sz="1"/>
              <w:right w:val="single" w:color="B8D9EC" w:sz="1"/>
            </w:tcBorders>
            <w:shd w:fill="0D3B66" w:val="clear"/>
            <w:tcMar>
              <w:top w:type="dxa" w:w="90"/>
              <w:left w:type="dxa" w:w="140"/>
              <w:bottom w:type="dxa" w:w="90"/>
              <w:right w:type="dxa" w:w="140"/>
            </w:tcMar>
          </w:tcPr>
          <w:p>
            <w:r>
              <w:rPr>
                <w:rFonts w:ascii="Arial" w:cs="Arial" w:eastAsia="Arial" w:hAnsi="Arial"/>
                <w:b/>
                <w:bCs/>
                <w:color w:val="FFFFFF"/>
                <w:sz w:val="20"/>
                <w:szCs w:val="20"/>
              </w:rPr>
              <w:t xml:space="preserve">Classification</w:t>
            </w:r>
          </w:p>
        </w:tc>
        <w:tc>
          <w:tcPr>
            <w:tcW w:type="dxa" w:w="3700"/>
            <w:tcBorders>
              <w:top w:val="single" w:color="B8D9EC" w:sz="1"/>
              <w:left w:val="single" w:color="B8D9EC" w:sz="1"/>
              <w:bottom w:val="single" w:color="B8D9EC" w:sz="1"/>
              <w:right w:val="single" w:color="B8D9EC" w:sz="1"/>
            </w:tcBorders>
            <w:shd w:fill="FFFFFF" w:val="clear"/>
            <w:tcMar>
              <w:top w:type="dxa" w:w="90"/>
              <w:left w:type="dxa" w:w="140"/>
              <w:bottom w:type="dxa" w:w="90"/>
              <w:right w:type="dxa" w:w="140"/>
            </w:tcMar>
          </w:tcPr>
          <w:p>
            <w:r>
              <w:rPr>
                <w:rFonts w:ascii="Arial" w:cs="Arial" w:eastAsia="Arial" w:hAnsi="Arial"/>
                <w:color w:val="111111"/>
                <w:sz w:val="20"/>
                <w:szCs w:val="20"/>
              </w:rPr>
              <w:t xml:space="preserve">Internal Use</w:t>
            </w:r>
          </w:p>
        </w:tc>
      </w:tr>
      <w:tr>
        <w:tc>
          <w:tcPr>
            <w:tcW w:type="dxa" w:w="2800"/>
            <w:tcBorders>
              <w:top w:val="single" w:color="B8D9EC" w:sz="1"/>
              <w:left w:val="single" w:color="B8D9EC" w:sz="1"/>
              <w:bottom w:val="single" w:color="B8D9EC" w:sz="1"/>
              <w:right w:val="single" w:color="B8D9EC" w:sz="1"/>
            </w:tcBorders>
            <w:shd w:fill="0D3B66" w:val="clear"/>
            <w:tcMar>
              <w:top w:type="dxa" w:w="90"/>
              <w:left w:type="dxa" w:w="140"/>
              <w:bottom w:type="dxa" w:w="90"/>
              <w:right w:type="dxa" w:w="140"/>
            </w:tcMar>
          </w:tcPr>
          <w:p>
            <w:r>
              <w:rPr>
                <w:rFonts w:ascii="Arial" w:cs="Arial" w:eastAsia="Arial" w:hAnsi="Arial"/>
                <w:b/>
                <w:bCs/>
                <w:color w:val="FFFFFF"/>
                <w:sz w:val="20"/>
                <w:szCs w:val="20"/>
              </w:rPr>
              <w:t xml:space="preserve">Prepared By</w:t>
            </w:r>
          </w:p>
        </w:tc>
        <w:tc>
          <w:tcPr>
            <w:tcW w:type="dxa" w:w="3700"/>
            <w:tcBorders>
              <w:top w:val="single" w:color="B8D9EC" w:sz="1"/>
              <w:left w:val="single" w:color="B8D9EC" w:sz="1"/>
              <w:bottom w:val="single" w:color="B8D9EC" w:sz="1"/>
              <w:right w:val="single" w:color="B8D9EC" w:sz="1"/>
            </w:tcBorders>
            <w:shd w:fill="EAF6FB" w:val="clear"/>
            <w:tcMar>
              <w:top w:type="dxa" w:w="90"/>
              <w:left w:type="dxa" w:w="140"/>
              <w:bottom w:type="dxa" w:w="90"/>
              <w:right w:type="dxa" w:w="140"/>
            </w:tcMar>
          </w:tcPr>
          <w:p>
            <w:r>
              <w:rPr>
                <w:rFonts w:ascii="Arial" w:cs="Arial" w:eastAsia="Arial" w:hAnsi="Arial"/>
                <w:color w:val="111111"/>
                <w:sz w:val="20"/>
                <w:szCs w:val="20"/>
              </w:rPr>
              <w:t xml:space="preserve">Business Intelligence Team</w:t>
            </w:r>
          </w:p>
        </w:tc>
      </w:tr>
    </w:tbl>
    <w:p>
      <w:r>
        <w:br/>
      </w:r>
    </w:p>
    <w:p>
      <w:pPr>
        <w:pStyle w:val="Heading1"/>
        <w:pBdr>
          <w:bottom w:val="single" w:color="00C49A" w:sz="8" w:space="5"/>
        </w:pBdr>
        <w:spacing w:after="160" w:before="300"/>
      </w:pPr>
      <w:r>
        <w:rPr>
          <w:rFonts w:ascii="Arial" w:cs="Arial" w:eastAsia="Arial" w:hAnsi="Arial"/>
          <w:b/>
          <w:bCs/>
          <w:color w:val="0D3B66"/>
          <w:sz w:val="32"/>
          <w:szCs w:val="32"/>
        </w:rPr>
        <w:t xml:space="preserve">1. Introduction</w:t>
      </w:r>
    </w:p>
    <w:p>
      <w:pPr>
        <w:pStyle w:val="Heading2"/>
        <w:spacing w:after="100" w:before="220"/>
      </w:pPr>
      <w:r>
        <w:rPr>
          <w:rFonts w:ascii="Arial" w:cs="Arial" w:eastAsia="Arial" w:hAnsi="Arial"/>
          <w:b/>
          <w:bCs/>
          <w:color w:val="0D3B66"/>
          <w:sz w:val="24"/>
          <w:szCs w:val="24"/>
        </w:rPr>
        <w:t xml:space="preserve">1.1 Purpose</w:t>
      </w:r>
    </w:p>
    <w:p>
      <w:pPr>
        <w:spacing w:after="60" w:before="60"/>
      </w:pPr>
      <w:r>
        <w:rPr>
          <w:rFonts w:ascii="Arial" w:cs="Arial" w:eastAsia="Arial" w:hAnsi="Arial"/>
          <w:color w:val="222222"/>
          <w:sz w:val="20"/>
          <w:szCs w:val="20"/>
        </w:rPr>
        <w:t xml:space="preserve">This SRS defines the functional and non-functional requirements for the EV Market Analysis Dashboard built in Microsoft Power BI. It serves as the reference document for developers, QA teams, and business stakeholders.</w:t>
      </w:r>
    </w:p>
    <w:p>
      <w:pPr>
        <w:spacing w:after="0" w:before="0"/>
      </w:pPr>
      <w:r>
        <w:t xml:space="preserve"/>
      </w:r>
    </w:p>
    <w:p>
      <w:pPr>
        <w:pStyle w:val="Heading2"/>
        <w:spacing w:after="100" w:before="220"/>
      </w:pPr>
      <w:r>
        <w:rPr>
          <w:rFonts w:ascii="Arial" w:cs="Arial" w:eastAsia="Arial" w:hAnsi="Arial"/>
          <w:b/>
          <w:bCs/>
          <w:color w:val="0D3B66"/>
          <w:sz w:val="24"/>
          <w:szCs w:val="24"/>
        </w:rPr>
        <w:t xml:space="preserve">1.2 Scope</w:t>
      </w:r>
    </w:p>
    <w:p>
      <w:pPr>
        <w:spacing w:after="60" w:before="60"/>
      </w:pPr>
      <w:r>
        <w:rPr>
          <w:rFonts w:ascii="Arial" w:cs="Arial" w:eastAsia="Arial" w:hAnsi="Arial"/>
          <w:color w:val="222222"/>
          <w:sz w:val="20"/>
          <w:szCs w:val="20"/>
        </w:rPr>
        <w:t xml:space="preserve">The dashboard is a three-page interactive Power BI report providing comprehensive insights into the global electric vehicle market. It covers sales, market segmentation, vehicle performance, pricing, and customer ratings across 20 brands, 6 countries, and 7 years (2020–2026).</w:t>
      </w:r>
    </w:p>
    <w:p>
      <w:pPr>
        <w:spacing w:after="0" w:before="0"/>
      </w:pPr>
      <w:r>
        <w:t xml:space="preserve"/>
      </w:r>
    </w:p>
    <w:p>
      <w:pPr>
        <w:pStyle w:val="Heading2"/>
        <w:spacing w:after="100" w:before="220"/>
      </w:pPr>
      <w:r>
        <w:rPr>
          <w:rFonts w:ascii="Arial" w:cs="Arial" w:eastAsia="Arial" w:hAnsi="Arial"/>
          <w:b/>
          <w:bCs/>
          <w:color w:val="0D3B66"/>
          <w:sz w:val="24"/>
          <w:szCs w:val="24"/>
        </w:rPr>
        <w:t xml:space="preserve">1.3 Key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Term</w:t>
            </w:r>
          </w:p>
        </w:tc>
        <w:tc>
          <w:tcPr>
            <w:tcW w:type="dxa" w:w="73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Definition</w:t>
            </w:r>
          </w:p>
        </w:tc>
      </w:tr>
      <w:tr>
        <w:tc>
          <w:tcPr>
            <w:tcW w:type="dxa" w:w="2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EV</w:t>
            </w:r>
          </w:p>
        </w:tc>
        <w:tc>
          <w:tcPr>
            <w:tcW w:type="dxa" w:w="73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Electric Vehicle</w:t>
            </w:r>
          </w:p>
        </w:tc>
      </w:tr>
      <w:tr>
        <w:tc>
          <w:tcPr>
            <w:tcW w:type="dxa" w:w="2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BI</w:t>
            </w:r>
          </w:p>
        </w:tc>
        <w:tc>
          <w:tcPr>
            <w:tcW w:type="dxa" w:w="73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Business Intelligence</w:t>
            </w:r>
          </w:p>
        </w:tc>
      </w:tr>
      <w:tr>
        <w:tc>
          <w:tcPr>
            <w:tcW w:type="dxa" w:w="2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KPI</w:t>
            </w:r>
          </w:p>
        </w:tc>
        <w:tc>
          <w:tcPr>
            <w:tcW w:type="dxa" w:w="73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Key Performance Indicator</w:t>
            </w:r>
          </w:p>
        </w:tc>
      </w:tr>
      <w:tr>
        <w:tc>
          <w:tcPr>
            <w:tcW w:type="dxa" w:w="2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DAX</w:t>
            </w:r>
          </w:p>
        </w:tc>
        <w:tc>
          <w:tcPr>
            <w:tcW w:type="dxa" w:w="73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Data Analysis Expressions (Power BI formula language)</w:t>
            </w:r>
          </w:p>
        </w:tc>
      </w:tr>
      <w:tr>
        <w:tc>
          <w:tcPr>
            <w:tcW w:type="dxa" w:w="2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kWh</w:t>
            </w:r>
          </w:p>
        </w:tc>
        <w:tc>
          <w:tcPr>
            <w:tcW w:type="dxa" w:w="73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Kilowatt-hour — battery capacity unit</w:t>
            </w:r>
          </w:p>
        </w:tc>
      </w:tr>
      <w:tr>
        <w:tc>
          <w:tcPr>
            <w:tcW w:type="dxa" w:w="2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km</w:t>
            </w:r>
          </w:p>
        </w:tc>
        <w:tc>
          <w:tcPr>
            <w:tcW w:type="dxa" w:w="73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Kilometre — range unit</w:t>
            </w:r>
          </w:p>
        </w:tc>
      </w:tr>
    </w:tbl>
    <w:p>
      <w:pPr>
        <w:spacing w:after="0" w:before="0"/>
      </w:pPr>
      <w:r>
        <w:t xml:space="preserve"/>
      </w:r>
    </w:p>
    <w:p>
      <w:pPr>
        <w:pStyle w:val="Heading2"/>
        <w:spacing w:after="100" w:before="220"/>
      </w:pPr>
      <w:r>
        <w:rPr>
          <w:rFonts w:ascii="Arial" w:cs="Arial" w:eastAsia="Arial" w:hAnsi="Arial"/>
          <w:b/>
          <w:bCs/>
          <w:color w:val="0D3B66"/>
          <w:sz w:val="24"/>
          <w:szCs w:val="24"/>
        </w:rPr>
        <w:t xml:space="preserve">1.4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User Role</w:t>
            </w:r>
          </w:p>
        </w:tc>
        <w:tc>
          <w:tcPr>
            <w:tcW w:type="dxa" w:w="63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Primary Use</w:t>
            </w:r>
          </w:p>
        </w:tc>
      </w:tr>
      <w:tr>
        <w:tc>
          <w:tcPr>
            <w:tcW w:type="dxa" w:w="3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Executives</w:t>
            </w:r>
          </w:p>
        </w:tc>
        <w:tc>
          <w:tcPr>
            <w:tcW w:type="dxa" w:w="63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Monitor high-level KPIs and sales trends</w:t>
            </w:r>
          </w:p>
        </w:tc>
      </w:tr>
      <w:tr>
        <w:tc>
          <w:tcPr>
            <w:tcW w:type="dxa" w:w="3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Business Analysts</w:t>
            </w:r>
          </w:p>
        </w:tc>
        <w:tc>
          <w:tcPr>
            <w:tcW w:type="dxa" w:w="63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Deep-dive filtering and cross-visual exploration</w:t>
            </w:r>
          </w:p>
        </w:tc>
      </w:tr>
      <w:tr>
        <w:tc>
          <w:tcPr>
            <w:tcW w:type="dxa" w:w="3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Product Managers</w:t>
            </w:r>
          </w:p>
        </w:tc>
        <w:tc>
          <w:tcPr>
            <w:tcW w:type="dxa" w:w="63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Brand ratings, segment share, model performance</w:t>
            </w:r>
          </w:p>
        </w:tc>
      </w:tr>
      <w:tr>
        <w:tc>
          <w:tcPr>
            <w:tcW w:type="dxa" w:w="3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Data Engineers</w:t>
            </w:r>
          </w:p>
        </w:tc>
        <w:tc>
          <w:tcPr>
            <w:tcW w:type="dxa" w:w="63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Maintain data model and scheduled refresh</w:t>
            </w:r>
          </w:p>
        </w:tc>
      </w:tr>
    </w:tbl>
    <w:p>
      <w:r>
        <w:br/>
      </w:r>
    </w:p>
    <w:p>
      <w:pPr>
        <w:pStyle w:val="Heading1"/>
        <w:pBdr>
          <w:bottom w:val="single" w:color="00C49A" w:sz="8" w:space="5"/>
        </w:pBdr>
        <w:spacing w:after="160" w:before="300"/>
      </w:pPr>
      <w:r>
        <w:rPr>
          <w:rFonts w:ascii="Arial" w:cs="Arial" w:eastAsia="Arial" w:hAnsi="Arial"/>
          <w:b/>
          <w:bCs/>
          <w:color w:val="0D3B66"/>
          <w:sz w:val="32"/>
          <w:szCs w:val="32"/>
        </w:rPr>
        <w:t xml:space="preserve">2. System Overview</w:t>
      </w:r>
    </w:p>
    <w:p>
      <w:pPr>
        <w:pStyle w:val="Heading2"/>
        <w:spacing w:after="100" w:before="220"/>
      </w:pPr>
      <w:r>
        <w:rPr>
          <w:rFonts w:ascii="Arial" w:cs="Arial" w:eastAsia="Arial" w:hAnsi="Arial"/>
          <w:b/>
          <w:bCs/>
          <w:color w:val="0D3B66"/>
          <w:sz w:val="24"/>
          <w:szCs w:val="24"/>
        </w:rPr>
        <w:t xml:space="preserve">2.1 Product Description</w:t>
      </w:r>
    </w:p>
    <w:p>
      <w:pPr>
        <w:spacing w:after="60" w:before="60"/>
      </w:pPr>
      <w:r>
        <w:rPr>
          <w:rFonts w:ascii="Arial" w:cs="Arial" w:eastAsia="Arial" w:hAnsi="Arial"/>
          <w:color w:val="222222"/>
          <w:sz w:val="20"/>
          <w:szCs w:val="20"/>
        </w:rPr>
        <w:t xml:space="preserve">The EV Market Analysis Dashboard is a self-service BI tool built on Power BI Desktop. It uses DAX for calculated measures, Power Query for ETL, and supports publishing to Power BI Service for sharing. The report has three pages navigable via a persistent left sidebar.</w:t>
      </w:r>
    </w:p>
    <w:p>
      <w:pPr>
        <w:spacing w:after="0" w:before="0"/>
      </w:pPr>
      <w:r>
        <w:t xml:space="preserve"/>
      </w:r>
    </w:p>
    <w:p>
      <w:pPr>
        <w:pStyle w:val="Heading2"/>
        <w:spacing w:after="100" w:before="220"/>
      </w:pPr>
      <w:r>
        <w:rPr>
          <w:rFonts w:ascii="Arial" w:cs="Arial" w:eastAsia="Arial" w:hAnsi="Arial"/>
          <w:b/>
          <w:bCs/>
          <w:color w:val="0D3B66"/>
          <w:sz w:val="24"/>
          <w:szCs w:val="24"/>
        </w:rPr>
        <w:t xml:space="preserve">2.2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Field</w:t>
            </w:r>
          </w:p>
        </w:tc>
        <w:tc>
          <w:tcPr>
            <w:tcW w:type="dxa" w:w="14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Type</w:t>
            </w:r>
          </w:p>
        </w:tc>
        <w:tc>
          <w:tcPr>
            <w:tcW w:type="dxa" w:w="57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model</w:t>
            </w:r>
          </w:p>
        </w:tc>
        <w:tc>
          <w:tcPr>
            <w:tcW w:type="dxa" w:w="14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Text</w:t>
            </w:r>
          </w:p>
        </w:tc>
        <w:tc>
          <w:tcPr>
            <w:tcW w:type="dxa" w:w="5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EV model name (e.g., Model Y, EQC, Taycan)</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brand</w:t>
            </w:r>
          </w:p>
        </w:tc>
        <w:tc>
          <w:tcPr>
            <w:tcW w:type="dxa" w:w="14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Text</w:t>
            </w:r>
          </w:p>
        </w:tc>
        <w:tc>
          <w:tcPr>
            <w:tcW w:type="dxa" w:w="5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Manufacturer brand (e.g., Tesla, Mercedes, Porsche)</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battery_capacity_kwh</w:t>
            </w:r>
          </w:p>
        </w:tc>
        <w:tc>
          <w:tcPr>
            <w:tcW w:type="dxa" w:w="14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Decimal</w:t>
            </w:r>
          </w:p>
        </w:tc>
        <w:tc>
          <w:tcPr>
            <w:tcW w:type="dxa" w:w="5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Battery size in kilowatt-hours (range: 40–120)</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range_km</w:t>
            </w:r>
          </w:p>
        </w:tc>
        <w:tc>
          <w:tcPr>
            <w:tcW w:type="dxa" w:w="14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Decimal</w:t>
            </w:r>
          </w:p>
        </w:tc>
        <w:tc>
          <w:tcPr>
            <w:tcW w:type="dxa" w:w="5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Maximum driving range in kilometres (150–450)</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price_usd</w:t>
            </w:r>
          </w:p>
        </w:tc>
        <w:tc>
          <w:tcPr>
            <w:tcW w:type="dxa" w:w="14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Decimal</w:t>
            </w:r>
          </w:p>
        </w:tc>
        <w:tc>
          <w:tcPr>
            <w:tcW w:type="dxa" w:w="5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Retail price in US dollars</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market_segment</w:t>
            </w:r>
          </w:p>
        </w:tc>
        <w:tc>
          <w:tcPr>
            <w:tcW w:type="dxa" w:w="14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Text</w:t>
            </w:r>
          </w:p>
        </w:tc>
        <w:tc>
          <w:tcPr>
            <w:tcW w:type="dxa" w:w="5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Premium / Mid-range / Luxury / Budget</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country</w:t>
            </w:r>
          </w:p>
        </w:tc>
        <w:tc>
          <w:tcPr>
            <w:tcW w:type="dxa" w:w="14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Text</w:t>
            </w:r>
          </w:p>
        </w:tc>
        <w:tc>
          <w:tcPr>
            <w:tcW w:type="dxa" w:w="5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Country of sale (US, Germany, China, S. Korea, Japan, Sweden)</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year</w:t>
            </w:r>
          </w:p>
        </w:tc>
        <w:tc>
          <w:tcPr>
            <w:tcW w:type="dxa" w:w="14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Integer</w:t>
            </w:r>
          </w:p>
        </w:tc>
        <w:tc>
          <w:tcPr>
            <w:tcW w:type="dxa" w:w="5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Year of sale (2020–2026)</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units_sold</w:t>
            </w:r>
          </w:p>
        </w:tc>
        <w:tc>
          <w:tcPr>
            <w:tcW w:type="dxa" w:w="14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Integer</w:t>
            </w:r>
          </w:p>
        </w:tc>
        <w:tc>
          <w:tcPr>
            <w:tcW w:type="dxa" w:w="5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Number of units sold per record</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customer_rating</w:t>
            </w:r>
          </w:p>
        </w:tc>
        <w:tc>
          <w:tcPr>
            <w:tcW w:type="dxa" w:w="14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Decimal</w:t>
            </w:r>
          </w:p>
        </w:tc>
        <w:tc>
          <w:tcPr>
            <w:tcW w:type="dxa" w:w="5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Customer satisfaction score (1–5 scale)</w:t>
            </w:r>
          </w:p>
        </w:tc>
      </w:tr>
    </w:tbl>
    <w:p>
      <w:pPr>
        <w:spacing w:after="0" w:before="0"/>
      </w:pPr>
      <w:r>
        <w:t xml:space="preserve"/>
      </w:r>
    </w:p>
    <w:p>
      <w:pPr>
        <w:pStyle w:val="Heading2"/>
        <w:spacing w:after="100" w:before="220"/>
      </w:pPr>
      <w:r>
        <w:rPr>
          <w:rFonts w:ascii="Arial" w:cs="Arial" w:eastAsia="Arial" w:hAnsi="Arial"/>
          <w:b/>
          <w:bCs/>
          <w:color w:val="0D3B66"/>
          <w:sz w:val="24"/>
          <w:szCs w:val="24"/>
        </w:rPr>
        <w:t xml:space="preserve">2.3 Key Measures (DAX)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KPI</w:t>
            </w:r>
          </w:p>
        </w:tc>
        <w:tc>
          <w:tcPr>
            <w:tcW w:type="dxa" w:w="40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DAX Logic</w:t>
            </w:r>
          </w:p>
        </w:tc>
        <w:tc>
          <w:tcPr>
            <w:tcW w:type="dxa" w:w="31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Format</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Total Sales</w:t>
            </w:r>
          </w:p>
        </w:tc>
        <w:tc>
          <w:tcPr>
            <w:tcW w:type="dxa" w:w="4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SUM(Sales[units_sold])</w:t>
            </w:r>
          </w:p>
        </w:tc>
        <w:tc>
          <w:tcPr>
            <w:tcW w:type="dxa" w:w="31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259M units</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Average Price</w:t>
            </w:r>
          </w:p>
        </w:tc>
        <w:tc>
          <w:tcPr>
            <w:tcW w:type="dxa" w:w="4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AVERAGE(EV[price_usd])</w:t>
            </w:r>
          </w:p>
        </w:tc>
        <w:tc>
          <w:tcPr>
            <w:tcW w:type="dxa" w:w="31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$78.87K</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Average Range</w:t>
            </w:r>
          </w:p>
        </w:tc>
        <w:tc>
          <w:tcPr>
            <w:tcW w:type="dxa" w:w="4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AVERAGE(EV[range_km])</w:t>
            </w:r>
          </w:p>
        </w:tc>
        <w:tc>
          <w:tcPr>
            <w:tcW w:type="dxa" w:w="31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261.83 km</w:t>
            </w:r>
          </w:p>
        </w:tc>
      </w:tr>
      <w:tr>
        <w:tc>
          <w:tcPr>
            <w:tcW w:type="dxa" w:w="2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Average Battery</w:t>
            </w:r>
          </w:p>
        </w:tc>
        <w:tc>
          <w:tcPr>
            <w:tcW w:type="dxa" w:w="4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AVERAGE(EV[battery_capacity_kwh])</w:t>
            </w:r>
          </w:p>
        </w:tc>
        <w:tc>
          <w:tcPr>
            <w:tcW w:type="dxa" w:w="31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74.66 kWh</w:t>
            </w:r>
          </w:p>
        </w:tc>
      </w:tr>
      <w:tr>
        <w:tc>
          <w:tcPr>
            <w:tcW w:type="dxa" w:w="2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Average Rating</w:t>
            </w:r>
          </w:p>
        </w:tc>
        <w:tc>
          <w:tcPr>
            <w:tcW w:type="dxa" w:w="4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AVERAGE(Sales[customer_rating])</w:t>
            </w:r>
          </w:p>
        </w:tc>
        <w:tc>
          <w:tcPr>
            <w:tcW w:type="dxa" w:w="31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3.57 stars</w:t>
            </w:r>
          </w:p>
        </w:tc>
      </w:tr>
    </w:tbl>
    <w:p>
      <w:r>
        <w:br/>
      </w:r>
    </w:p>
    <w:p>
      <w:pPr>
        <w:pStyle w:val="Heading1"/>
        <w:pBdr>
          <w:bottom w:val="single" w:color="00C49A" w:sz="8" w:space="5"/>
        </w:pBdr>
        <w:spacing w:after="160" w:before="300"/>
      </w:pPr>
      <w:r>
        <w:rPr>
          <w:rFonts w:ascii="Arial" w:cs="Arial" w:eastAsia="Arial" w:hAnsi="Arial"/>
          <w:b/>
          <w:bCs/>
          <w:color w:val="0D3B66"/>
          <w:sz w:val="32"/>
          <w:szCs w:val="32"/>
        </w:rPr>
        <w:t xml:space="preserve">3. Dashboard Pages</w:t>
      </w:r>
    </w:p>
    <w:p>
      <w:pPr>
        <w:pStyle w:val="Heading2"/>
        <w:spacing w:after="100" w:before="220"/>
      </w:pPr>
      <w:r>
        <w:rPr>
          <w:rFonts w:ascii="Arial" w:cs="Arial" w:eastAsia="Arial" w:hAnsi="Arial"/>
          <w:b/>
          <w:bCs/>
          <w:color w:val="0D3B66"/>
          <w:sz w:val="24"/>
          <w:szCs w:val="24"/>
        </w:rPr>
        <w:t xml:space="preserve">3.1 Page 1 — Overview Dashboard</w:t>
      </w:r>
    </w:p>
    <w:p>
      <w:pPr>
        <w:spacing w:after="60" w:before="60"/>
      </w:pPr>
      <w:r>
        <w:rPr>
          <w:rFonts w:ascii="Arial" w:cs="Arial" w:eastAsia="Arial" w:hAnsi="Arial"/>
          <w:color w:val="222222"/>
          <w:sz w:val="20"/>
          <w:szCs w:val="20"/>
        </w:rPr>
        <w:t xml:space="preserve">Landing page with market-wide KPIs and trends. Contains:</w:t>
      </w:r>
    </w:p>
    <w:p>
      <w:pPr>
        <w:pStyle w:val="ListParagraph"/>
        <w:numPr>
          <w:ilvl w:val="0"/>
          <w:numId w:val="2"/>
        </w:numPr>
        <w:spacing w:after="40" w:before="40"/>
      </w:pPr>
      <w:r>
        <w:rPr>
          <w:rFonts w:ascii="Arial" w:cs="Arial" w:eastAsia="Arial" w:hAnsi="Arial"/>
          <w:color w:val="222222"/>
          <w:sz w:val="20"/>
          <w:szCs w:val="20"/>
        </w:rPr>
        <w:t xml:space="preserve">5 KPI Cards: Total Sales (259M), Avg Price ($78.87K), Avg Range (261.83 km), Avg Battery (74.66 kWh), Avg Rating (3.57)</w:t>
      </w:r>
    </w:p>
    <w:p>
      <w:pPr>
        <w:pStyle w:val="ListParagraph"/>
        <w:numPr>
          <w:ilvl w:val="0"/>
          <w:numId w:val="2"/>
        </w:numPr>
        <w:spacing w:after="40" w:before="40"/>
      </w:pPr>
      <w:r>
        <w:rPr>
          <w:rFonts w:ascii="Arial" w:cs="Arial" w:eastAsia="Arial" w:hAnsi="Arial"/>
          <w:color w:val="222222"/>
          <w:sz w:val="20"/>
          <w:szCs w:val="20"/>
        </w:rPr>
        <w:t xml:space="preserve">Sales Units by Brand — horizontal bar chart; Tesla leads at 101M, BYD 50M, Volkswagen 48M</w:t>
      </w:r>
    </w:p>
    <w:p>
      <w:pPr>
        <w:pStyle w:val="ListParagraph"/>
        <w:numPr>
          <w:ilvl w:val="0"/>
          <w:numId w:val="2"/>
        </w:numPr>
        <w:spacing w:after="40" w:before="40"/>
      </w:pPr>
      <w:r>
        <w:rPr>
          <w:rFonts w:ascii="Arial" w:cs="Arial" w:eastAsia="Arial" w:hAnsi="Arial"/>
          <w:color w:val="222222"/>
          <w:sz w:val="20"/>
          <w:szCs w:val="20"/>
        </w:rPr>
        <w:t xml:space="preserve">Sales Units by Country — interactive world map with bubble markers by country</w:t>
      </w:r>
    </w:p>
    <w:p>
      <w:pPr>
        <w:pStyle w:val="ListParagraph"/>
        <w:numPr>
          <w:ilvl w:val="0"/>
          <w:numId w:val="2"/>
        </w:numPr>
        <w:spacing w:after="40" w:before="40"/>
      </w:pPr>
      <w:r>
        <w:rPr>
          <w:rFonts w:ascii="Arial" w:cs="Arial" w:eastAsia="Arial" w:hAnsi="Arial"/>
          <w:color w:val="222222"/>
          <w:sz w:val="20"/>
          <w:szCs w:val="20"/>
        </w:rPr>
        <w:t xml:space="preserve">Market Segment Share — donut chart: Premium 87M, Mid-range 83M, Luxury 66M, Budget 23M</w:t>
      </w:r>
    </w:p>
    <w:p>
      <w:pPr>
        <w:pStyle w:val="ListParagraph"/>
        <w:numPr>
          <w:ilvl w:val="0"/>
          <w:numId w:val="2"/>
        </w:numPr>
        <w:spacing w:after="40" w:before="40"/>
      </w:pPr>
      <w:r>
        <w:rPr>
          <w:rFonts w:ascii="Arial" w:cs="Arial" w:eastAsia="Arial" w:hAnsi="Arial"/>
          <w:color w:val="222222"/>
          <w:sz w:val="20"/>
          <w:szCs w:val="20"/>
        </w:rPr>
        <w:t xml:space="preserve">Sales Trend 2020–2026 — line chart showing growth from 4M (2020) to 88M peak (2025)</w:t>
      </w:r>
    </w:p>
    <w:p>
      <w:pPr>
        <w:spacing w:after="0" w:before="0"/>
      </w:pPr>
      <w:r>
        <w:t xml:space="preserve"/>
      </w:r>
    </w:p>
    <w:p>
      <w:pPr>
        <w:pStyle w:val="Heading2"/>
        <w:spacing w:after="100" w:before="220"/>
      </w:pPr>
      <w:r>
        <w:rPr>
          <w:rFonts w:ascii="Arial" w:cs="Arial" w:eastAsia="Arial" w:hAnsi="Arial"/>
          <w:b/>
          <w:bCs/>
          <w:color w:val="0D3B66"/>
          <w:sz w:val="24"/>
          <w:szCs w:val="24"/>
        </w:rPr>
        <w:t xml:space="preserve">3.2 Page 2 — Sales &amp; Market Analysis</w:t>
      </w:r>
    </w:p>
    <w:p>
      <w:pPr>
        <w:spacing w:after="60" w:before="60"/>
      </w:pPr>
      <w:r>
        <w:rPr>
          <w:rFonts w:ascii="Arial" w:cs="Arial" w:eastAsia="Arial" w:hAnsi="Arial"/>
          <w:color w:val="222222"/>
          <w:sz w:val="20"/>
          <w:szCs w:val="20"/>
        </w:rPr>
        <w:t xml:space="preserve">Detailed sales breakdown by geography and model. Contains:</w:t>
      </w:r>
    </w:p>
    <w:p>
      <w:pPr>
        <w:pStyle w:val="ListParagraph"/>
        <w:numPr>
          <w:ilvl w:val="0"/>
          <w:numId w:val="2"/>
        </w:numPr>
        <w:spacing w:after="40" w:before="40"/>
      </w:pPr>
      <w:r>
        <w:rPr>
          <w:rFonts w:ascii="Arial" w:cs="Arial" w:eastAsia="Arial" w:hAnsi="Arial"/>
          <w:color w:val="222222"/>
          <w:sz w:val="20"/>
          <w:szCs w:val="20"/>
        </w:rPr>
        <w:t xml:space="preserve">Sales by Country (column chart): US 111M, Germany 65M, China 51M, South Korea 32M</w:t>
      </w:r>
    </w:p>
    <w:p>
      <w:pPr>
        <w:pStyle w:val="ListParagraph"/>
        <w:numPr>
          <w:ilvl w:val="0"/>
          <w:numId w:val="2"/>
        </w:numPr>
        <w:spacing w:after="40" w:before="40"/>
      </w:pPr>
      <w:r>
        <w:rPr>
          <w:rFonts w:ascii="Arial" w:cs="Arial" w:eastAsia="Arial" w:hAnsi="Arial"/>
          <w:color w:val="222222"/>
          <w:sz w:val="20"/>
          <w:szCs w:val="20"/>
        </w:rPr>
        <w:t xml:space="preserve">Yearly Sales Trend — same dataset as overview, larger canvas for analysis</w:t>
      </w:r>
    </w:p>
    <w:p>
      <w:pPr>
        <w:pStyle w:val="ListParagraph"/>
        <w:numPr>
          <w:ilvl w:val="0"/>
          <w:numId w:val="2"/>
        </w:numPr>
        <w:spacing w:after="40" w:before="40"/>
      </w:pPr>
      <w:r>
        <w:rPr>
          <w:rFonts w:ascii="Arial" w:cs="Arial" w:eastAsia="Arial" w:hAnsi="Arial"/>
          <w:color w:val="222222"/>
          <w:sz w:val="20"/>
          <w:szCs w:val="20"/>
        </w:rPr>
        <w:t xml:space="preserve">Sales by Market Segment — independently filterable donut chart</w:t>
      </w:r>
    </w:p>
    <w:p>
      <w:pPr>
        <w:pStyle w:val="ListParagraph"/>
        <w:numPr>
          <w:ilvl w:val="0"/>
          <w:numId w:val="2"/>
        </w:numPr>
        <w:spacing w:after="40" w:before="40"/>
      </w:pPr>
      <w:r>
        <w:rPr>
          <w:rFonts w:ascii="Arial" w:cs="Arial" w:eastAsia="Arial" w:hAnsi="Arial"/>
          <w:color w:val="222222"/>
          <w:sz w:val="20"/>
          <w:szCs w:val="20"/>
        </w:rPr>
        <w:t xml:space="preserve">Top 10 Models by Sales — Model Y (39M), Model S (17M), Cybertruck (16M), Model 3 (16M)…</w:t>
      </w:r>
    </w:p>
    <w:p>
      <w:pPr>
        <w:spacing w:after="0" w:before="0"/>
      </w:pPr>
      <w:r>
        <w:t xml:space="preserve"/>
      </w:r>
    </w:p>
    <w:p>
      <w:pPr>
        <w:pStyle w:val="Heading2"/>
        <w:spacing w:after="100" w:before="220"/>
      </w:pPr>
      <w:r>
        <w:rPr>
          <w:rFonts w:ascii="Arial" w:cs="Arial" w:eastAsia="Arial" w:hAnsi="Arial"/>
          <w:b/>
          <w:bCs/>
          <w:color w:val="0D3B66"/>
          <w:sz w:val="24"/>
          <w:szCs w:val="24"/>
        </w:rPr>
        <w:t xml:space="preserve">3.3 Page 3 — Performance &amp; Rating Analysis</w:t>
      </w:r>
    </w:p>
    <w:p>
      <w:pPr>
        <w:spacing w:after="60" w:before="60"/>
      </w:pPr>
      <w:r>
        <w:rPr>
          <w:rFonts w:ascii="Arial" w:cs="Arial" w:eastAsia="Arial" w:hAnsi="Arial"/>
          <w:color w:val="222222"/>
          <w:sz w:val="20"/>
          <w:szCs w:val="20"/>
        </w:rPr>
        <w:t xml:space="preserve">Technical performance and customer satisfaction metrics. Contains:</w:t>
      </w:r>
    </w:p>
    <w:p>
      <w:pPr>
        <w:pStyle w:val="ListParagraph"/>
        <w:numPr>
          <w:ilvl w:val="0"/>
          <w:numId w:val="2"/>
        </w:numPr>
        <w:spacing w:after="40" w:before="40"/>
      </w:pPr>
      <w:r>
        <w:rPr>
          <w:rFonts w:ascii="Arial" w:cs="Arial" w:eastAsia="Arial" w:hAnsi="Arial"/>
          <w:color w:val="222222"/>
          <w:sz w:val="20"/>
          <w:szCs w:val="20"/>
        </w:rPr>
        <w:t xml:space="preserve">Battery Capacity vs Range — scatter plot; strong positive correlation across all brands</w:t>
      </w:r>
    </w:p>
    <w:p>
      <w:pPr>
        <w:pStyle w:val="ListParagraph"/>
        <w:numPr>
          <w:ilvl w:val="0"/>
          <w:numId w:val="2"/>
        </w:numPr>
        <w:spacing w:after="40" w:before="40"/>
      </w:pPr>
      <w:r>
        <w:rPr>
          <w:rFonts w:ascii="Arial" w:cs="Arial" w:eastAsia="Arial" w:hAnsi="Arial"/>
          <w:color w:val="222222"/>
          <w:sz w:val="20"/>
          <w:szCs w:val="20"/>
        </w:rPr>
        <w:t xml:space="preserve">Price vs Range — bubble chart; bubble size represents sales volume</w:t>
      </w:r>
    </w:p>
    <w:p>
      <w:pPr>
        <w:pStyle w:val="ListParagraph"/>
        <w:numPr>
          <w:ilvl w:val="0"/>
          <w:numId w:val="2"/>
        </w:numPr>
        <w:spacing w:after="40" w:before="40"/>
      </w:pPr>
      <w:r>
        <w:rPr>
          <w:rFonts w:ascii="Arial" w:cs="Arial" w:eastAsia="Arial" w:hAnsi="Arial"/>
          <w:color w:val="222222"/>
          <w:sz w:val="20"/>
          <w:szCs w:val="20"/>
        </w:rPr>
        <w:t xml:space="preserve">Average Rating by Brand — Porsche 3.8, Honda 3.7, Toyota/Audi/BMW 3.5</w:t>
      </w:r>
    </w:p>
    <w:p>
      <w:pPr>
        <w:pStyle w:val="ListParagraph"/>
        <w:numPr>
          <w:ilvl w:val="0"/>
          <w:numId w:val="2"/>
        </w:numPr>
        <w:spacing w:after="40" w:before="40"/>
      </w:pPr>
      <w:r>
        <w:rPr>
          <w:rFonts w:ascii="Arial" w:cs="Arial" w:eastAsia="Arial" w:hAnsi="Arial"/>
          <w:color w:val="222222"/>
          <w:sz w:val="20"/>
          <w:szCs w:val="20"/>
        </w:rPr>
        <w:t xml:space="preserve">Rating Distribution — 93.2% of models are 3-star, 6.75% are 4-star, 0.05% are 5-star</w:t>
      </w:r>
    </w:p>
    <w:p>
      <w:pPr>
        <w:pStyle w:val="ListParagraph"/>
        <w:numPr>
          <w:ilvl w:val="0"/>
          <w:numId w:val="2"/>
        </w:numPr>
        <w:spacing w:after="40" w:before="40"/>
      </w:pPr>
      <w:r>
        <w:rPr>
          <w:rFonts w:ascii="Arial" w:cs="Arial" w:eastAsia="Arial" w:hAnsi="Arial"/>
          <w:color w:val="222222"/>
          <w:sz w:val="20"/>
          <w:szCs w:val="20"/>
        </w:rPr>
        <w:t xml:space="preserve">Top 5 Highest Rated Models table — EQC (Mercedes, 73.38), EQS (Mercedes, 69.01), Model S (Tesla, 352.06)</w:t>
      </w:r>
    </w:p>
    <w:p>
      <w:r>
        <w:br/>
      </w:r>
    </w:p>
    <w:p>
      <w:pPr>
        <w:pStyle w:val="Heading1"/>
        <w:pBdr>
          <w:bottom w:val="single" w:color="00C49A" w:sz="8" w:space="5"/>
        </w:pBdr>
        <w:spacing w:after="160" w:before="300"/>
      </w:pPr>
      <w:r>
        <w:rPr>
          <w:rFonts w:ascii="Arial" w:cs="Arial" w:eastAsia="Arial" w:hAnsi="Arial"/>
          <w:b/>
          <w:bCs/>
          <w:color w:val="0D3B66"/>
          <w:sz w:val="32"/>
          <w:szCs w:val="32"/>
        </w:rPr>
        <w:t xml:space="preserve">4. Functional Requirements</w:t>
      </w:r>
    </w:p>
    <w:p>
      <w:pPr>
        <w:pStyle w:val="Heading2"/>
        <w:spacing w:after="100" w:before="220"/>
      </w:pPr>
      <w:r>
        <w:rPr>
          <w:rFonts w:ascii="Arial" w:cs="Arial" w:eastAsia="Arial" w:hAnsi="Arial"/>
          <w:b/>
          <w:bCs/>
          <w:color w:val="0D3B66"/>
          <w:sz w:val="24"/>
          <w:szCs w:val="24"/>
        </w:rPr>
        <w:t xml:space="preserve">4.1 Global Filters</w:t>
      </w:r>
    </w:p>
    <w:p>
      <w:pPr>
        <w:spacing w:after="60" w:before="60"/>
      </w:pPr>
      <w:r>
        <w:rPr>
          <w:rFonts w:ascii="Arial" w:cs="Arial" w:eastAsia="Arial" w:hAnsi="Arial"/>
          <w:color w:val="222222"/>
          <w:sz w:val="20"/>
          <w:szCs w:val="20"/>
        </w:rPr>
        <w:t xml:space="preserve">Four dropdown slicers must appear on all pages and apply universally. All default to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Filter</w:t>
            </w:r>
          </w:p>
        </w:tc>
        <w:tc>
          <w:tcPr>
            <w:tcW w:type="dxa" w:w="42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Values</w:t>
            </w:r>
          </w:p>
        </w:tc>
        <w:tc>
          <w:tcPr>
            <w:tcW w:type="dxa" w:w="35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Behavior</w:t>
            </w:r>
          </w:p>
        </w:tc>
      </w:tr>
      <w:tr>
        <w:tc>
          <w:tcPr>
            <w:tcW w:type="dxa" w:w="16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Year</w:t>
            </w:r>
          </w:p>
        </w:tc>
        <w:tc>
          <w:tcPr>
            <w:tcW w:type="dxa" w:w="4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2020–2026</w:t>
            </w:r>
          </w:p>
        </w:tc>
        <w:tc>
          <w:tcPr>
            <w:tcW w:type="dxa" w:w="35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Single or multi-select; synced across all pages</w:t>
            </w:r>
          </w:p>
        </w:tc>
      </w:tr>
      <w:tr>
        <w:tc>
          <w:tcPr>
            <w:tcW w:type="dxa" w:w="16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Country</w:t>
            </w:r>
          </w:p>
        </w:tc>
        <w:tc>
          <w:tcPr>
            <w:tcW w:type="dxa" w:w="4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US, Germany, China, South Korea, Japan, Sweden</w:t>
            </w:r>
          </w:p>
        </w:tc>
        <w:tc>
          <w:tcPr>
            <w:tcW w:type="dxa" w:w="35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Multi-select with cross-filter</w:t>
            </w:r>
          </w:p>
        </w:tc>
      </w:tr>
      <w:tr>
        <w:tc>
          <w:tcPr>
            <w:tcW w:type="dxa" w:w="16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Segment</w:t>
            </w:r>
          </w:p>
        </w:tc>
        <w:tc>
          <w:tcPr>
            <w:tcW w:type="dxa" w:w="42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Premium, Mid-range, Luxury, Budget</w:t>
            </w:r>
          </w:p>
        </w:tc>
        <w:tc>
          <w:tcPr>
            <w:tcW w:type="dxa" w:w="35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Multi-select with cross-filter</w:t>
            </w:r>
          </w:p>
        </w:tc>
      </w:tr>
      <w:tr>
        <w:tc>
          <w:tcPr>
            <w:tcW w:type="dxa" w:w="16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Brand</w:t>
            </w:r>
          </w:p>
        </w:tc>
        <w:tc>
          <w:tcPr>
            <w:tcW w:type="dxa" w:w="42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All 20 brands</w:t>
            </w:r>
          </w:p>
        </w:tc>
        <w:tc>
          <w:tcPr>
            <w:tcW w:type="dxa" w:w="35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Multi-select with cross-filter</w:t>
            </w:r>
          </w:p>
        </w:tc>
      </w:tr>
    </w:tbl>
    <w:p>
      <w:pPr>
        <w:spacing w:after="0" w:before="0"/>
      </w:pPr>
      <w:r>
        <w:t xml:space="preserve"/>
      </w:r>
    </w:p>
    <w:p>
      <w:pPr>
        <w:pStyle w:val="Heading2"/>
        <w:spacing w:after="100" w:before="220"/>
      </w:pPr>
      <w:r>
        <w:rPr>
          <w:rFonts w:ascii="Arial" w:cs="Arial" w:eastAsia="Arial" w:hAnsi="Arial"/>
          <w:b/>
          <w:bCs/>
          <w:color w:val="0D3B66"/>
          <w:sz w:val="24"/>
          <w:szCs w:val="24"/>
        </w:rPr>
        <w:t xml:space="preserve">4.2 Navigation</w:t>
      </w:r>
    </w:p>
    <w:p>
      <w:pPr>
        <w:pStyle w:val="ListParagraph"/>
        <w:numPr>
          <w:ilvl w:val="0"/>
          <w:numId w:val="2"/>
        </w:numPr>
        <w:spacing w:after="40" w:before="40"/>
      </w:pPr>
      <w:r>
        <w:rPr>
          <w:rFonts w:ascii="Arial" w:cs="Arial" w:eastAsia="Arial" w:hAnsi="Arial"/>
          <w:color w:val="222222"/>
          <w:sz w:val="20"/>
          <w:szCs w:val="20"/>
        </w:rPr>
        <w:t xml:space="preserve">Left sidebar must contain three navigation buttons: Overview, Sales &amp; Market, Performance &amp; Rating</w:t>
      </w:r>
    </w:p>
    <w:p>
      <w:pPr>
        <w:pStyle w:val="ListParagraph"/>
        <w:numPr>
          <w:ilvl w:val="0"/>
          <w:numId w:val="2"/>
        </w:numPr>
        <w:spacing w:after="40" w:before="40"/>
      </w:pPr>
      <w:r>
        <w:rPr>
          <w:rFonts w:ascii="Arial" w:cs="Arial" w:eastAsia="Arial" w:hAnsi="Arial"/>
          <w:color w:val="222222"/>
          <w:sz w:val="20"/>
          <w:szCs w:val="20"/>
        </w:rPr>
        <w:t xml:space="preserve">Active page button must be visually distinct from inactive buttons</w:t>
      </w:r>
    </w:p>
    <w:p>
      <w:pPr>
        <w:pStyle w:val="ListParagraph"/>
        <w:numPr>
          <w:ilvl w:val="0"/>
          <w:numId w:val="2"/>
        </w:numPr>
        <w:spacing w:after="40" w:before="40"/>
      </w:pPr>
      <w:r>
        <w:rPr>
          <w:rFonts w:ascii="Arial" w:cs="Arial" w:eastAsia="Arial" w:hAnsi="Arial"/>
          <w:color w:val="222222"/>
          <w:sz w:val="20"/>
          <w:szCs w:val="20"/>
        </w:rPr>
        <w:t xml:space="preserve">EV Market Analysis logo, car illustration, and last-updated date must appear on all pages</w:t>
      </w:r>
    </w:p>
    <w:p>
      <w:pPr>
        <w:spacing w:after="0" w:before="0"/>
      </w:pPr>
      <w:r>
        <w:t xml:space="preserve"/>
      </w:r>
    </w:p>
    <w:p>
      <w:pPr>
        <w:pStyle w:val="Heading2"/>
        <w:spacing w:after="100" w:before="220"/>
      </w:pPr>
      <w:r>
        <w:rPr>
          <w:rFonts w:ascii="Arial" w:cs="Arial" w:eastAsia="Arial" w:hAnsi="Arial"/>
          <w:b/>
          <w:bCs/>
          <w:color w:val="0D3B66"/>
          <w:sz w:val="24"/>
          <w:szCs w:val="24"/>
        </w:rPr>
        <w:t xml:space="preserve">4.3 Interactivity</w:t>
      </w:r>
    </w:p>
    <w:p>
      <w:pPr>
        <w:pStyle w:val="ListParagraph"/>
        <w:numPr>
          <w:ilvl w:val="0"/>
          <w:numId w:val="2"/>
        </w:numPr>
        <w:spacing w:after="40" w:before="40"/>
      </w:pPr>
      <w:r>
        <w:rPr>
          <w:rFonts w:ascii="Arial" w:cs="Arial" w:eastAsia="Arial" w:hAnsi="Arial"/>
          <w:color w:val="222222"/>
          <w:sz w:val="20"/>
          <w:szCs w:val="20"/>
        </w:rPr>
        <w:t xml:space="preserve">All visuals must cross-filter each other when clicked</w:t>
      </w:r>
    </w:p>
    <w:p>
      <w:pPr>
        <w:pStyle w:val="ListParagraph"/>
        <w:numPr>
          <w:ilvl w:val="0"/>
          <w:numId w:val="2"/>
        </w:numPr>
        <w:spacing w:after="40" w:before="40"/>
      </w:pPr>
      <w:r>
        <w:rPr>
          <w:rFonts w:ascii="Arial" w:cs="Arial" w:eastAsia="Arial" w:hAnsi="Arial"/>
          <w:color w:val="222222"/>
          <w:sz w:val="20"/>
          <w:szCs w:val="20"/>
        </w:rPr>
        <w:t xml:space="preserve">Tooltips must display on hover for all charts</w:t>
      </w:r>
    </w:p>
    <w:p>
      <w:pPr>
        <w:pStyle w:val="ListParagraph"/>
        <w:numPr>
          <w:ilvl w:val="0"/>
          <w:numId w:val="2"/>
        </w:numPr>
        <w:spacing w:after="40" w:before="40"/>
      </w:pPr>
      <w:r>
        <w:rPr>
          <w:rFonts w:ascii="Arial" w:cs="Arial" w:eastAsia="Arial" w:hAnsi="Arial"/>
          <w:color w:val="222222"/>
          <w:sz w:val="20"/>
          <w:szCs w:val="20"/>
        </w:rPr>
        <w:t xml:space="preserve">Map visual must highlight country and update all page visuals on selection</w:t>
      </w:r>
    </w:p>
    <w:p>
      <w:pPr>
        <w:spacing w:after="0" w:before="0"/>
      </w:pPr>
      <w:r>
        <w:t xml:space="preserve"/>
      </w:r>
    </w:p>
    <w:p>
      <w:pPr>
        <w:pStyle w:val="Heading1"/>
        <w:pBdr>
          <w:bottom w:val="single" w:color="00C49A" w:sz="8" w:space="5"/>
        </w:pBdr>
        <w:spacing w:after="160" w:before="300"/>
      </w:pPr>
      <w:r>
        <w:rPr>
          <w:rFonts w:ascii="Arial" w:cs="Arial" w:eastAsia="Arial" w:hAnsi="Arial"/>
          <w:b/>
          <w:bCs/>
          <w:color w:val="0D3B66"/>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ID</w:t>
            </w:r>
          </w:p>
        </w:tc>
        <w:tc>
          <w:tcPr>
            <w:tcW w:type="dxa" w:w="160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Category</w:t>
            </w:r>
          </w:p>
        </w:tc>
        <w:tc>
          <w:tcPr>
            <w:tcW w:type="dxa" w:w="6760"/>
            <w:tcBorders>
              <w:top w:val="single" w:color="B8D9EC" w:sz="1"/>
              <w:left w:val="single" w:color="B8D9EC" w:sz="1"/>
              <w:bottom w:val="single" w:color="B8D9EC" w:sz="1"/>
              <w:right w:val="single" w:color="B8D9EC" w:sz="1"/>
            </w:tcBorders>
            <w:shd w:fill="0D3B66" w:val="clear"/>
            <w:tcMar>
              <w:top w:type="dxa" w:w="90"/>
              <w:left w:type="dxa" w:w="120"/>
              <w:bottom w:type="dxa" w:w="90"/>
              <w:right w:type="dxa" w:w="120"/>
            </w:tcMar>
          </w:tcPr>
          <w:p>
            <w:r>
              <w:rPr>
                <w:rFonts w:ascii="Arial" w:cs="Arial" w:eastAsia="Arial" w:hAnsi="Arial"/>
                <w:b/>
                <w:bCs/>
                <w:color w:val="FFFFFF"/>
                <w:sz w:val="18"/>
                <w:szCs w:val="18"/>
              </w:rPr>
              <w:t xml:space="preserve">Requirement</w:t>
            </w:r>
          </w:p>
        </w:tc>
      </w:tr>
      <w:tr>
        <w:tc>
          <w:tcPr>
            <w:tcW w:type="dxa" w:w="1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NF-01</w:t>
            </w:r>
          </w:p>
        </w:tc>
        <w:tc>
          <w:tcPr>
            <w:tcW w:type="dxa" w:w="16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Performance</w:t>
            </w:r>
          </w:p>
        </w:tc>
        <w:tc>
          <w:tcPr>
            <w:tcW w:type="dxa" w:w="6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Dashboard loads within 5 seconds; filter response within 2 seconds</w:t>
            </w:r>
          </w:p>
        </w:tc>
      </w:tr>
      <w:tr>
        <w:tc>
          <w:tcPr>
            <w:tcW w:type="dxa" w:w="1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NF-02</w:t>
            </w:r>
          </w:p>
        </w:tc>
        <w:tc>
          <w:tcPr>
            <w:tcW w:type="dxa" w:w="16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Usability</w:t>
            </w:r>
          </w:p>
        </w:tc>
        <w:tc>
          <w:tcPr>
            <w:tcW w:type="dxa" w:w="6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WCAG 2.1 AA colour contrast; mobile-friendly layout at 1366×768+</w:t>
            </w:r>
          </w:p>
        </w:tc>
      </w:tr>
      <w:tr>
        <w:tc>
          <w:tcPr>
            <w:tcW w:type="dxa" w:w="1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NF-03</w:t>
            </w:r>
          </w:p>
        </w:tc>
        <w:tc>
          <w:tcPr>
            <w:tcW w:type="dxa" w:w="16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Reliability</w:t>
            </w:r>
          </w:p>
        </w:tc>
        <w:tc>
          <w:tcPr>
            <w:tcW w:type="dxa" w:w="6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Scheduled daily data refresh with no manual intervention required</w:t>
            </w:r>
          </w:p>
        </w:tc>
      </w:tr>
      <w:tr>
        <w:tc>
          <w:tcPr>
            <w:tcW w:type="dxa" w:w="1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NF-04</w:t>
            </w:r>
          </w:p>
        </w:tc>
        <w:tc>
          <w:tcPr>
            <w:tcW w:type="dxa" w:w="16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Security</w:t>
            </w:r>
          </w:p>
        </w:tc>
        <w:tc>
          <w:tcPr>
            <w:tcW w:type="dxa" w:w="6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Row-level security configurable by country or brand</w:t>
            </w:r>
          </w:p>
        </w:tc>
      </w:tr>
      <w:tr>
        <w:tc>
          <w:tcPr>
            <w:tcW w:type="dxa" w:w="10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NF-05</w:t>
            </w:r>
          </w:p>
        </w:tc>
        <w:tc>
          <w:tcPr>
            <w:tcW w:type="dxa" w:w="160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Portability</w:t>
            </w:r>
          </w:p>
        </w:tc>
        <w:tc>
          <w:tcPr>
            <w:tcW w:type="dxa" w:w="6760"/>
            <w:tcBorders>
              <w:top w:val="single" w:color="B8D9EC" w:sz="1"/>
              <w:left w:val="single" w:color="B8D9EC" w:sz="1"/>
              <w:bottom w:val="single" w:color="B8D9EC" w:sz="1"/>
              <w:right w:val="single" w:color="B8D9EC" w:sz="1"/>
            </w:tcBorders>
            <w:shd w:fill="FFFFFF" w:val="clear"/>
            <w:tcMar>
              <w:top w:type="dxa" w:w="70"/>
              <w:left w:type="dxa" w:w="120"/>
              <w:bottom w:type="dxa" w:w="70"/>
              <w:right w:type="dxa" w:w="120"/>
            </w:tcMar>
          </w:tcPr>
          <w:p>
            <w:r>
              <w:rPr>
                <w:rFonts w:ascii="Arial" w:cs="Arial" w:eastAsia="Arial" w:hAnsi="Arial"/>
                <w:color w:val="111111"/>
                <w:sz w:val="18"/>
                <w:szCs w:val="18"/>
              </w:rPr>
              <w:t xml:space="preserve">Report must export cleanly to PDF and PowerPoint</w:t>
            </w:r>
          </w:p>
        </w:tc>
      </w:tr>
      <w:tr>
        <w:tc>
          <w:tcPr>
            <w:tcW w:type="dxa" w:w="10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NF-06</w:t>
            </w:r>
          </w:p>
        </w:tc>
        <w:tc>
          <w:tcPr>
            <w:tcW w:type="dxa" w:w="160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Scalability</w:t>
            </w:r>
          </w:p>
        </w:tc>
        <w:tc>
          <w:tcPr>
            <w:tcW w:type="dxa" w:w="6760"/>
            <w:tcBorders>
              <w:top w:val="single" w:color="B8D9EC" w:sz="1"/>
              <w:left w:val="single" w:color="B8D9EC" w:sz="1"/>
              <w:bottom w:val="single" w:color="B8D9EC" w:sz="1"/>
              <w:right w:val="single" w:color="B8D9EC" w:sz="1"/>
            </w:tcBorders>
            <w:shd w:fill="F4FAFF" w:val="clear"/>
            <w:tcMar>
              <w:top w:type="dxa" w:w="70"/>
              <w:left w:type="dxa" w:w="120"/>
              <w:bottom w:type="dxa" w:w="70"/>
              <w:right w:type="dxa" w:w="120"/>
            </w:tcMar>
          </w:tcPr>
          <w:p>
            <w:r>
              <w:rPr>
                <w:rFonts w:ascii="Arial" w:cs="Arial" w:eastAsia="Arial" w:hAnsi="Arial"/>
                <w:color w:val="111111"/>
                <w:sz w:val="18"/>
                <w:szCs w:val="18"/>
              </w:rPr>
              <w:t xml:space="preserve">Data model supports new brands/countries without structural redesign</w:t>
            </w:r>
          </w:p>
        </w:tc>
      </w:tr>
    </w:tbl>
    <w:p>
      <w:r>
        <w:br/>
      </w:r>
    </w:p>
    <w:p>
      <w:pPr>
        <w:pStyle w:val="Heading1"/>
        <w:pBdr>
          <w:bottom w:val="single" w:color="00C49A" w:sz="8" w:space="5"/>
        </w:pBdr>
        <w:spacing w:after="160" w:before="300"/>
      </w:pPr>
      <w:r>
        <w:rPr>
          <w:rFonts w:ascii="Arial" w:cs="Arial" w:eastAsia="Arial" w:hAnsi="Arial"/>
          <w:b/>
          <w:bCs/>
          <w:color w:val="0D3B66"/>
          <w:sz w:val="32"/>
          <w:szCs w:val="32"/>
        </w:rPr>
        <w:t xml:space="preserve">6. Constraints &amp; Assumptions</w:t>
      </w:r>
    </w:p>
    <w:p>
      <w:pPr>
        <w:pStyle w:val="Heading2"/>
        <w:spacing w:after="100" w:before="220"/>
      </w:pPr>
      <w:r>
        <w:rPr>
          <w:rFonts w:ascii="Arial" w:cs="Arial" w:eastAsia="Arial" w:hAnsi="Arial"/>
          <w:b/>
          <w:bCs/>
          <w:color w:val="0D3B66"/>
          <w:sz w:val="24"/>
          <w:szCs w:val="24"/>
        </w:rPr>
        <w:t xml:space="preserve">6.1 Constraints</w:t>
      </w:r>
    </w:p>
    <w:p>
      <w:pPr>
        <w:pStyle w:val="ListParagraph"/>
        <w:numPr>
          <w:ilvl w:val="0"/>
          <w:numId w:val="2"/>
        </w:numPr>
        <w:spacing w:after="40" w:before="40"/>
      </w:pPr>
      <w:r>
        <w:rPr>
          <w:rFonts w:ascii="Arial" w:cs="Arial" w:eastAsia="Arial" w:hAnsi="Arial"/>
          <w:color w:val="222222"/>
          <w:sz w:val="20"/>
          <w:szCs w:val="20"/>
        </w:rPr>
        <w:t xml:space="preserve">Must be built exclusively in Microsoft Power BI Desktop (.pbix format)</w:t>
      </w:r>
    </w:p>
    <w:p>
      <w:pPr>
        <w:pStyle w:val="ListParagraph"/>
        <w:numPr>
          <w:ilvl w:val="0"/>
          <w:numId w:val="2"/>
        </w:numPr>
        <w:spacing w:after="40" w:before="40"/>
      </w:pPr>
      <w:r>
        <w:rPr>
          <w:rFonts w:ascii="Arial" w:cs="Arial" w:eastAsia="Arial" w:hAnsi="Arial"/>
          <w:color w:val="222222"/>
          <w:sz w:val="20"/>
          <w:szCs w:val="20"/>
        </w:rPr>
        <w:t xml:space="preserve">Only native Power BI visuals permitted (no custom R/Python visuals)</w:t>
      </w:r>
    </w:p>
    <w:p>
      <w:pPr>
        <w:pStyle w:val="ListParagraph"/>
        <w:numPr>
          <w:ilvl w:val="0"/>
          <w:numId w:val="2"/>
        </w:numPr>
        <w:spacing w:after="40" w:before="40"/>
      </w:pPr>
      <w:r>
        <w:rPr>
          <w:rFonts w:ascii="Arial" w:cs="Arial" w:eastAsia="Arial" w:hAnsi="Arial"/>
          <w:color w:val="222222"/>
          <w:sz w:val="20"/>
          <w:szCs w:val="20"/>
        </w:rPr>
        <w:t xml:space="preserve">Map visual requires active internet connection for Bing Maps rendering</w:t>
      </w:r>
    </w:p>
    <w:p>
      <w:pPr>
        <w:pStyle w:val="ListParagraph"/>
        <w:numPr>
          <w:ilvl w:val="0"/>
          <w:numId w:val="2"/>
        </w:numPr>
        <w:spacing w:after="40" w:before="40"/>
      </w:pPr>
      <w:r>
        <w:rPr>
          <w:rFonts w:ascii="Arial" w:cs="Arial" w:eastAsia="Arial" w:hAnsi="Arial"/>
          <w:color w:val="222222"/>
          <w:sz w:val="20"/>
          <w:szCs w:val="20"/>
        </w:rPr>
        <w:t xml:space="preserve">Power BI Pro or Premium license required for publishing and sharing</w:t>
      </w:r>
    </w:p>
    <w:p>
      <w:pPr>
        <w:pStyle w:val="ListParagraph"/>
        <w:numPr>
          <w:ilvl w:val="0"/>
          <w:numId w:val="2"/>
        </w:numPr>
        <w:spacing w:after="40" w:before="40"/>
      </w:pPr>
      <w:r>
        <w:rPr>
          <w:rFonts w:ascii="Arial" w:cs="Arial" w:eastAsia="Arial" w:hAnsi="Arial"/>
          <w:color w:val="222222"/>
          <w:sz w:val="20"/>
          <w:szCs w:val="20"/>
        </w:rPr>
        <w:t xml:space="preserve">Dataset must remain under Power BI's 1 GB import mode limit</w:t>
      </w:r>
    </w:p>
    <w:p>
      <w:pPr>
        <w:spacing w:after="0" w:before="0"/>
      </w:pPr>
      <w:r>
        <w:t xml:space="preserve"/>
      </w:r>
    </w:p>
    <w:p>
      <w:pPr>
        <w:pStyle w:val="Heading2"/>
        <w:spacing w:after="100" w:before="220"/>
      </w:pPr>
      <w:r>
        <w:rPr>
          <w:rFonts w:ascii="Arial" w:cs="Arial" w:eastAsia="Arial" w:hAnsi="Arial"/>
          <w:b/>
          <w:bCs/>
          <w:color w:val="0D3B66"/>
          <w:sz w:val="24"/>
          <w:szCs w:val="24"/>
        </w:rPr>
        <w:t xml:space="preserve">6.2 Assumptions</w:t>
      </w:r>
    </w:p>
    <w:p>
      <w:pPr>
        <w:pStyle w:val="ListParagraph"/>
        <w:numPr>
          <w:ilvl w:val="0"/>
          <w:numId w:val="2"/>
        </w:numPr>
        <w:spacing w:after="40" w:before="40"/>
      </w:pPr>
      <w:r>
        <w:rPr>
          <w:rFonts w:ascii="Arial" w:cs="Arial" w:eastAsia="Arial" w:hAnsi="Arial"/>
          <w:color w:val="222222"/>
          <w:sz w:val="20"/>
          <w:szCs w:val="20"/>
        </w:rPr>
        <w:t xml:space="preserve">Dataset is clean with no significant nulls in critical fields</w:t>
      </w:r>
    </w:p>
    <w:p>
      <w:pPr>
        <w:pStyle w:val="ListParagraph"/>
        <w:numPr>
          <w:ilvl w:val="0"/>
          <w:numId w:val="2"/>
        </w:numPr>
        <w:spacing w:after="40" w:before="40"/>
      </w:pPr>
      <w:r>
        <w:rPr>
          <w:rFonts w:ascii="Arial" w:cs="Arial" w:eastAsia="Arial" w:hAnsi="Arial"/>
          <w:color w:val="222222"/>
          <w:sz w:val="20"/>
          <w:szCs w:val="20"/>
        </w:rPr>
        <w:t xml:space="preserve">All monetary values are in USD; no currency conversion required</w:t>
      </w:r>
    </w:p>
    <w:p>
      <w:pPr>
        <w:pStyle w:val="ListParagraph"/>
        <w:numPr>
          <w:ilvl w:val="0"/>
          <w:numId w:val="2"/>
        </w:numPr>
        <w:spacing w:after="40" w:before="40"/>
      </w:pPr>
      <w:r>
        <w:rPr>
          <w:rFonts w:ascii="Arial" w:cs="Arial" w:eastAsia="Arial" w:hAnsi="Arial"/>
          <w:color w:val="222222"/>
          <w:sz w:val="20"/>
          <w:szCs w:val="20"/>
        </w:rPr>
        <w:t xml:space="preserve">Year 2026 data is partial (report dated 21 May 2026), explaining the apparent sales decline</w:t>
      </w:r>
    </w:p>
    <w:p>
      <w:pPr>
        <w:pStyle w:val="ListParagraph"/>
        <w:numPr>
          <w:ilvl w:val="0"/>
          <w:numId w:val="2"/>
        </w:numPr>
        <w:spacing w:after="40" w:before="40"/>
      </w:pPr>
      <w:r>
        <w:rPr>
          <w:rFonts w:ascii="Arial" w:cs="Arial" w:eastAsia="Arial" w:hAnsi="Arial"/>
          <w:color w:val="222222"/>
          <w:sz w:val="20"/>
          <w:szCs w:val="20"/>
        </w:rPr>
        <w:t xml:space="preserve">Customer ratings are on a 1–5 decimal scale</w:t>
      </w:r>
    </w:p>
    <w:p>
      <w:pPr>
        <w:pStyle w:val="ListParagraph"/>
        <w:numPr>
          <w:ilvl w:val="0"/>
          <w:numId w:val="2"/>
        </w:numPr>
        <w:spacing w:after="40" w:before="40"/>
      </w:pPr>
      <w:r>
        <w:rPr>
          <w:rFonts w:ascii="Arial" w:cs="Arial" w:eastAsia="Arial" w:hAnsi="Arial"/>
          <w:color w:val="222222"/>
          <w:sz w:val="20"/>
          <w:szCs w:val="20"/>
        </w:rPr>
        <w:t xml:space="preserve">'Sum of Customer Rating' in Top 5 table is volume-weighted aggregate, not average</w:t>
      </w:r>
    </w:p>
    <w:p>
      <w:pPr>
        <w:spacing w:after="0" w:before="0"/>
      </w:pPr>
      <w:r>
        <w:t xml:space="preserve"/>
      </w:r>
    </w:p>
    <w:p>
      <w:pPr>
        <w:pStyle w:val="Heading1"/>
        <w:pBdr>
          <w:bottom w:val="single" w:color="00C49A" w:sz="8" w:space="5"/>
        </w:pBdr>
        <w:spacing w:after="160" w:before="300"/>
      </w:pPr>
      <w:r>
        <w:rPr>
          <w:rFonts w:ascii="Arial" w:cs="Arial" w:eastAsia="Arial" w:hAnsi="Arial"/>
          <w:b/>
          <w:bCs/>
          <w:color w:val="0D3B66"/>
          <w:sz w:val="32"/>
          <w:szCs w:val="32"/>
        </w:rPr>
        <w:t xml:space="preserve">7. Appendix — Brand Coverage</w:t>
      </w:r>
    </w:p>
    <w:p>
      <w:pPr>
        <w:spacing w:after="60" w:before="60"/>
      </w:pPr>
      <w:r>
        <w:rPr>
          <w:rFonts w:ascii="Arial" w:cs="Arial" w:eastAsia="Arial" w:hAnsi="Arial"/>
          <w:color w:val="222222"/>
          <w:sz w:val="20"/>
          <w:szCs w:val="20"/>
        </w:rPr>
        <w:t xml:space="preserve">The following 20 EV brands are included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Tesla</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BYD</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Volkswagen</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Kia</w:t>
            </w:r>
          </w:p>
        </w:tc>
      </w:tr>
      <w:tr>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Hyundai</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BMW</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Ford</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Mercedes</w:t>
            </w:r>
          </w:p>
        </w:tc>
      </w:tr>
      <w:tr>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Audi</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GM/Chevrolet</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Toyota</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Rivian</w:t>
            </w:r>
          </w:p>
        </w:tc>
      </w:tr>
      <w:tr>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NIO</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Fisker</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Porsche</w:t>
            </w:r>
          </w:p>
        </w:tc>
        <w:tc>
          <w:tcPr>
            <w:tcW w:type="dxa" w:w="2340"/>
            <w:tcBorders>
              <w:top w:val="single" w:color="B8D9EC" w:sz="1"/>
              <w:left w:val="single" w:color="B8D9EC" w:sz="1"/>
              <w:bottom w:val="single" w:color="B8D9EC" w:sz="1"/>
              <w:right w:val="single" w:color="B8D9EC" w:sz="1"/>
            </w:tcBorders>
            <w:shd w:fill="F4FAFF" w:val="clear"/>
            <w:tcMar>
              <w:top w:type="dxa" w:w="80"/>
              <w:left w:type="dxa" w:w="120"/>
              <w:bottom w:type="dxa" w:w="80"/>
              <w:right w:type="dxa" w:w="120"/>
            </w:tcMar>
          </w:tcPr>
          <w:p>
            <w:r>
              <w:rPr>
                <w:rFonts w:ascii="Arial" w:cs="Arial" w:eastAsia="Arial" w:hAnsi="Arial"/>
                <w:color w:val="111111"/>
                <w:sz w:val="20"/>
                <w:szCs w:val="20"/>
              </w:rPr>
              <w:t xml:space="preserve">Volvo</w:t>
            </w:r>
          </w:p>
        </w:tc>
      </w:tr>
      <w:tr>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Xiaomi</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Lucid</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Polestar</w:t>
            </w:r>
          </w:p>
        </w:tc>
        <w:tc>
          <w:tcPr>
            <w:tcW w:type="dxa" w:w="2340"/>
            <w:tcBorders>
              <w:top w:val="single" w:color="B8D9EC" w:sz="1"/>
              <w:left w:val="single" w:color="B8D9EC" w:sz="1"/>
              <w:bottom w:val="single" w:color="B8D9EC" w:sz="1"/>
              <w:right w:val="single" w:color="B8D9E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Honda</w:t>
            </w:r>
          </w:p>
        </w:tc>
      </w:tr>
    </w:tbl>
    <w:p>
      <w:pPr>
        <w:spacing w:after="0" w:before="0"/>
      </w:pPr>
      <w:r>
        <w:t xml:space="preserve"/>
      </w:r>
    </w:p>
    <w:p>
      <w:pPr>
        <w:spacing w:after="0" w:before="0"/>
      </w:pPr>
      <w:r>
        <w:t xml:space="preserve"/>
      </w:r>
    </w:p>
    <w:p>
      <w:pPr>
        <w:pBdr>
          <w:top w:val="single" w:color="00C49A" w:sz="4" w:space="6"/>
        </w:pBdr>
        <w:spacing w:after="60" w:before="30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EV Market Analysis Dashboard  |  SRS v1.0  |  21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49A" w:sz="4" w:space="4"/>
      </w:pBdr>
      <w:spacing w:after="0" w:before="80"/>
    </w:pPr>
    <w:r>
      <w:rPr>
        <w:rFonts w:ascii="Arial" w:cs="Arial" w:eastAsia="Arial" w:hAnsi="Arial"/>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9A" w:sz="4" w:space="4"/>
      </w:pBdr>
      <w:spacing w:after="80" w:before="0"/>
    </w:pPr>
    <w:r>
      <w:rPr>
        <w:rFonts w:ascii="Arial" w:cs="Arial" w:eastAsia="Arial" w:hAnsi="Arial"/>
        <w:color w:val="888888"/>
        <w:sz w:val="16"/>
        <w:szCs w:val="16"/>
      </w:rPr>
      <w:t xml:space="preserve">EV Market Analysis Dashboard  —  Software Requirements Specification  |  v1.0  |  21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D3B66"/>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0D3B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2026-05-20T20:05:30.402Z</dcterms:created>
  <dcterms:modified xsi:type="dcterms:W3CDTF">2026-05-20T20:05:30.417Z</dcterms:modified>
</cp:coreProperties>
</file>

<file path=docProps/custom.xml><?xml version="1.0" encoding="utf-8"?>
<Properties xmlns="http://schemas.openxmlformats.org/officeDocument/2006/custom-properties" xmlns:vt="http://schemas.openxmlformats.org/officeDocument/2006/docPropsVTypes"/>
</file>