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CCCCC" w:sz="6" w:space="6"/>
        </w:pBdr>
        <w:spacing w:after="240" w:before="0"/>
      </w:pPr>
      <w:r>
        <w:rPr>
          <w:rFonts w:ascii="Arial" w:cs="Arial" w:eastAsia="Arial" w:hAnsi="Arial"/>
          <w:b/>
          <w:bCs/>
          <w:sz w:val="28"/>
          <w:szCs w:val="28"/>
        </w:rPr>
        <w:t xml:space="preserve">1. Why Loewe Should Make Peggy Gou Their Brand Ambassador</w:t>
      </w:r>
    </w:p>
    <w:p>
      <w:pPr>
        <w:spacing w:after="160" w:before="160"/>
      </w:pPr>
      <w:r>
        <w:rPr>
          <w:rFonts w:ascii="Arial" w:cs="Arial" w:eastAsia="Arial" w:hAnsi="Arial"/>
          <w:sz w:val="22"/>
          <w:szCs w:val="22"/>
        </w:rPr>
        <w:t xml:space="preserve">Loewe is having a moment. The Puzzle bag is a collector's obsession. The Flamenco is on every serious fashion person's wishlist. The brand has climbed to the top of the luxury conversation through a stubborn commitment to craft, design, and storytelling, and it has done so largely without the celebrity machinery that powers its competitors.</w:t>
      </w:r>
    </w:p>
    <w:p>
      <w:pPr>
        <w:spacing w:after="160" w:before="160"/>
      </w:pPr>
      <w:r>
        <w:rPr>
          <w:rFonts w:ascii="Arial" w:cs="Arial" w:eastAsia="Arial" w:hAnsi="Arial"/>
          <w:sz w:val="22"/>
          <w:szCs w:val="22"/>
        </w:rPr>
        <w:t xml:space="preserve">Their latest ambassador announcement was Julia Garner, an exceptional actress known for Ozark and Inventing Anna. But her internet presence is relatively quiet. Loewe has always been deliberate about this. They do not chase the loudest names. They look for people who embody a particular sensibility: curious, creative, with genuine taste and a story to tell.</w:t>
      </w:r>
    </w:p>
    <w:p>
      <w:pPr>
        <w:spacing w:after="160" w:before="160"/>
      </w:pPr>
      <w:r>
        <w:rPr>
          <w:rFonts w:ascii="Arial" w:cs="Arial" w:eastAsia="Arial" w:hAnsi="Arial"/>
          <w:sz w:val="22"/>
          <w:szCs w:val="22"/>
        </w:rPr>
        <w:t xml:space="preserve">Which is exactly why Peggy Gou makes so much sense.</w:t>
      </w:r>
    </w:p>
    <w:p>
      <w:pPr>
        <w:spacing w:after="160" w:before="160"/>
      </w:pPr>
      <w:r>
        <w:rPr>
          <w:rFonts w:ascii="Arial" w:cs="Arial" w:eastAsia="Arial" w:hAnsi="Arial"/>
          <w:sz w:val="22"/>
          <w:szCs w:val="22"/>
        </w:rPr>
        <w:t xml:space="preserve">Peggy Gou is a South Korean DJ, producer, and designer who has built one of the most culturally loaded personal brands in the world without ever being mainstream in the conventional sense. She is the person that cool people know. Her audience sits at the intersection of electronic music, fashion, and design, precisely the cultural territory where Loewe operates.</w:t>
      </w:r>
    </w:p>
    <w:p>
      <w:pPr>
        <w:spacing w:after="160" w:before="160"/>
      </w:pPr>
      <w:r>
        <w:rPr>
          <w:rFonts w:ascii="Arial" w:cs="Arial" w:eastAsia="Arial" w:hAnsi="Arial"/>
          <w:sz w:val="22"/>
          <w:szCs w:val="22"/>
        </w:rPr>
        <w:t xml:space="preserve">And then there is the bag thing. Peggy Gou is publicly and enthusiastically obsessed with bags. She talks about them, photographs them, and has built a reputation as a serious collector. The Loewe Puzzle or Flamenco in her hands is not product placement. It is a natural extension of who she already is.</w:t>
      </w:r>
    </w:p>
    <w:p>
      <w:pPr>
        <w:spacing w:after="160" w:before="160"/>
      </w:pPr>
      <w:r>
        <w:rPr>
          <w:rFonts w:ascii="Arial" w:cs="Arial" w:eastAsia="Arial" w:hAnsi="Arial"/>
          <w:sz w:val="22"/>
          <w:szCs w:val="22"/>
        </w:rPr>
        <w:t xml:space="preserve">The demographic overlap is not accidental. The person who follows Peggy Gou appreciates things that sit at the intersection of art, music, and personal expression. They spend thoughtfully on beautiful objects. They do not need to be told something is cool. They already know. That is the Loewe customer.</w:t>
      </w:r>
    </w:p>
    <w:p>
      <w:pPr>
        <w:spacing w:after="160" w:before="160"/>
      </w:pPr>
      <w:r>
        <w:rPr>
          <w:rFonts w:ascii="Arial" w:cs="Arial" w:eastAsia="Arial" w:hAnsi="Arial"/>
          <w:sz w:val="22"/>
          <w:szCs w:val="22"/>
        </w:rPr>
        <w:t xml:space="preserve">The partnership would not require Loewe to change anything about itself. It would simply give the brand a louder voice in a cultural conversation it is already a part of, delivered through someone whose credibility in that world is unquestionable.</w:t>
      </w:r>
    </w:p>
    <w:p>
      <w:pPr>
        <w:spacing w:after="160" w:before="160"/>
      </w:pPr>
      <w:r>
        <w:rPr>
          <w:rFonts w:ascii="Arial" w:cs="Arial" w:eastAsia="Arial" w:hAnsi="Arial"/>
          <w:sz w:val="22"/>
          <w:szCs w:val="22"/>
        </w:rPr>
        <w:t xml:space="preserve">The best brand ambassadors do not sell products. They validate taste. Peggy Gou would do exactly that for Loewe.</w:t>
      </w:r>
    </w:p>
    <w:p>
      <w:pPr>
        <w:spacing w:before="480"/>
      </w:pPr>
      <w:r>
        <w:t xml:space="preserve"/>
      </w:r>
    </w:p>
    <w:p>
      <w:pPr>
        <w:pBdr>
          <w:bottom w:val="single" w:color="CCCCCC" w:sz="6" w:space="6"/>
        </w:pBdr>
        <w:spacing w:after="240" w:before="0"/>
      </w:pPr>
      <w:r>
        <w:rPr>
          <w:rFonts w:ascii="Arial" w:cs="Arial" w:eastAsia="Arial" w:hAnsi="Arial"/>
          <w:b/>
          <w:bCs/>
          <w:sz w:val="28"/>
          <w:szCs w:val="28"/>
        </w:rPr>
        <w:t xml:space="preserve">2. The Fields AI Forgot</w:t>
      </w:r>
    </w:p>
    <w:p>
      <w:pPr>
        <w:spacing w:after="160" w:before="160"/>
      </w:pPr>
      <w:r>
        <w:rPr>
          <w:rFonts w:ascii="Arial" w:cs="Arial" w:eastAsia="Arial" w:hAnsi="Arial"/>
          <w:sz w:val="22"/>
          <w:szCs w:val="22"/>
        </w:rPr>
        <w:t xml:space="preserve">AI has become the default answer in every industry boardroom. We talk endlessly about its applications in finance, healthcare, logistics, and consumer tech. But there is a category of industries the AI conversation has largely skipped over. Industries that feed and sustain the world, where the technology literacy gap is significant and the value opportunity is enormous.</w:t>
      </w:r>
    </w:p>
    <w:p>
      <w:pPr>
        <w:spacing w:after="160" w:before="160"/>
      </w:pPr>
      <w:r>
        <w:rPr>
          <w:rFonts w:ascii="Arial" w:cs="Arial" w:eastAsia="Arial" w:hAnsi="Arial"/>
          <w:sz w:val="22"/>
          <w:szCs w:val="22"/>
        </w:rPr>
        <w:t xml:space="preserve">Agriculture is one of them.</w:t>
      </w:r>
    </w:p>
    <w:p>
      <w:pPr>
        <w:spacing w:after="160" w:before="160"/>
      </w:pPr>
      <w:r>
        <w:rPr>
          <w:rFonts w:ascii="Arial" w:cs="Arial" w:eastAsia="Arial" w:hAnsi="Arial"/>
          <w:sz w:val="22"/>
          <w:szCs w:val="22"/>
        </w:rPr>
        <w:t xml:space="preserve">The farmers running large-scale operations in Egypt, Indonesia, or India are not thinking about machine learning pipelines. Many are still working from intuition and tradition. That is not a criticism. It is simply a reflection of where the technology conversation has and has not reached.</w:t>
      </w:r>
    </w:p>
    <w:p>
      <w:pPr>
        <w:spacing w:after="160" w:before="160"/>
      </w:pPr>
      <w:r>
        <w:rPr>
          <w:rFonts w:ascii="Arial" w:cs="Arial" w:eastAsia="Arial" w:hAnsi="Arial"/>
          <w:sz w:val="22"/>
          <w:szCs w:val="22"/>
        </w:rPr>
        <w:t xml:space="preserve">The applications are genuinely transformative. Soil health monitoring paired with AI can tell a farmer exactly when and what to plant based on the composition of the ground, replacing calendar-based planting with data-driven decisions. Irrigation management is another area where AI removes costly guesswork. Too much water damages crops and wastes resources. Too little does the same. Systems that continuously monitor soil moisture and cross-reference it with weather data can keep irrigation precisely calibrated, reducing waste and improving yield simultaneously.</w:t>
      </w:r>
    </w:p>
    <w:p>
      <w:pPr>
        <w:spacing w:after="160" w:before="160"/>
      </w:pPr>
      <w:r>
        <w:rPr>
          <w:rFonts w:ascii="Arial" w:cs="Arial" w:eastAsia="Arial" w:hAnsi="Arial"/>
          <w:sz w:val="22"/>
          <w:szCs w:val="22"/>
        </w:rPr>
        <w:t xml:space="preserve">And then there is forecasting. By combining soil health data, irrigation records, and weather predictions, AI can give farmers reliable estimates of harvest quantity and quality before a single crop is pulled. For operations running on forward contracts and supply chain commitments, that kind of predictive accuracy is commercially significant.</w:t>
      </w:r>
    </w:p>
    <w:p>
      <w:pPr>
        <w:spacing w:after="160" w:before="160"/>
      </w:pPr>
      <w:r>
        <w:rPr>
          <w:rFonts w:ascii="Arial" w:cs="Arial" w:eastAsia="Arial" w:hAnsi="Arial"/>
          <w:sz w:val="22"/>
          <w:szCs w:val="22"/>
        </w:rPr>
        <w:t xml:space="preserve">Companies like Cropin and Agrivi are already building in this space. Cropin has developed AI-powered platforms for agricultural intelligence across Asia and Africa. Agrivi offers farm management software integrating weather data, pest risk analysis, and operational planning in one place. The largest agricultural projects in high-output countries should be treating these companies as strategic partners, not just technology vendors.</w:t>
      </w:r>
    </w:p>
    <w:p>
      <w:pPr>
        <w:spacing w:after="160" w:before="160"/>
      </w:pPr>
      <w:r>
        <w:rPr>
          <w:rFonts w:ascii="Arial" w:cs="Arial" w:eastAsia="Arial" w:hAnsi="Arial"/>
          <w:sz w:val="22"/>
          <w:szCs w:val="22"/>
        </w:rPr>
        <w:t xml:space="preserve">The barriers are real: connectivity, literacy, infrastructure, cost. But the return on solving them is equally real. AI has already changed the industries that were ready for it. Agriculture is the one furthest behind the curve, and where the impact of catching up would be felt most directly.</w:t>
      </w:r>
    </w:p>
    <w:p>
      <w:pPr>
        <w:spacing w:before="480"/>
      </w:pPr>
      <w:r>
        <w:t xml:space="preserve"/>
      </w:r>
    </w:p>
    <w:p>
      <w:pPr>
        <w:pBdr>
          <w:bottom w:val="single" w:color="CCCCCC" w:sz="6" w:space="6"/>
        </w:pBdr>
        <w:spacing w:after="240" w:before="0"/>
      </w:pPr>
      <w:r>
        <w:rPr>
          <w:rFonts w:ascii="Arial" w:cs="Arial" w:eastAsia="Arial" w:hAnsi="Arial"/>
          <w:b/>
          <w:bCs/>
          <w:sz w:val="28"/>
          <w:szCs w:val="28"/>
        </w:rPr>
        <w:t xml:space="preserve">3. The Billionaire Playbook</w:t>
      </w:r>
    </w:p>
    <w:p>
      <w:pPr>
        <w:spacing w:after="160" w:before="160"/>
      </w:pPr>
      <w:r>
        <w:rPr>
          <w:rFonts w:ascii="Arial" w:cs="Arial" w:eastAsia="Arial" w:hAnsi="Arial"/>
          <w:sz w:val="22"/>
          <w:szCs w:val="22"/>
        </w:rPr>
        <w:t xml:space="preserve">There is a pattern worth paying attention to when you look at how the world's wealthiest people build their next ventures. It is rarely alone, and it is rarely with strangers.</w:t>
      </w:r>
    </w:p>
    <w:p>
      <w:pPr>
        <w:spacing w:after="160" w:before="160"/>
      </w:pPr>
      <w:r>
        <w:rPr>
          <w:rFonts w:ascii="Arial" w:cs="Arial" w:eastAsia="Arial" w:hAnsi="Arial"/>
          <w:sz w:val="22"/>
          <w:szCs w:val="22"/>
        </w:rPr>
        <w:t xml:space="preserve">Billionaires operate within a remarkably closed loop. New ideas get stress-tested with other billionaires. Capital comes from other billionaires. Distribution and access flow through networks that took decades and significant wealth to build. The result is a compounding system where each new partnership adds to a base that is already enormous.</w:t>
      </w:r>
    </w:p>
    <w:p>
      <w:pPr>
        <w:spacing w:after="160" w:before="160"/>
      </w:pPr>
      <w:r>
        <w:rPr>
          <w:rFonts w:ascii="Arial" w:cs="Arial" w:eastAsia="Arial" w:hAnsi="Arial"/>
          <w:sz w:val="22"/>
          <w:szCs w:val="22"/>
        </w:rPr>
        <w:t xml:space="preserve">Ryan Reynolds and Hugh Jackman buying a stake in the Australian SailGP team is a clean example. Two global entertainment brands, already deeply familiar with building commercial ecosystems around their personalities, pooling their reach into a sport sitting at the intersection of luxury, technology, and performance. Neither was going in blind. Both brought something the other could leverage.</w:t>
      </w:r>
    </w:p>
    <w:p>
      <w:pPr>
        <w:spacing w:after="160" w:before="160"/>
      </w:pPr>
      <w:r>
        <w:rPr>
          <w:rFonts w:ascii="Arial" w:cs="Arial" w:eastAsia="Arial" w:hAnsi="Arial"/>
          <w:sz w:val="22"/>
          <w:szCs w:val="22"/>
        </w:rPr>
        <w:t xml:space="preserve">Breakthrough Energy is a more ambitious illustration. Bill Gates founded it in 2015 with a coalition that included Jeff Bezos, Richard Branson, Jack Ma, and Michael Bloomberg. The point was never just capital. Patient capital, the kind that tolerates a ten-year horizon for returns, is something only this group can provide at that scale. What they built is an ecosystem: capital, technical expertise, policy influence, and global networks moving together towards a shared long-term mission. Climate technology is extraordinarily hard to commercialize, and Breakthrough Energy was designed around that reality from day one.</w:t>
      </w:r>
    </w:p>
    <w:p>
      <w:pPr>
        <w:spacing w:after="160" w:before="160"/>
      </w:pPr>
      <w:r>
        <w:rPr>
          <w:rFonts w:ascii="Arial" w:cs="Arial" w:eastAsia="Arial" w:hAnsi="Arial"/>
          <w:sz w:val="22"/>
          <w:szCs w:val="22"/>
        </w:rPr>
        <w:t xml:space="preserve">3G Capital works differently but illustrates the same principle. Jorge Paulo Lemann, Marcel Telles, and Carlos Alberto Sicupira have spent decades acquiring large consumer businesses and transforming them through meritocracy, zero-based budgeting, and an ownership culture. They built Anheuser-Busch InBev, Burger King, Tim Hortons, and Kraft Heinz into global empires using a philosophy refined within their own tight circle before being deployed at scale.</w:t>
      </w:r>
    </w:p>
    <w:p>
      <w:pPr>
        <w:spacing w:after="160" w:before="160"/>
      </w:pPr>
      <w:r>
        <w:rPr>
          <w:rFonts w:ascii="Arial" w:cs="Arial" w:eastAsia="Arial" w:hAnsi="Arial"/>
          <w:sz w:val="22"/>
          <w:szCs w:val="22"/>
        </w:rPr>
        <w:t xml:space="preserve">The common thread across all three is trust within a closed network. Access to the right person, the right capital structure, or the right operational playbook is not on the open market. It circulates within a circle that maintains its value precisely because it stays small.</w:t>
      </w:r>
    </w:p>
    <w:p>
      <w:pPr>
        <w:spacing w:after="160" w:before="160"/>
      </w:pPr>
      <w:r>
        <w:rPr>
          <w:rFonts w:ascii="Arial" w:cs="Arial" w:eastAsia="Arial" w:hAnsi="Arial"/>
          <w:sz w:val="22"/>
          <w:szCs w:val="22"/>
        </w:rPr>
        <w:t xml:space="preserve">This is worth understanding as a blueprint to study. The skill of building reciprocal, high-value relationships is learnable at any scale. The billionaires just happen to play it at a level where the stakes make the mechanic impossible to ignore.</w:t>
      </w:r>
    </w:p>
    <w:p>
      <w:pPr>
        <w:spacing w:before="480"/>
      </w:pPr>
      <w:r>
        <w:t xml:space="preserve"/>
      </w:r>
    </w:p>
    <w:p>
      <w:pPr>
        <w:pBdr>
          <w:bottom w:val="single" w:color="CCCCCC" w:sz="6" w:space="6"/>
        </w:pBdr>
        <w:spacing w:after="240" w:before="0"/>
      </w:pPr>
      <w:r>
        <w:rPr>
          <w:rFonts w:ascii="Arial" w:cs="Arial" w:eastAsia="Arial" w:hAnsi="Arial"/>
          <w:b/>
          <w:bCs/>
          <w:sz w:val="28"/>
          <w:szCs w:val="28"/>
        </w:rPr>
        <w:t xml:space="preserve">4. Is There Really Plenty of Fish in the Sea?</w:t>
      </w:r>
    </w:p>
    <w:p>
      <w:pPr>
        <w:spacing w:after="160" w:before="160"/>
      </w:pPr>
      <w:r>
        <w:rPr>
          <w:rFonts w:ascii="Arial" w:cs="Arial" w:eastAsia="Arial" w:hAnsi="Arial"/>
          <w:sz w:val="22"/>
          <w:szCs w:val="22"/>
        </w:rPr>
        <w:t xml:space="preserve">The internet has done something peculiar to the way we think about options. It has made everything feel abundant. Millions of people on dating apps. Thousands of potential business partners on LinkedIn. Hundreds of publishers accepting submissions. The sheer volume creates the impression of infinite choice, and we have started making decisions as though that impression were true.</w:t>
      </w:r>
    </w:p>
    <w:p>
      <w:pPr>
        <w:spacing w:after="160" w:before="160"/>
      </w:pPr>
      <w:r>
        <w:rPr>
          <w:rFonts w:ascii="Arial" w:cs="Arial" w:eastAsia="Arial" w:hAnsi="Arial"/>
          <w:sz w:val="22"/>
          <w:szCs w:val="22"/>
        </w:rPr>
        <w:t xml:space="preserve">It is not.</w:t>
      </w:r>
    </w:p>
    <w:p>
      <w:pPr>
        <w:spacing w:after="160" w:before="160"/>
      </w:pPr>
      <w:r>
        <w:rPr>
          <w:rFonts w:ascii="Arial" w:cs="Arial" w:eastAsia="Arial" w:hAnsi="Arial"/>
          <w:sz w:val="22"/>
          <w:szCs w:val="22"/>
        </w:rPr>
        <w:t xml:space="preserve">Think about what it actually takes to find the right publisher for a memoir you have written. On paper the market is large. There are hundreds of publishing houses globally, thousands of literary agents, and more platforms than ever for getting a book into the world. The sea looks full.</w:t>
      </w:r>
    </w:p>
    <w:p>
      <w:pPr>
        <w:spacing w:after="160" w:before="160"/>
      </w:pPr>
      <w:r>
        <w:rPr>
          <w:rFonts w:ascii="Arial" w:cs="Arial" w:eastAsia="Arial" w:hAnsi="Arial"/>
          <w:sz w:val="22"/>
          <w:szCs w:val="22"/>
        </w:rPr>
        <w:t xml:space="preserve">Then add your real constraints. You want a publisher who connects with your specific voice and subject matter. You want to retain editing rights. You need a timeline that works around your schedule. You want fair commercial terms. You want someone who will actively invest in getting the book read.</w:t>
      </w:r>
    </w:p>
    <w:p>
      <w:pPr>
        <w:spacing w:after="160" w:before="160"/>
      </w:pPr>
      <w:r>
        <w:rPr>
          <w:rFonts w:ascii="Arial" w:cs="Arial" w:eastAsia="Arial" w:hAnsi="Arial"/>
          <w:sz w:val="22"/>
          <w:szCs w:val="22"/>
        </w:rPr>
        <w:t xml:space="preserve">Suddenly the sea gets a lot smaller. You are probably looking at five real options. Possibly fewer.</w:t>
      </w:r>
    </w:p>
    <w:p>
      <w:pPr>
        <w:spacing w:after="160" w:before="160"/>
      </w:pPr>
      <w:r>
        <w:rPr>
          <w:rFonts w:ascii="Arial" w:cs="Arial" w:eastAsia="Arial" w:hAnsi="Arial"/>
          <w:sz w:val="22"/>
          <w:szCs w:val="22"/>
        </w:rPr>
        <w:t xml:space="preserve">The dating app parallel is not coincidental. The logic is identical. You can technically swipe on someone in Sydney from Paris. But the practical reality of building something meaningful across that distance means that person was never really in your pool to begin with. The interface created the illusion of availability.</w:t>
      </w:r>
    </w:p>
    <w:p>
      <w:pPr>
        <w:spacing w:after="160" w:before="160"/>
      </w:pPr>
      <w:r>
        <w:rPr>
          <w:rFonts w:ascii="Arial" w:cs="Arial" w:eastAsia="Arial" w:hAnsi="Arial"/>
          <w:sz w:val="22"/>
          <w:szCs w:val="22"/>
        </w:rPr>
        <w:t xml:space="preserve">The problem with the abundance illusion goes beyond setting unrealistic expectations. It changes behaviour. When we believe options are endless, we hold out longer, commit later, and walk away from strong fits in search of perfect ones. In dating, this is a familiar pattern. In business, it is a costly one.</w:t>
      </w:r>
    </w:p>
    <w:p>
      <w:pPr>
        <w:spacing w:after="160" w:before="160"/>
      </w:pPr>
      <w:r>
        <w:rPr>
          <w:rFonts w:ascii="Arial" w:cs="Arial" w:eastAsia="Arial" w:hAnsi="Arial"/>
          <w:sz w:val="22"/>
          <w:szCs w:val="22"/>
        </w:rPr>
        <w:t xml:space="preserve">The lesson is about precision. Define the pool that genuinely meets your real constraints, and work it with the attention it deserves. Stop treating the whole sea as fair game just because the internet made it visible.</w:t>
      </w:r>
    </w:p>
    <w:p>
      <w:pPr>
        <w:spacing w:after="160" w:before="160"/>
      </w:pPr>
      <w:r>
        <w:rPr>
          <w:rFonts w:ascii="Arial" w:cs="Arial" w:eastAsia="Arial" w:hAnsi="Arial"/>
          <w:sz w:val="22"/>
          <w:szCs w:val="22"/>
        </w:rPr>
        <w:t xml:space="preserve">There are fewer fish than we think. The ones that actually fit are worth finding properly.</w:t>
      </w:r>
    </w:p>
    <w:p>
      <w:pPr>
        <w:spacing w:before="480"/>
      </w:pPr>
      <w:r>
        <w:t xml:space="preserve"/>
      </w:r>
    </w:p>
    <w:p>
      <w:pPr>
        <w:pBdr>
          <w:bottom w:val="single" w:color="CCCCCC" w:sz="6" w:space="6"/>
        </w:pBdr>
        <w:spacing w:after="240" w:before="0"/>
      </w:pPr>
      <w:r>
        <w:rPr>
          <w:rFonts w:ascii="Arial" w:cs="Arial" w:eastAsia="Arial" w:hAnsi="Arial"/>
          <w:b/>
          <w:bCs/>
          <w:sz w:val="28"/>
          <w:szCs w:val="28"/>
        </w:rPr>
        <w:t xml:space="preserve">5. What Coca-Cola Understands About the Modern Business Ecosystem That Most Companies Still Don't</w:t>
      </w:r>
    </w:p>
    <w:p>
      <w:pPr>
        <w:spacing w:after="160" w:before="160"/>
      </w:pPr>
      <w:r>
        <w:rPr>
          <w:rFonts w:ascii="Arial" w:cs="Arial" w:eastAsia="Arial" w:hAnsi="Arial"/>
          <w:sz w:val="22"/>
          <w:szCs w:val="22"/>
        </w:rPr>
        <w:t xml:space="preserve">Most large consumer goods companies treat partnerships as a tactic. A limited-edition co-brand here, a distribution deal there. Coca-Cola treats partnerships as the architecture of the entire business. And the numbers show exactly why that distinction matters.</w:t>
      </w:r>
    </w:p>
    <w:p>
      <w:pPr>
        <w:spacing w:after="160" w:before="160"/>
      </w:pPr>
      <w:r>
        <w:rPr>
          <w:rFonts w:ascii="Arial" w:cs="Arial" w:eastAsia="Arial" w:hAnsi="Arial"/>
          <w:sz w:val="22"/>
          <w:szCs w:val="22"/>
        </w:rPr>
        <w:t xml:space="preserve">In 2024, Coca-Cola reported $47.1 billion in net revenues, with organic revenues growing 12% for the full year. This is a 133-year-old company selling fizzy water in an era of health-conscious consumers and inflation-squeezed households. That kind of growth does not happen by accident. It happens because of a deliberate, compounding ecosystem strategy that most of its peers are only beginning to understand.</w:t>
      </w:r>
    </w:p>
    <w:p>
      <w:pPr>
        <w:spacing w:after="160" w:before="160"/>
      </w:pPr>
      <w:r>
        <w:rPr>
          <w:rFonts w:ascii="Arial" w:cs="Arial" w:eastAsia="Arial" w:hAnsi="Arial"/>
          <w:sz w:val="22"/>
          <w:szCs w:val="22"/>
        </w:rPr>
        <w:t xml:space="preserve">Start with technology. In April 2024, Coca-Cola committed $1.1 billion to a five-year partnership with Microsoft, making Azure its globally preferred cloud and AI platform across its entire bottling network. That is not a vendor relationship. That is a shared infrastructure bet, and most of Coca-Cola's independent bottlers followed suit, creating a unified intelligence layer across 200-plus brands in nearly every market on earth. The company also maintains a global AWS contract for parallel cloud capabilities, and works with WPP and Publicis to turn that data into a real-time marketing intelligence system it internally calls all weather.</w:t>
      </w:r>
    </w:p>
    <w:p>
      <w:pPr>
        <w:spacing w:after="160" w:before="160"/>
      </w:pPr>
      <w:r>
        <w:rPr>
          <w:rFonts w:ascii="Arial" w:cs="Arial" w:eastAsia="Arial" w:hAnsi="Arial"/>
          <w:sz w:val="22"/>
          <w:szCs w:val="22"/>
        </w:rPr>
        <w:t xml:space="preserve">Then there is the hardware layer, which almost no one talks about. The Freestyle fountain machine, designed with Dean Kamen, styled by Italian automotive firm Pininfarina, and powered by SAP's supply chain intelligence, is not just a drinks dispenser. It is a first-party data platform collecting 100-plus beverage consumption signals from tens of thousands of locations daily, giving Coca-Cola consumer taste trend data months before any competitor can see it. The Coke and GO autonomous cooler, currently being piloted at Sydney Airport, adds image recognition and AI to the physical retail touchpoint.</w:t>
      </w:r>
    </w:p>
    <w:p>
      <w:pPr>
        <w:spacing w:after="160" w:before="160"/>
      </w:pPr>
      <w:r>
        <w:rPr>
          <w:rFonts w:ascii="Arial" w:cs="Arial" w:eastAsia="Arial" w:hAnsi="Arial"/>
          <w:sz w:val="22"/>
          <w:szCs w:val="22"/>
        </w:rPr>
        <w:t xml:space="preserve">Beyond tech and hardware, Coca-Cola has cracked the brand collaboration model. Its 2024 limited-edition product with Oreo, its Fanta Halloween campaign built in partnership with Universal Pictures and Blumhouse across 50 markets, its sponsorship of the College Football Playoff: none of these are simple marketing deals. Each one is a structured partnership that cross-pollinates audiences, shares equity, and creates demand that neither brand could generate alone.</w:t>
      </w:r>
    </w:p>
    <w:p>
      <w:pPr>
        <w:spacing w:after="160" w:before="160"/>
      </w:pPr>
      <w:r>
        <w:rPr>
          <w:rFonts w:ascii="Arial" w:cs="Arial" w:eastAsia="Arial" w:hAnsi="Arial"/>
          <w:sz w:val="22"/>
          <w:szCs w:val="22"/>
        </w:rPr>
        <w:t xml:space="preserve">The contrast with Keurig Dr Pepper is telling. KDP has $15.4 billion in revenue and has also been building through partnerships, acquiring stakes in GHOST Energy and C4 Nutrabolt and adding distribution deals for Electrolit. But its partnership model is primarily acquisitive and distribution-led. It is building a bigger portfolio. Coca-Cola is building a smarter organism.</w:t>
      </w:r>
    </w:p>
    <w:p>
      <w:pPr>
        <w:spacing w:after="160" w:before="160"/>
      </w:pPr>
      <w:r>
        <w:rPr>
          <w:rFonts w:ascii="Arial" w:cs="Arial" w:eastAsia="Arial" w:hAnsi="Arial"/>
          <w:sz w:val="22"/>
          <w:szCs w:val="22"/>
        </w:rPr>
        <w:t xml:space="preserve">The question worth asking is not how many partnerships does your company have. It is do your partnerships compound. Coca-Cola's technology partners feed its marketing partners. Its marketing partners improve its hardware insights. Its hardware insights sharpen its brand collaborations. Each layer reinforces the next.</w:t>
      </w:r>
    </w:p>
    <w:p>
      <w:pPr>
        <w:spacing w:after="160" w:before="160"/>
      </w:pPr>
      <w:r>
        <w:rPr>
          <w:rFonts w:ascii="Arial" w:cs="Arial" w:eastAsia="Arial" w:hAnsi="Arial"/>
          <w:sz w:val="22"/>
          <w:szCs w:val="22"/>
        </w:rPr>
        <w:t xml:space="preserve">In a market where organic growth is hard and consumer attention is fragmented, that compounding logic is the only durable advantage. The companies that figure that out early enough will not just grow. They will make it structurally harder for anyone to catch 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2026-06-22T11:43:29.729Z</dcterms:created>
  <dcterms:modified xsi:type="dcterms:W3CDTF">2026-06-22T11:43:29.729Z</dcterms:modified>
</cp:coreProperties>
</file>

<file path=docProps/custom.xml><?xml version="1.0" encoding="utf-8"?>
<Properties xmlns="http://schemas.openxmlformats.org/officeDocument/2006/custom-properties" xmlns:vt="http://schemas.openxmlformats.org/officeDocument/2006/docPropsVTypes"/>
</file>