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E3A8A"/>
            <w:tcMar>
              <w:top w:w="200" w:type="dxa"/>
              <w:bottom w:w="200" w:type="dxa"/>
              <w:left w:w="200" w:type="dxa"/>
              <w:right w:w="200" w:type="dxa"/>
            </w:tcMar>
          </w:tcPr>
          <w:p>
            <w:pPr>
              <w:jc w:val="center"/>
            </w:pPr>
            <w:r>
              <w:rPr>
                <w:rFonts w:ascii="Segoe UI" w:hAnsi="Segoe UI"/>
                <w:b/>
                <w:color w:val="FFFFFF"/>
                <w:sz w:val="32"/>
              </w:rPr>
              <w:t>PROPOSAL TEMA PROJECT UKPL</w:t>
              <w:br/>
              <w:t>(UJI KUALITAS PERANGKAT LUNAK)</w:t>
            </w:r>
          </w:p>
          <w:p>
            <w:pPr>
              <w:jc w:val="center"/>
            </w:pPr>
            <w:r>
              <w:rPr>
                <w:rFonts w:ascii="Segoe UI" w:hAnsi="Segoe UI"/>
                <w:i/>
                <w:color w:val="93C5FD"/>
                <w:sz w:val="22"/>
              </w:rPr>
              <w:t>Pengujian Kualitas Aplikasi Generator Jadwal Pelajaran Sekolah Otomatis ('Jadwale')</w:t>
            </w:r>
          </w:p>
        </w:tc>
      </w:tr>
    </w:tbl>
    <w:p/>
    <w:p>
      <w:pPr>
        <w:spacing w:before="160" w:after="120"/>
      </w:pPr>
      <w:r>
        <w:rPr>
          <w:rFonts w:ascii="Segoe UI" w:hAnsi="Segoe UI"/>
          <w:b/>
          <w:color w:val="1E3A8A"/>
          <w:sz w:val="26"/>
        </w:rPr>
        <w:t>I. RINGKASAN TEMA PENGUJIEN</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4680"/>
        <w:gridCol w:w="4680"/>
      </w:tblGrid>
      <w:tr>
        <w:tc>
          <w:tcPr>
            <w:tcW w:type="dxa" w:w="2592"/>
            <w:shd w:fill="F3F4F6"/>
            <w:tcMar>
              <w:top w:w="120" w:type="dxa"/>
              <w:bottom w:w="120" w:type="dxa"/>
              <w:left w:w="120" w:type="dxa"/>
              <w:right w:w="120" w:type="dxa"/>
            </w:tcMar>
          </w:tcPr>
          <w:p>
            <w:r>
              <w:rPr>
                <w:b/>
                <w:color w:val="111827"/>
              </w:rPr>
              <w:t>Tema</w:t>
            </w:r>
          </w:p>
        </w:tc>
        <w:tc>
          <w:tcPr>
            <w:tcW w:type="dxa" w:w="6768"/>
            <w:tcMar>
              <w:top w:w="120" w:type="dxa"/>
              <w:bottom w:w="120" w:type="dxa"/>
              <w:left w:w="120" w:type="dxa"/>
              <w:right w:w="120" w:type="dxa"/>
            </w:tcMar>
          </w:tcPr>
          <w:p>
            <w:r>
              <w:rPr>
                <w:color w:val="374151"/>
              </w:rPr>
              <w:t>Pengujian Kualitas Fungsional, Usability, dan Performa pada Aplikasi Generator Jadwal Pelajaran Sekolah Otomatis Berbasis AI ('Jadwale') Menggunakan Metode Black Box Testing, System Usability Scale (SUS), dan Automated E2E Testing</w:t>
            </w:r>
          </w:p>
        </w:tc>
      </w:tr>
      <w:tr>
        <w:tc>
          <w:tcPr>
            <w:tcW w:type="dxa" w:w="2592"/>
            <w:shd w:fill="F3F4F6"/>
            <w:tcMar>
              <w:top w:w="120" w:type="dxa"/>
              <w:bottom w:w="120" w:type="dxa"/>
              <w:left w:w="120" w:type="dxa"/>
              <w:right w:w="120" w:type="dxa"/>
            </w:tcMar>
          </w:tcPr>
          <w:p>
            <w:r>
              <w:rPr>
                <w:b/>
                <w:color w:val="111827"/>
              </w:rPr>
              <w:t>Tempat</w:t>
            </w:r>
          </w:p>
        </w:tc>
        <w:tc>
          <w:tcPr>
            <w:tcW w:type="dxa" w:w="6768"/>
            <w:tcMar>
              <w:top w:w="120" w:type="dxa"/>
              <w:bottom w:w="120" w:type="dxa"/>
              <w:left w:w="120" w:type="dxa"/>
              <w:right w:w="120" w:type="dxa"/>
            </w:tcMar>
          </w:tcPr>
          <w:p>
            <w:r>
              <w:rPr>
                <w:color w:val="374151"/>
              </w:rPr>
              <w:t>Lingkungan Pengujian Laboratorium Software Engineering / SD Negeri Nusantara (Studi Kasus Pengguna Guru &amp; Admin Sekolah)</w:t>
            </w:r>
          </w:p>
        </w:tc>
      </w:tr>
      <w:tr>
        <w:tc>
          <w:tcPr>
            <w:tcW w:type="dxa" w:w="2592"/>
            <w:shd w:fill="F3F4F6"/>
            <w:tcMar>
              <w:top w:w="120" w:type="dxa"/>
              <w:bottom w:w="120" w:type="dxa"/>
              <w:left w:w="120" w:type="dxa"/>
              <w:right w:w="120" w:type="dxa"/>
            </w:tcMar>
          </w:tcPr>
          <w:p>
            <w:r>
              <w:rPr>
                <w:b/>
                <w:color w:val="111827"/>
              </w:rPr>
              <w:t>Metode Pengujian</w:t>
            </w:r>
          </w:p>
        </w:tc>
        <w:tc>
          <w:tcPr>
            <w:tcW w:type="dxa" w:w="6768"/>
            <w:tcMar>
              <w:top w:w="120" w:type="dxa"/>
              <w:bottom w:w="120" w:type="dxa"/>
              <w:left w:w="120" w:type="dxa"/>
              <w:right w:w="120" w:type="dxa"/>
            </w:tcMar>
          </w:tcPr>
          <w:p>
            <w:r>
              <w:rPr>
                <w:color w:val="374151"/>
              </w:rPr>
              <w:t>1. Black Box Testing (Equivalence Partitioning &amp; Boundary Value Analysis)</w:t>
              <w:br/>
              <w:t>2. Automated End-to-End (E2E) Testing (Playwright / Chrome DevTools)</w:t>
              <w:br/>
              <w:t>3. Usability Testing (System Usability Scale - SUS)</w:t>
              <w:br/>
              <w:t>4. Standards ISO/IEC 25010 Quality Model (Functional Suitability, Usability, Reliability, Performance Efficiency)</w:t>
            </w:r>
          </w:p>
        </w:tc>
      </w:tr>
      <w:tr>
        <w:tc>
          <w:tcPr>
            <w:tcW w:type="dxa" w:w="2592"/>
            <w:shd w:fill="F3F4F6"/>
            <w:tcMar>
              <w:top w:w="120" w:type="dxa"/>
              <w:bottom w:w="120" w:type="dxa"/>
              <w:left w:w="120" w:type="dxa"/>
              <w:right w:w="120" w:type="dxa"/>
            </w:tcMar>
          </w:tcPr>
          <w:p>
            <w:r>
              <w:rPr>
                <w:b/>
                <w:color w:val="111827"/>
              </w:rPr>
              <w:t>Alat Pengambilan Data</w:t>
            </w:r>
          </w:p>
        </w:tc>
        <w:tc>
          <w:tcPr>
            <w:tcW w:type="dxa" w:w="6768"/>
            <w:tcMar>
              <w:top w:w="120" w:type="dxa"/>
              <w:bottom w:w="120" w:type="dxa"/>
              <w:left w:w="120" w:type="dxa"/>
              <w:right w:w="120" w:type="dxa"/>
            </w:tcMar>
          </w:tcPr>
          <w:p>
            <w:r>
              <w:rPr>
                <w:color w:val="374151"/>
              </w:rPr>
              <w:t>1. Lembar Skenario Uji &amp; Matriks Hasil (Test Case Matrix Sheet)</w:t>
              <w:br/>
              <w:t>2. Kuisioner Terstruktur System Usability Scale (SUS) 10 Indikator</w:t>
              <w:br/>
              <w:t>3. Tools Otomatisasi (Playwright E2E Test Suite &amp; Chrome DevTools Protocol)</w:t>
              <w:br/>
              <w:t>4. Performance &amp; API Testing Tools (Postman API Client &amp; Apache JMeter / k6 Load Tester)</w:t>
            </w:r>
          </w:p>
        </w:tc>
      </w:tr>
    </w:tbl>
    <w:p/>
    <w:p>
      <w:pPr>
        <w:spacing w:before="240" w:after="120"/>
      </w:pPr>
      <w:r>
        <w:rPr>
          <w:rFonts w:ascii="Segoe UI" w:hAnsi="Segoe UI"/>
          <w:b/>
          <w:color w:val="1E3A8A"/>
          <w:sz w:val="26"/>
        </w:rPr>
        <w:t>II. LATAR BELAKANG DAN DESKRIPSI APLIKASI ('JADWALE')</w:t>
      </w:r>
    </w:p>
    <w:p>
      <w:r>
        <w:t>Aplikasi 'Jadwale' merupakan sistem penjadwalan otomatis untuk sekolah dasar berbasis web yang memanfaatkan algoritma Constraint Satisfaction Problem (CSP) AI. Sistem ini dirancang untuk menyelesaikan kompleksitas penyusunan jadwal pelajaran tanpa terjadi bentrok jadwal guru, bentrok kelas, maupun jadwal bentrok mata pelajaran.</w:t>
      </w:r>
    </w:p>
    <w:p>
      <w:r>
        <w:t>Aplikasi ini memiliki 5 (lima) tingkatan akses pengguna (Role-Based Access Control - RBAC) yang saling terintegrasi secara realtime:</w:t>
        <w:br/>
      </w:r>
    </w:p>
    <w:p>
      <w:pPr>
        <w:pStyle w:val="ListBullet"/>
      </w:pPr>
      <w:r>
        <w:rPr>
          <w:b/>
        </w:rPr>
        <w:t xml:space="preserve">Superadmin: </w:t>
      </w:r>
      <w:r>
        <w:t>Mengelola registrasi sekolah, memverifikasi akun Admin Sekolah, mengelola seluruh pengguna platform, dan memantau status sistem.</w:t>
      </w:r>
    </w:p>
    <w:p>
      <w:pPr>
        <w:pStyle w:val="ListBullet"/>
      </w:pPr>
      <w:r>
        <w:rPr>
          <w:b/>
        </w:rPr>
        <w:t xml:space="preserve">Admin Sekolah: </w:t>
      </w:r>
      <w:r>
        <w:t>Mengelola master data guru, kelas, mata pelajaran, mengonfigurasi alokasi JP per minggu, serta memverifikasi pendaftaran pendaftar akun guru di sekolahnya.</w:t>
      </w:r>
    </w:p>
    <w:p>
      <w:pPr>
        <w:pStyle w:val="ListBullet"/>
      </w:pPr>
      <w:r>
        <w:rPr>
          <w:b/>
        </w:rPr>
        <w:t xml:space="preserve">Tenaga Pendidik (Guru): </w:t>
      </w:r>
      <w:r>
        <w:t>Melihat jadwal mengajar pribadi mingguan, melihat jadwal umum sekolah, serta menerima notifikasi status verifikasi akun.</w:t>
      </w:r>
    </w:p>
    <w:p>
      <w:pPr>
        <w:pStyle w:val="ListBullet"/>
      </w:pPr>
      <w:r>
        <w:rPr>
          <w:b/>
        </w:rPr>
        <w:t xml:space="preserve">User Biasa / Wali Murid: </w:t>
      </w:r>
      <w:r>
        <w:t>Melihat pratinjau jadwal sekolah publik yang dibagikan melalui tautan unik (Read Only).</w:t>
      </w:r>
    </w:p>
    <w:p>
      <w:pPr>
        <w:pStyle w:val="ListBullet"/>
      </w:pPr>
      <w:r>
        <w:rPr>
          <w:b/>
        </w:rPr>
        <w:t xml:space="preserve">Designer: </w:t>
      </w:r>
      <w:r>
        <w:t>Membuat dan mengelola template desain tampilan cetak/ekspor jadwal pelajaran.</w:t>
      </w:r>
    </w:p>
    <w:p>
      <w:pPr>
        <w:spacing w:before="240" w:after="120"/>
      </w:pPr>
      <w:r>
        <w:rPr>
          <w:rFonts w:ascii="Segoe UI" w:hAnsi="Segoe UI"/>
          <w:b/>
          <w:color w:val="1E3A8A"/>
          <w:sz w:val="26"/>
        </w:rPr>
        <w:t>III. RUANG LINGKUP DAN TUJUAN PENGUJIEN (SCOPE &amp; OBJECTIVES)</w:t>
      </w:r>
    </w:p>
    <w:p>
      <w:r>
        <w:t>Tujuan utama dari Pengujian Kualitas Perangkat Lunak (UKPL) ini adalah:</w:t>
        <w:br/>
      </w:r>
    </w:p>
    <w:p>
      <w:pPr>
        <w:pStyle w:val="ListBullet"/>
      </w:pPr>
      <w:r>
        <w:t>Memastikan seluruh fungsi fungsionalitas aplikasi (autentikasi JWT, deteksi domain registrasi otomatis .sch.id / guru.sd.belajar.id, algoritma generator jadwal CSP, dan manajemen user) berjalan 100% tanpa defect.</w:t>
      </w:r>
    </w:p>
    <w:p>
      <w:pPr>
        <w:pStyle w:val="ListBullet"/>
      </w:pPr>
      <w:r>
        <w:t>Mengukur tingkat kemudahan penggunaan (Usability) dan kepuasan antarmuka pengguna (UI/UX) pada tampilan Desktop dan Mobile menggunakan kuisioner System Usability Scale (SUS).</w:t>
      </w:r>
    </w:p>
    <w:p>
      <w:pPr>
        <w:pStyle w:val="ListBullet"/>
      </w:pPr>
      <w:r>
        <w:t>Menguji reliabilitas dan stabilitas sistem saat mengeksekusi penyusunan jadwal otomatis berbasis algoritma CSP untuk beban jadwal sekolah paralel.</w:t>
      </w:r>
    </w:p>
    <w:p>
      <w:pPr>
        <w:pStyle w:val="ListBullet"/>
      </w:pPr>
      <w:r>
        <w:t>Memverifikasi keamanan hak akses (RBAC Security) sehingga pengguna tidak dapat mengakses resource di luar wewenangnya.</w:t>
      </w:r>
    </w:p>
    <w:p>
      <w:pPr>
        <w:spacing w:before="240" w:after="120"/>
      </w:pPr>
      <w:r>
        <w:rPr>
          <w:rFonts w:ascii="Segoe UI" w:hAnsi="Segoe UI"/>
          <w:b/>
          <w:color w:val="1E3A8A"/>
          <w:sz w:val="26"/>
        </w:rPr>
        <w:t>IV. METODOLOGI PENGUJIEN RINCIAN (DETAILED TESTING METHODOLOGY)</w:t>
      </w:r>
    </w:p>
    <w:p>
      <w:pPr>
        <w:spacing w:after="120"/>
      </w:pPr>
      <w:r>
        <w:rPr>
          <w:b/>
          <w:color w:val="1E40AF"/>
        </w:rPr>
        <w:t>1. Black Box Testing (Boundary Value &amp; Equivalence Partitioning)</w:t>
        <w:br/>
      </w:r>
      <w:r>
        <w:t>Pengujian berfokus pada masukan dan keluaran sistem tanpa melihat kode internal. Teknik Equivalence Partitioning digunakan untuk menguji validasi domain email (.sch.id -&gt; Admin Sekolah, guru.sd.belajar.id -&gt; Guru), sedangkan Boundary Value Analysis digunakan untuk menguji batas alokasi JP (1-15 JP) dan durasi waktu istirahat.</w:t>
      </w:r>
    </w:p>
    <w:p>
      <w:pPr>
        <w:spacing w:after="120"/>
      </w:pPr>
      <w:r>
        <w:rPr>
          <w:b/>
          <w:color w:val="1E40AF"/>
        </w:rPr>
        <w:t>2. Automated End-to-End (E2E) Testing</w:t>
        <w:br/>
      </w:r>
      <w:r>
        <w:t>Pengujian alur pengguna dari awal hingga akhir secara otomatis menggunakan alat penguji browser (Playwright / Chrome DevTools). Pengujian mencakup alur registrasi -&gt; verifikasi superadmin -&gt; pendaftaran guru -&gt; penyusunan jadwal otomatis -&gt; ekspor jadwal PDF/Excel.</w:t>
      </w:r>
    </w:p>
    <w:p>
      <w:pPr>
        <w:spacing w:after="120"/>
      </w:pPr>
      <w:r>
        <w:rPr>
          <w:b/>
          <w:color w:val="1E40AF"/>
        </w:rPr>
        <w:t>3. Usability Testing (System Usability Scale - SUS)</w:t>
        <w:br/>
      </w:r>
      <w:r>
        <w:t>Mengukur pengalaman pengguna (UX) dengan menyebarkan kuisioner 10 pertanyaan standar SUS kepada 20+ responden (Admin Sekolah, Guru, dan Pengguna Umum) untuk menghitung skor Usability dari rentang 0 - 100 (Target Grade A / Skor &gt; 80).</w:t>
      </w:r>
    </w:p>
    <w:p>
      <w:pPr>
        <w:spacing w:after="120"/>
      </w:pPr>
      <w:r>
        <w:rPr>
          <w:b/>
          <w:color w:val="1E40AF"/>
        </w:rPr>
        <w:t>4. Testing Berdasarkan Kriteria ISO/IEC 25010</w:t>
        <w:br/>
      </w:r>
      <w:r>
        <w:t>Pengujian dinilai berdasarkan karakteristik standar ISO 25010: Functional Suitability (Kesesuaian fungsi), Performance Efficiency (Waktu respon generator CSP &lt; 15 detik), Usability (Responsivitas UI mobile/desktop), dan Security (Autentikasi JWT &amp; Otorisasi RolesGuard).</w:t>
      </w:r>
    </w:p>
    <w:p>
      <w:pPr>
        <w:spacing w:before="240" w:after="120"/>
      </w:pPr>
      <w:r>
        <w:rPr>
          <w:rFonts w:ascii="Segoe UI" w:hAnsi="Segoe UI"/>
          <w:b/>
          <w:color w:val="1E3A8A"/>
          <w:sz w:val="26"/>
        </w:rPr>
        <w:t>V. ALAT DAN INSTRUMEN PENGAMBILAN DATA</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3120"/>
        <w:gridCol w:w="3120"/>
        <w:gridCol w:w="3120"/>
      </w:tblGrid>
      <w:tr>
        <w:tc>
          <w:tcPr>
            <w:tcW w:type="dxa" w:w="3120"/>
            <w:shd w:fill="1E3A8A"/>
            <w:tcMar>
              <w:top w:w="100" w:type="dxa"/>
              <w:bottom w:w="100" w:type="dxa"/>
              <w:left w:w="100" w:type="dxa"/>
              <w:right w:w="100" w:type="dxa"/>
            </w:tcMar>
          </w:tcPr>
          <w:p>
            <w:pPr>
              <w:jc w:val="center"/>
            </w:pPr>
            <w:r>
              <w:rPr>
                <w:b/>
                <w:color w:val="FFFFFF"/>
              </w:rPr>
              <w:t>Kategori Alat</w:t>
            </w:r>
          </w:p>
        </w:tc>
        <w:tc>
          <w:tcPr>
            <w:tcW w:type="dxa" w:w="3120"/>
            <w:shd w:fill="1E3A8A"/>
            <w:tcMar>
              <w:top w:w="100" w:type="dxa"/>
              <w:bottom w:w="100" w:type="dxa"/>
              <w:left w:w="100" w:type="dxa"/>
              <w:right w:w="100" w:type="dxa"/>
            </w:tcMar>
          </w:tcPr>
          <w:p>
            <w:pPr>
              <w:jc w:val="center"/>
            </w:pPr>
            <w:r>
              <w:rPr>
                <w:b/>
                <w:color w:val="FFFFFF"/>
              </w:rPr>
              <w:t>Nama Alat / Instrumen</w:t>
            </w:r>
          </w:p>
        </w:tc>
        <w:tc>
          <w:tcPr>
            <w:tcW w:type="dxa" w:w="3120"/>
            <w:shd w:fill="1E3A8A"/>
            <w:tcMar>
              <w:top w:w="100" w:type="dxa"/>
              <w:bottom w:w="100" w:type="dxa"/>
              <w:left w:w="100" w:type="dxa"/>
              <w:right w:w="100" w:type="dxa"/>
            </w:tcMar>
          </w:tcPr>
          <w:p>
            <w:pPr>
              <w:jc w:val="center"/>
            </w:pPr>
            <w:r>
              <w:rPr>
                <w:b/>
                <w:color w:val="FFFFFF"/>
              </w:rPr>
              <w:t>Fungsi &amp; Peruntukan Pengambilan Data</w:t>
            </w:r>
          </w:p>
        </w:tc>
      </w:tr>
      <w:tr>
        <w:tc>
          <w:tcPr>
            <w:tcW w:type="dxa" w:w="2592"/>
            <w:shd w:fill="F9FAFB"/>
            <w:tcMar>
              <w:top w:w="100" w:type="dxa"/>
              <w:bottom w:w="100" w:type="dxa"/>
              <w:left w:w="100" w:type="dxa"/>
              <w:right w:w="100" w:type="dxa"/>
            </w:tcMar>
          </w:tcPr>
          <w:p>
            <w:r>
              <w:rPr>
                <w:color w:val="374151"/>
              </w:rPr>
              <w:t>Dokumentasi Pengujian</w:t>
            </w:r>
          </w:p>
        </w:tc>
        <w:tc>
          <w:tcPr>
            <w:tcW w:type="dxa" w:w="3168"/>
            <w:shd w:fill="F9FAFB"/>
            <w:tcMar>
              <w:top w:w="100" w:type="dxa"/>
              <w:bottom w:w="100" w:type="dxa"/>
              <w:left w:w="100" w:type="dxa"/>
              <w:right w:w="100" w:type="dxa"/>
            </w:tcMar>
          </w:tcPr>
          <w:p>
            <w:r>
              <w:rPr>
                <w:color w:val="374151"/>
              </w:rPr>
              <w:t>Lembar Matriks Skenario Uji (Test Case Sheet)</w:t>
            </w:r>
          </w:p>
        </w:tc>
        <w:tc>
          <w:tcPr>
            <w:tcW w:type="dxa" w:w="3600"/>
            <w:shd w:fill="F9FAFB"/>
            <w:tcMar>
              <w:top w:w="100" w:type="dxa"/>
              <w:bottom w:w="100" w:type="dxa"/>
              <w:left w:w="100" w:type="dxa"/>
              <w:right w:w="100" w:type="dxa"/>
            </w:tcMar>
          </w:tcPr>
          <w:p>
            <w:r>
              <w:rPr>
                <w:color w:val="374151"/>
              </w:rPr>
              <w:t>Mencatat skenario pengujian fungsionalitas (Pass/Fail, Expected vs Actual Output).</w:t>
            </w:r>
          </w:p>
        </w:tc>
      </w:tr>
      <w:tr>
        <w:tc>
          <w:tcPr>
            <w:tcW w:type="dxa" w:w="2592"/>
            <w:shd w:fill="FFFFFF"/>
            <w:tcMar>
              <w:top w:w="100" w:type="dxa"/>
              <w:bottom w:w="100" w:type="dxa"/>
              <w:left w:w="100" w:type="dxa"/>
              <w:right w:w="100" w:type="dxa"/>
            </w:tcMar>
          </w:tcPr>
          <w:p>
            <w:r>
              <w:rPr>
                <w:color w:val="374151"/>
              </w:rPr>
              <w:t>Survei Usability</w:t>
            </w:r>
          </w:p>
        </w:tc>
        <w:tc>
          <w:tcPr>
            <w:tcW w:type="dxa" w:w="3168"/>
            <w:shd w:fill="FFFFFF"/>
            <w:tcMar>
              <w:top w:w="100" w:type="dxa"/>
              <w:bottom w:w="100" w:type="dxa"/>
              <w:left w:w="100" w:type="dxa"/>
              <w:right w:w="100" w:type="dxa"/>
            </w:tcMar>
          </w:tcPr>
          <w:p>
            <w:r>
              <w:rPr>
                <w:color w:val="374151"/>
              </w:rPr>
              <w:t>Kuisioner SUS (Google Forms / Lembar Cetak)</w:t>
            </w:r>
          </w:p>
        </w:tc>
        <w:tc>
          <w:tcPr>
            <w:tcW w:type="dxa" w:w="3600"/>
            <w:shd w:fill="FFFFFF"/>
            <w:tcMar>
              <w:top w:w="100" w:type="dxa"/>
              <w:bottom w:w="100" w:type="dxa"/>
              <w:left w:w="100" w:type="dxa"/>
              <w:right w:w="100" w:type="dxa"/>
            </w:tcMar>
          </w:tcPr>
          <w:p>
            <w:r>
              <w:rPr>
                <w:color w:val="374151"/>
              </w:rPr>
              <w:t>Mengumpulkan penilaian persepsi pengguna terhadap kemudahan aplikasi Jadwale.</w:t>
            </w:r>
          </w:p>
        </w:tc>
      </w:tr>
      <w:tr>
        <w:tc>
          <w:tcPr>
            <w:tcW w:type="dxa" w:w="2592"/>
            <w:shd w:fill="F9FAFB"/>
            <w:tcMar>
              <w:top w:w="100" w:type="dxa"/>
              <w:bottom w:w="100" w:type="dxa"/>
              <w:left w:w="100" w:type="dxa"/>
              <w:right w:w="100" w:type="dxa"/>
            </w:tcMar>
          </w:tcPr>
          <w:p>
            <w:r>
              <w:rPr>
                <w:color w:val="374151"/>
              </w:rPr>
              <w:t>Otomatisasi E2E</w:t>
            </w:r>
          </w:p>
        </w:tc>
        <w:tc>
          <w:tcPr>
            <w:tcW w:type="dxa" w:w="3168"/>
            <w:shd w:fill="F9FAFB"/>
            <w:tcMar>
              <w:top w:w="100" w:type="dxa"/>
              <w:bottom w:w="100" w:type="dxa"/>
              <w:left w:w="100" w:type="dxa"/>
              <w:right w:w="100" w:type="dxa"/>
            </w:tcMar>
          </w:tcPr>
          <w:p>
            <w:r>
              <w:rPr>
                <w:color w:val="374151"/>
              </w:rPr>
              <w:t>Playwright &amp; Chrome DevTools Protocol</w:t>
            </w:r>
          </w:p>
        </w:tc>
        <w:tc>
          <w:tcPr>
            <w:tcW w:type="dxa" w:w="3600"/>
            <w:shd w:fill="F9FAFB"/>
            <w:tcMar>
              <w:top w:w="100" w:type="dxa"/>
              <w:bottom w:w="100" w:type="dxa"/>
              <w:left w:w="100" w:type="dxa"/>
              <w:right w:w="100" w:type="dxa"/>
            </w:tcMar>
          </w:tcPr>
          <w:p>
            <w:r>
              <w:rPr>
                <w:color w:val="374151"/>
              </w:rPr>
              <w:t>Merekam dan mengeksekusi skenario alur navigasi mobile/desktop secara otomatis.</w:t>
            </w:r>
          </w:p>
        </w:tc>
      </w:tr>
      <w:tr>
        <w:tc>
          <w:tcPr>
            <w:tcW w:type="dxa" w:w="2592"/>
            <w:shd w:fill="FFFFFF"/>
            <w:tcMar>
              <w:top w:w="100" w:type="dxa"/>
              <w:bottom w:w="100" w:type="dxa"/>
              <w:left w:w="100" w:type="dxa"/>
              <w:right w:w="100" w:type="dxa"/>
            </w:tcMar>
          </w:tcPr>
          <w:p>
            <w:r>
              <w:rPr>
                <w:color w:val="374151"/>
              </w:rPr>
              <w:t>Pengujian Performa &amp; API</w:t>
            </w:r>
          </w:p>
        </w:tc>
        <w:tc>
          <w:tcPr>
            <w:tcW w:type="dxa" w:w="3168"/>
            <w:shd w:fill="FFFFFF"/>
            <w:tcMar>
              <w:top w:w="100" w:type="dxa"/>
              <w:bottom w:w="100" w:type="dxa"/>
              <w:left w:w="100" w:type="dxa"/>
              <w:right w:w="100" w:type="dxa"/>
            </w:tcMar>
          </w:tcPr>
          <w:p>
            <w:r>
              <w:rPr>
                <w:color w:val="374151"/>
              </w:rPr>
              <w:t>Postman &amp; Apache JMeter / k6</w:t>
            </w:r>
          </w:p>
        </w:tc>
        <w:tc>
          <w:tcPr>
            <w:tcW w:type="dxa" w:w="3600"/>
            <w:shd w:fill="FFFFFF"/>
            <w:tcMar>
              <w:top w:w="100" w:type="dxa"/>
              <w:bottom w:w="100" w:type="dxa"/>
              <w:left w:w="100" w:type="dxa"/>
              <w:right w:w="100" w:type="dxa"/>
            </w:tcMar>
          </w:tcPr>
          <w:p>
            <w:r>
              <w:rPr>
                <w:color w:val="374151"/>
              </w:rPr>
              <w:t>Mengukur latency respon API backend NestJS dan waktu kalkulasi algoritma CSP AI.</w:t>
            </w:r>
          </w:p>
        </w:tc>
      </w:tr>
    </w:tbl>
    <w:p/>
    <w:p>
      <w:pPr>
        <w:spacing w:before="240" w:after="120"/>
      </w:pPr>
      <w:r>
        <w:rPr>
          <w:rFonts w:ascii="Segoe UI" w:hAnsi="Segoe UI"/>
          <w:b/>
          <w:color w:val="1E3A8A"/>
          <w:sz w:val="26"/>
        </w:rPr>
        <w:t>VI. RENCANA JADWAL PELAKSANAAN PENGUJIEN UKPL</w:t>
      </w:r>
    </w:p>
    <w:tbl>
      <w:tblPr>
        <w:tblW w:type="auto" w:w="0"/>
        <w:jc w:val="center"/>
        <w:tblLook w:firstColumn="1" w:firstRow="1" w:lastColumn="0" w:lastRow="0" w:noHBand="0" w:noVBand="1" w:val="04A0"/>
        <w:tblBorders>
          <w:top w:val="single" w:sz="6" w:space="0" w:color="D1D5DB"/>
          <w:bottom w:val="single" w:sz="6" w:space="0" w:color="D1D5DB"/>
          <w:insideH w:val="single" w:sz="6" w:space="0" w:color="D1D5DB"/>
          <w:insideV w:val="none"/>
          <w:left w:val="none"/>
          <w:right w:val="none"/>
        </w:tblBorders>
      </w:tblPr>
      <w:tblGrid>
        <w:gridCol w:w="3120"/>
        <w:gridCol w:w="3120"/>
        <w:gridCol w:w="3120"/>
      </w:tblGrid>
      <w:tr>
        <w:tc>
          <w:tcPr>
            <w:tcW w:type="dxa" w:w="3120"/>
            <w:shd w:fill="1E3A8A"/>
            <w:tcMar>
              <w:top w:w="100" w:type="dxa"/>
              <w:bottom w:w="100" w:type="dxa"/>
              <w:left w:w="100" w:type="dxa"/>
              <w:right w:w="100" w:type="dxa"/>
            </w:tcMar>
          </w:tcPr>
          <w:p>
            <w:pPr>
              <w:jc w:val="center"/>
            </w:pPr>
            <w:r>
              <w:rPr>
                <w:b/>
                <w:color w:val="FFFFFF"/>
              </w:rPr>
              <w:t>Tahapan Pengujian</w:t>
            </w:r>
          </w:p>
        </w:tc>
        <w:tc>
          <w:tcPr>
            <w:tcW w:type="dxa" w:w="3120"/>
            <w:shd w:fill="1E3A8A"/>
            <w:tcMar>
              <w:top w:w="100" w:type="dxa"/>
              <w:bottom w:w="100" w:type="dxa"/>
              <w:left w:w="100" w:type="dxa"/>
              <w:right w:w="100" w:type="dxa"/>
            </w:tcMar>
          </w:tcPr>
          <w:p>
            <w:pPr>
              <w:jc w:val="center"/>
            </w:pPr>
            <w:r>
              <w:rPr>
                <w:b/>
                <w:color w:val="FFFFFF"/>
              </w:rPr>
              <w:t>Aktivitas Pelaksanaan</w:t>
            </w:r>
          </w:p>
        </w:tc>
        <w:tc>
          <w:tcPr>
            <w:tcW w:type="dxa" w:w="3120"/>
            <w:shd w:fill="1E3A8A"/>
            <w:tcMar>
              <w:top w:w="100" w:type="dxa"/>
              <w:bottom w:w="100" w:type="dxa"/>
              <w:left w:w="100" w:type="dxa"/>
              <w:right w:w="100" w:type="dxa"/>
            </w:tcMar>
          </w:tcPr>
          <w:p>
            <w:pPr>
              <w:jc w:val="center"/>
            </w:pPr>
            <w:r>
              <w:rPr>
                <w:b/>
                <w:color w:val="FFFFFF"/>
              </w:rPr>
              <w:t>Estimasi Waktu</w:t>
            </w:r>
          </w:p>
        </w:tc>
      </w:tr>
      <w:tr>
        <w:tc>
          <w:tcPr>
            <w:tcW w:type="dxa" w:w="2592"/>
            <w:shd w:fill="F9FAFB"/>
            <w:tcMar>
              <w:top w:w="100" w:type="dxa"/>
              <w:bottom w:w="100" w:type="dxa"/>
              <w:left w:w="100" w:type="dxa"/>
              <w:right w:w="100" w:type="dxa"/>
            </w:tcMar>
          </w:tcPr>
          <w:p>
            <w:r>
              <w:rPr>
                <w:color w:val="374151"/>
              </w:rPr>
              <w:t>1. Perencanaan &amp; Skenario</w:t>
            </w:r>
          </w:p>
        </w:tc>
        <w:tc>
          <w:tcPr>
            <w:tcW w:type="dxa" w:w="3168"/>
            <w:shd w:fill="F9FAFB"/>
            <w:tcMar>
              <w:top w:w="100" w:type="dxa"/>
              <w:bottom w:w="100" w:type="dxa"/>
              <w:left w:w="100" w:type="dxa"/>
              <w:right w:w="100" w:type="dxa"/>
            </w:tcMar>
          </w:tcPr>
          <w:p>
            <w:r>
              <w:rPr>
                <w:color w:val="374151"/>
              </w:rPr>
              <w:t>Penyusunan Test Plan, Test Case Matrix, dan Kuisioner SUS</w:t>
            </w:r>
          </w:p>
        </w:tc>
        <w:tc>
          <w:tcPr>
            <w:tcW w:type="dxa" w:w="3600"/>
            <w:shd w:fill="F9FAFB"/>
            <w:tcMar>
              <w:top w:w="100" w:type="dxa"/>
              <w:bottom w:w="100" w:type="dxa"/>
              <w:left w:w="100" w:type="dxa"/>
              <w:right w:w="100" w:type="dxa"/>
            </w:tcMar>
          </w:tcPr>
          <w:p>
            <w:r>
              <w:rPr>
                <w:color w:val="374151"/>
              </w:rPr>
              <w:t>Minggu Ke-1</w:t>
            </w:r>
          </w:p>
        </w:tc>
      </w:tr>
      <w:tr>
        <w:tc>
          <w:tcPr>
            <w:tcW w:type="dxa" w:w="2592"/>
            <w:shd w:fill="FFFFFF"/>
            <w:tcMar>
              <w:top w:w="100" w:type="dxa"/>
              <w:bottom w:w="100" w:type="dxa"/>
              <w:left w:w="100" w:type="dxa"/>
              <w:right w:w="100" w:type="dxa"/>
            </w:tcMar>
          </w:tcPr>
          <w:p>
            <w:r>
              <w:rPr>
                <w:color w:val="374151"/>
              </w:rPr>
              <w:t>2. Black Box Testing</w:t>
            </w:r>
          </w:p>
        </w:tc>
        <w:tc>
          <w:tcPr>
            <w:tcW w:type="dxa" w:w="3168"/>
            <w:shd w:fill="FFFFFF"/>
            <w:tcMar>
              <w:top w:w="100" w:type="dxa"/>
              <w:bottom w:w="100" w:type="dxa"/>
              <w:left w:w="100" w:type="dxa"/>
              <w:right w:w="100" w:type="dxa"/>
            </w:tcMar>
          </w:tcPr>
          <w:p>
            <w:r>
              <w:rPr>
                <w:color w:val="374151"/>
              </w:rPr>
              <w:t>Eksekusi pengujian fungsionalitas masukan/keluaran aplikasi</w:t>
            </w:r>
          </w:p>
        </w:tc>
        <w:tc>
          <w:tcPr>
            <w:tcW w:type="dxa" w:w="3600"/>
            <w:shd w:fill="FFFFFF"/>
            <w:tcMar>
              <w:top w:w="100" w:type="dxa"/>
              <w:bottom w:w="100" w:type="dxa"/>
              <w:left w:w="100" w:type="dxa"/>
              <w:right w:w="100" w:type="dxa"/>
            </w:tcMar>
          </w:tcPr>
          <w:p>
            <w:r>
              <w:rPr>
                <w:color w:val="374151"/>
              </w:rPr>
              <w:t>Minggu Ke-2</w:t>
            </w:r>
          </w:p>
        </w:tc>
      </w:tr>
      <w:tr>
        <w:tc>
          <w:tcPr>
            <w:tcW w:type="dxa" w:w="2592"/>
            <w:shd w:fill="F9FAFB"/>
            <w:tcMar>
              <w:top w:w="100" w:type="dxa"/>
              <w:bottom w:w="100" w:type="dxa"/>
              <w:left w:w="100" w:type="dxa"/>
              <w:right w:w="100" w:type="dxa"/>
            </w:tcMar>
          </w:tcPr>
          <w:p>
            <w:r>
              <w:rPr>
                <w:color w:val="374151"/>
              </w:rPr>
              <w:t>3. Automated E2E Testing</w:t>
            </w:r>
          </w:p>
        </w:tc>
        <w:tc>
          <w:tcPr>
            <w:tcW w:type="dxa" w:w="3168"/>
            <w:shd w:fill="F9FAFB"/>
            <w:tcMar>
              <w:top w:w="100" w:type="dxa"/>
              <w:bottom w:w="100" w:type="dxa"/>
              <w:left w:w="100" w:type="dxa"/>
              <w:right w:w="100" w:type="dxa"/>
            </w:tcMar>
          </w:tcPr>
          <w:p>
            <w:r>
              <w:rPr>
                <w:color w:val="374151"/>
              </w:rPr>
              <w:t>Pembuatan &amp; eksekusi script testing otomatis (Playwright)</w:t>
            </w:r>
          </w:p>
        </w:tc>
        <w:tc>
          <w:tcPr>
            <w:tcW w:type="dxa" w:w="3600"/>
            <w:shd w:fill="F9FAFB"/>
            <w:tcMar>
              <w:top w:w="100" w:type="dxa"/>
              <w:bottom w:w="100" w:type="dxa"/>
              <w:left w:w="100" w:type="dxa"/>
              <w:right w:w="100" w:type="dxa"/>
            </w:tcMar>
          </w:tcPr>
          <w:p>
            <w:r>
              <w:rPr>
                <w:color w:val="374151"/>
              </w:rPr>
              <w:t>Minggu Ke-2</w:t>
            </w:r>
          </w:p>
        </w:tc>
      </w:tr>
      <w:tr>
        <w:tc>
          <w:tcPr>
            <w:tcW w:type="dxa" w:w="2592"/>
            <w:shd w:fill="FFFFFF"/>
            <w:tcMar>
              <w:top w:w="100" w:type="dxa"/>
              <w:bottom w:w="100" w:type="dxa"/>
              <w:left w:w="100" w:type="dxa"/>
              <w:right w:w="100" w:type="dxa"/>
            </w:tcMar>
          </w:tcPr>
          <w:p>
            <w:r>
              <w:rPr>
                <w:color w:val="374151"/>
              </w:rPr>
              <w:t>4. Usability Testing (SUS)</w:t>
            </w:r>
          </w:p>
        </w:tc>
        <w:tc>
          <w:tcPr>
            <w:tcW w:type="dxa" w:w="3168"/>
            <w:shd w:fill="FFFFFF"/>
            <w:tcMar>
              <w:top w:w="100" w:type="dxa"/>
              <w:bottom w:w="100" w:type="dxa"/>
              <w:left w:w="100" w:type="dxa"/>
              <w:right w:w="100" w:type="dxa"/>
            </w:tcMar>
          </w:tcPr>
          <w:p>
            <w:r>
              <w:rPr>
                <w:color w:val="374151"/>
              </w:rPr>
              <w:t>Penyebaran kuisioner SUS kepada Guru &amp; Admin Sekolah</w:t>
            </w:r>
          </w:p>
        </w:tc>
        <w:tc>
          <w:tcPr>
            <w:tcW w:type="dxa" w:w="3600"/>
            <w:shd w:fill="FFFFFF"/>
            <w:tcMar>
              <w:top w:w="100" w:type="dxa"/>
              <w:bottom w:w="100" w:type="dxa"/>
              <w:left w:w="100" w:type="dxa"/>
              <w:right w:w="100" w:type="dxa"/>
            </w:tcMar>
          </w:tcPr>
          <w:p>
            <w:r>
              <w:rPr>
                <w:color w:val="374151"/>
              </w:rPr>
              <w:t>Minggu Ke-3</w:t>
            </w:r>
          </w:p>
        </w:tc>
      </w:tr>
      <w:tr>
        <w:tc>
          <w:tcPr>
            <w:tcW w:type="dxa" w:w="2592"/>
            <w:shd w:fill="F9FAFB"/>
            <w:tcMar>
              <w:top w:w="100" w:type="dxa"/>
              <w:bottom w:w="100" w:type="dxa"/>
              <w:left w:w="100" w:type="dxa"/>
              <w:right w:w="100" w:type="dxa"/>
            </w:tcMar>
          </w:tcPr>
          <w:p>
            <w:r>
              <w:rPr>
                <w:color w:val="374151"/>
              </w:rPr>
              <w:t>5. Evaluasi &amp; Laporan</w:t>
            </w:r>
          </w:p>
        </w:tc>
        <w:tc>
          <w:tcPr>
            <w:tcW w:type="dxa" w:w="3168"/>
            <w:shd w:fill="F9FAFB"/>
            <w:tcMar>
              <w:top w:w="100" w:type="dxa"/>
              <w:bottom w:w="100" w:type="dxa"/>
              <w:left w:w="100" w:type="dxa"/>
              <w:right w:w="100" w:type="dxa"/>
            </w:tcMar>
          </w:tcPr>
          <w:p>
            <w:r>
              <w:rPr>
                <w:color w:val="374151"/>
              </w:rPr>
              <w:t>Analisis data hasil pengujian, perhitungan skor SUS, &amp; penyusunan laporan UKPL</w:t>
            </w:r>
          </w:p>
        </w:tc>
        <w:tc>
          <w:tcPr>
            <w:tcW w:type="dxa" w:w="3600"/>
            <w:shd w:fill="F9FAFB"/>
            <w:tcMar>
              <w:top w:w="100" w:type="dxa"/>
              <w:bottom w:w="100" w:type="dxa"/>
              <w:left w:w="100" w:type="dxa"/>
              <w:right w:w="100" w:type="dxa"/>
            </w:tcMar>
          </w:tcPr>
          <w:p>
            <w:r>
              <w:rPr>
                <w:color w:val="374151"/>
              </w:rPr>
              <w:t>Minggu Ke-4</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