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b/>
          <w:bCs/>
          <w:sz w:val="32"/>
          <w:szCs w:val="32"/>
        </w:rPr>
        <w:t xml:space="preserve">PROGRESS PENGOLAHAN DATA</w:t>
      </w:r>
    </w:p>
    <w:p>
      <w:pPr>
        <w:spacing w:after="80"/>
        <w:jc w:val="center"/>
      </w:pPr>
      <w:r>
        <w:rPr>
          <w:b/>
          <w:bCs/>
          <w:sz w:val="28"/>
          <w:szCs w:val="28"/>
        </w:rPr>
        <w:t xml:space="preserve">PENGUJIAN KUALITAS DAN KELAYAKAN SISTEM</w:t>
      </w:r>
    </w:p>
    <w:p>
      <w:pPr>
        <w:spacing w:after="80"/>
        <w:jc w:val="center"/>
      </w:pPr>
      <w:r>
        <w:rPr>
          <w:b/>
          <w:bCs/>
          <w:sz w:val="28"/>
          <w:szCs w:val="28"/>
        </w:rPr>
        <w:t xml:space="preserve">GENERATOR JADWAL PELAJARAN SEKOLAH OTOMATIS</w:t>
      </w:r>
    </w:p>
    <w:p>
      <w:pPr>
        <w:spacing w:after="80"/>
        <w:jc w:val="center"/>
      </w:pPr>
      <w:r>
        <w:rPr>
          <w:b/>
          <w:bCs/>
          <w:i/>
          <w:iCs/>
          <w:sz w:val="32"/>
          <w:szCs w:val="32"/>
        </w:rPr>
        <w:t xml:space="preserve">"JADWALE"</w:t>
      </w:r>
    </w:p>
    <w:p>
      <w:pPr>
        <w:spacing w:after="320"/>
        <w:jc w:val="center"/>
      </w:pPr>
      <w:r>
        <w:rPr>
          <w:sz w:val="24"/>
          <w:szCs w:val="24"/>
        </w:rPr>
        <w:t xml:space="preserve">Berdasarkan Standar ISO/IEC 25010</w:t>
      </w:r>
    </w:p>
    <w:p>
      <w:r>
        <w:t xml:space="preserve"/>
      </w:r>
    </w:p>
    <w:p>
      <w:pPr>
        <w:spacing w:after="80"/>
        <w:jc w:val="center"/>
      </w:pPr>
      <w:r>
        <w:rPr>
          <w:b/>
          <w:bCs/>
          <w:sz w:val="24"/>
          <w:szCs w:val="24"/>
        </w:rPr>
        <w:t xml:space="preserve">Disusun Oleh:</w:t>
      </w:r>
    </w:p>
    <w:p>
      <w:pPr>
        <w:spacing w:after="60"/>
        <w:jc w:val="center"/>
      </w:pPr>
      <w:r>
        <w:rPr>
          <w:sz w:val="24"/>
          <w:szCs w:val="24"/>
        </w:rPr>
        <w:t xml:space="preserve">1. Salma Faizatul Jannah — H1D024066</w:t>
      </w:r>
    </w:p>
    <w:p>
      <w:pPr>
        <w:spacing w:after="60"/>
        <w:jc w:val="center"/>
      </w:pPr>
      <w:r>
        <w:rPr>
          <w:sz w:val="24"/>
          <w:szCs w:val="24"/>
        </w:rPr>
        <w:t xml:space="preserve">2. Nafisah Sekar Ayu — H1D024087</w:t>
      </w:r>
    </w:p>
    <w:p>
      <w:pPr>
        <w:spacing w:after="240"/>
        <w:jc w:val="center"/>
      </w:pPr>
      <w:r>
        <w:rPr>
          <w:sz w:val="24"/>
          <w:szCs w:val="24"/>
        </w:rPr>
        <w:t xml:space="preserve">3. Talitha Maharani Nashier — H1D024098</w:t>
      </w:r>
    </w:p>
    <w:p>
      <w:r>
        <w:t xml:space="preserve"/>
      </w:r>
    </w:p>
    <w:p>
      <w:pPr>
        <w:spacing w:after="60"/>
        <w:jc w:val="center"/>
      </w:pPr>
      <w:r>
        <w:rPr>
          <w:sz w:val="24"/>
          <w:szCs w:val="24"/>
        </w:rPr>
        <w:t xml:space="preserve">Mata Kuliah: Uji Kualitas Perangkat Lunak</w:t>
      </w:r>
    </w:p>
    <w:p>
      <w:pPr>
        <w:spacing w:after="60"/>
        <w:jc w:val="center"/>
      </w:pPr>
      <w:r>
        <w:rPr>
          <w:sz w:val="24"/>
          <w:szCs w:val="24"/>
        </w:rPr>
        <w:t xml:space="preserve">Tanggal Pengumpulan: ..............................</w:t>
      </w:r>
    </w:p>
    <w:p>
      <w:pPr>
        <w:spacing w:after="240"/>
        <w:jc w:val="center"/>
      </w:pPr>
      <w:r>
        <w:rPr>
          <w:b/>
          <w:bCs/>
          <w:color w:val="CC0000"/>
          <w:sz w:val="24"/>
          <w:szCs w:val="24"/>
        </w:rPr>
        <w:t xml:space="preserve">Status Dokumen: PROGRESS (Bukan Laporan Final)</w:t>
      </w:r>
    </w:p>
    <w:p>
      <w:r>
        <w:t xml:space="preserve"/>
      </w:r>
    </w:p>
    <w:p>
      <w:r>
        <w:br w:type="page"/>
      </w:r>
    </w:p>
    <w:p>
      <w:pPr>
        <w:pStyle w:val="Heading1"/>
        <w:spacing w:after="160" w:before="320"/>
      </w:pPr>
      <w:r>
        <w:t xml:space="preserve">BAB I — PENDAHULUAN</w:t>
      </w:r>
    </w:p>
    <w:p>
      <w:pPr>
        <w:pStyle w:val="Heading2"/>
        <w:spacing w:after="120" w:before="240"/>
      </w:pPr>
      <w:r>
        <w:t xml:space="preserve">1.1 Latar Belakang</w:t>
      </w:r>
    </w:p>
    <w:p>
      <w:pPr>
        <w:spacing w:after="80" w:before="80"/>
        <w:jc w:val="both"/>
      </w:pPr>
      <w:r>
        <w:rPr>
          <w:sz w:val="24"/>
          <w:szCs w:val="24"/>
        </w:rPr>
        <w:t xml:space="preserve">Kualitas perangkat lunak merupakan aspek krusial dalam pengembangan sistem berbasis teknologi informasi. Sistem yang berkualitas tidak hanya bekerja secara fungsional, tetapi juga harus memenuhi standar efisiensi, keandalan, dan kemudahan penggunaan yang terukur dan dapat dipertanggungjawabkan secara ilmiah.</w:t>
      </w:r>
    </w:p>
    <w:p>
      <w:pPr>
        <w:spacing w:after="80" w:before="80"/>
        <w:jc w:val="both"/>
      </w:pPr>
      <w:r>
        <w:rPr>
          <w:sz w:val="24"/>
          <w:szCs w:val="24"/>
        </w:rPr>
        <w:t xml:space="preserve">"Jadwale" adalah sistem generator jadwal pelajaran sekolah otomatis berbasis web yang dikembangkan untuk membantu pihak sekolah dalam menyusun jadwal pelajaran secara efisien tanpa proses manual yang memakan waktu. Sistem ini tersedia sebagai proyek open-source di GitHub (https://github.com/salstudioz/Jadwale) dan dapat dioperasikan melalui lingkungan lokal (localhost:3000) maupun hosting daring.</w:t>
      </w:r>
    </w:p>
    <w:p>
      <w:pPr>
        <w:spacing w:after="80" w:before="80"/>
        <w:jc w:val="both"/>
      </w:pPr>
      <w:r>
        <w:rPr>
          <w:sz w:val="24"/>
          <w:szCs w:val="24"/>
        </w:rPr>
        <w:t xml:space="preserve">Pengujian kualitas sistem Jadwale dilakukan menggunakan kerangka standar internasional ISO/IEC 25010 — Product Quality Model yang mencakup delapan karakteristik kualitas utama. Dokumen ini menyajikan progress pengolahan data pengujian yang telah dan sedang dilakukan oleh kelompok.</w:t>
      </w:r>
    </w:p>
    <w:p>
      <w:pPr>
        <w:pStyle w:val="Heading2"/>
        <w:spacing w:after="120" w:before="240"/>
      </w:pPr>
      <w:r>
        <w:t xml:space="preserve">1.2 Tujuan Pengujian</w:t>
      </w:r>
    </w:p>
    <w:p>
      <w:pPr>
        <w:spacing w:after="80" w:before="80"/>
        <w:jc w:val="both"/>
      </w:pPr>
      <w:r>
        <w:rPr>
          <w:sz w:val="24"/>
          <w:szCs w:val="24"/>
        </w:rPr>
        <w:t xml:space="preserve">Pengujian ini bertujuan untuk:</w:t>
      </w:r>
    </w:p>
    <w:p>
      <w:pPr>
        <w:spacing w:after="60" w:before="60"/>
      </w:pPr>
      <w:r>
        <w:rPr>
          <w:sz w:val="24"/>
          <w:szCs w:val="24"/>
        </w:rPr>
        <w:t xml:space="preserve">a. Mengukur tingkat kelayakan fungsional sistem Jadwale (Functional Suitability).</w:t>
      </w:r>
    </w:p>
    <w:p>
      <w:pPr>
        <w:spacing w:after="60" w:before="60"/>
      </w:pPr>
      <w:r>
        <w:rPr>
          <w:sz w:val="24"/>
          <w:szCs w:val="24"/>
        </w:rPr>
        <w:t xml:space="preserve">b. Mengukur efisiensi kinerja sistem dari sisi waktu respons (Performance Efficiency).</w:t>
      </w:r>
    </w:p>
    <w:p>
      <w:pPr>
        <w:spacing w:after="60" w:before="60"/>
      </w:pPr>
      <w:r>
        <w:rPr>
          <w:sz w:val="24"/>
          <w:szCs w:val="24"/>
        </w:rPr>
        <w:t xml:space="preserve">c. Menilai keandalan sistem dalam menghadapi berbagai skenario penggunaan (Reliability).</w:t>
      </w:r>
    </w:p>
    <w:p>
      <w:pPr>
        <w:spacing w:after="60" w:before="60"/>
      </w:pPr>
      <w:r>
        <w:rPr>
          <w:sz w:val="24"/>
          <w:szCs w:val="24"/>
        </w:rPr>
        <w:t xml:space="preserve">d. Mengevaluasi kemudahan penggunaan sistem oleh pengguna nyata menggunakan instrumen System Usability Scale (Usability) — dalam perencanaan.</w:t>
      </w:r>
    </w:p>
    <w:p>
      <w:pPr>
        <w:spacing w:after="60" w:before="60"/>
      </w:pPr>
      <w:r>
        <w:rPr>
          <w:sz w:val="24"/>
          <w:szCs w:val="24"/>
        </w:rPr>
        <w:t xml:space="preserve">e. Memberikan rekomendasi peningkatan kualitas sistem berdasarkan hasil pengujian.</w:t>
      </w:r>
    </w:p>
    <w:p>
      <w:pPr>
        <w:pStyle w:val="Heading2"/>
        <w:spacing w:after="120" w:before="240"/>
      </w:pPr>
      <w:r>
        <w:t xml:space="preserve">1.3 Ruang Lingkup Pengujian</w:t>
      </w:r>
    </w:p>
    <w:p>
      <w:pPr>
        <w:spacing w:after="80" w:before="80"/>
        <w:jc w:val="both"/>
      </w:pPr>
      <w:r>
        <w:rPr>
          <w:sz w:val="24"/>
          <w:szCs w:val="24"/>
        </w:rPr>
        <w:t xml:space="preserve">Pengujian dilakukan pada sistem Jadwale dengan batasan sebagai berikut: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68"/>
            <w:shd w:fill="D9EAD3" w:color="D9EAD3" w:val="clear"/>
          </w:tcPr>
          <w:p>
            <w:pPr>
              <w:jc w:val="center"/>
            </w:pPr>
            <w:r>
              <w:rPr>
                <w:b/>
                <w:bCs/>
                <w:sz w:val="22"/>
                <w:szCs w:val="22"/>
              </w:rPr>
              <w:t xml:space="preserve">Aspek</w:t>
            </w:r>
          </w:p>
        </w:tc>
        <w:tc>
          <w:tcPr>
            <w:tcW w:type="dxa" w:w="6804"/>
            <w:shd w:fill="D9EAD3" w:color="D9EAD3" w:val="clear"/>
          </w:tcPr>
          <w:p>
            <w:pPr>
              <w:jc w:val="center"/>
            </w:pPr>
            <w:r>
              <w:rPr>
                <w:b/>
                <w:bCs/>
                <w:sz w:val="22"/>
                <w:szCs w:val="22"/>
              </w:rPr>
              <w:t xml:space="preserve">Detail</w:t>
            </w:r>
          </w:p>
        </w:tc>
      </w:tr>
      <w:tr>
        <w:tc>
          <w:tcPr>
            <w:tcW w:type="dxa" w:w="2268"/>
          </w:tcPr>
          <w:p>
            <w:pPr>
              <w:jc w:val="center"/>
            </w:pPr>
            <w:r>
              <w:rPr>
                <w:b w:val="false"/>
                <w:bCs w:val="false"/>
                <w:sz w:val="22"/>
                <w:szCs w:val="22"/>
              </w:rPr>
              <w:t xml:space="preserve">Sistem yang Diuji</w:t>
            </w:r>
          </w:p>
        </w:tc>
        <w:tc>
          <w:tcPr>
            <w:tcW w:type="dxa" w:w="6804"/>
          </w:tcPr>
          <w:p>
            <w:pPr>
              <w:jc w:val="center"/>
            </w:pPr>
            <w:r>
              <w:rPr>
                <w:b w:val="false"/>
                <w:bCs w:val="false"/>
                <w:sz w:val="22"/>
                <w:szCs w:val="22"/>
              </w:rPr>
              <w:t xml:space="preserve">Jadwale — Generator Jadwal Pelajaran Sekolah Otomatis</w:t>
            </w:r>
          </w:p>
        </w:tc>
      </w:tr>
      <w:tr>
        <w:tc>
          <w:tcPr>
            <w:tcW w:type="dxa" w:w="2268"/>
          </w:tcPr>
          <w:p>
            <w:pPr>
              <w:jc w:val="center"/>
            </w:pPr>
            <w:r>
              <w:rPr>
                <w:b w:val="false"/>
                <w:bCs w:val="false"/>
                <w:sz w:val="22"/>
                <w:szCs w:val="22"/>
              </w:rPr>
              <w:t xml:space="preserve">Repositori</w:t>
            </w:r>
          </w:p>
        </w:tc>
        <w:tc>
          <w:tcPr>
            <w:tcW w:type="dxa" w:w="6804"/>
          </w:tcPr>
          <w:p>
            <w:pPr>
              <w:jc w:val="center"/>
            </w:pPr>
            <w:r>
              <w:rPr>
                <w:b w:val="false"/>
                <w:bCs w:val="false"/>
                <w:sz w:val="22"/>
                <w:szCs w:val="22"/>
              </w:rPr>
              <w:t xml:space="preserve">https://github.com/salstudioz/Jadwale</w:t>
            </w:r>
          </w:p>
        </w:tc>
      </w:tr>
      <w:tr>
        <w:tc>
          <w:tcPr>
            <w:tcW w:type="dxa" w:w="2268"/>
          </w:tcPr>
          <w:p>
            <w:pPr>
              <w:jc w:val="center"/>
            </w:pPr>
            <w:r>
              <w:rPr>
                <w:b w:val="false"/>
                <w:bCs w:val="false"/>
                <w:sz w:val="22"/>
                <w:szCs w:val="22"/>
              </w:rPr>
              <w:t xml:space="preserve">Lingkungan Lokal</w:t>
            </w:r>
          </w:p>
        </w:tc>
        <w:tc>
          <w:tcPr>
            <w:tcW w:type="dxa" w:w="6804"/>
          </w:tcPr>
          <w:p>
            <w:pPr>
              <w:jc w:val="center"/>
            </w:pPr>
            <w:r>
              <w:rPr>
                <w:b w:val="false"/>
                <w:bCs w:val="false"/>
                <w:sz w:val="22"/>
                <w:szCs w:val="22"/>
              </w:rPr>
              <w:t xml:space="preserve">localhost:3000 (Node.js / framework web lokal)</w:t>
            </w:r>
          </w:p>
        </w:tc>
      </w:tr>
      <w:tr>
        <w:tc>
          <w:tcPr>
            <w:tcW w:type="dxa" w:w="2268"/>
          </w:tcPr>
          <w:p>
            <w:pPr>
              <w:jc w:val="center"/>
            </w:pPr>
            <w:r>
              <w:rPr>
                <w:b w:val="false"/>
                <w:bCs w:val="false"/>
                <w:sz w:val="22"/>
                <w:szCs w:val="22"/>
              </w:rPr>
              <w:t xml:space="preserve">Lingkungan Hosting</w:t>
            </w:r>
          </w:p>
        </w:tc>
        <w:tc>
          <w:tcPr>
            <w:tcW w:type="dxa" w:w="6804"/>
          </w:tcPr>
          <w:p>
            <w:pPr>
              <w:jc w:val="center"/>
            </w:pPr>
            <w:r>
              <w:rPr>
                <w:b w:val="false"/>
                <w:bCs w:val="false"/>
                <w:sz w:val="22"/>
                <w:szCs w:val="22"/>
              </w:rPr>
              <w:t xml:space="preserve">......... (URL hosting akan dilengkapi)</w:t>
            </w:r>
          </w:p>
        </w:tc>
      </w:tr>
      <w:tr>
        <w:tc>
          <w:tcPr>
            <w:tcW w:type="dxa" w:w="2268"/>
          </w:tcPr>
          <w:p>
            <w:pPr>
              <w:jc w:val="center"/>
            </w:pPr>
            <w:r>
              <w:rPr>
                <w:b w:val="false"/>
                <w:bCs w:val="false"/>
                <w:sz w:val="22"/>
                <w:szCs w:val="22"/>
              </w:rPr>
              <w:t xml:space="preserve">Karakteristik Diuji</w:t>
            </w:r>
          </w:p>
        </w:tc>
        <w:tc>
          <w:tcPr>
            <w:tcW w:type="dxa" w:w="6804"/>
          </w:tcPr>
          <w:p>
            <w:pPr>
              <w:jc w:val="center"/>
            </w:pPr>
            <w:r>
              <w:rPr>
                <w:b w:val="false"/>
                <w:bCs w:val="false"/>
                <w:sz w:val="22"/>
                <w:szCs w:val="22"/>
              </w:rPr>
              <w:t xml:space="preserve">Functional Suitability, Performance Efficiency, Reliability, Usability (pending)</w:t>
            </w:r>
          </w:p>
        </w:tc>
      </w:tr>
      <w:tr>
        <w:tc>
          <w:tcPr>
            <w:tcW w:type="dxa" w:w="2268"/>
          </w:tcPr>
          <w:p>
            <w:pPr>
              <w:jc w:val="center"/>
            </w:pPr>
            <w:r>
              <w:rPr>
                <w:b w:val="false"/>
                <w:bCs w:val="false"/>
                <w:sz w:val="22"/>
                <w:szCs w:val="22"/>
              </w:rPr>
              <w:t xml:space="preserve">Karakteristik Tidak Diuji</w:t>
            </w:r>
          </w:p>
        </w:tc>
        <w:tc>
          <w:tcPr>
            <w:tcW w:type="dxa" w:w="6804"/>
          </w:tcPr>
          <w:p>
            <w:pPr>
              <w:jc w:val="center"/>
            </w:pPr>
            <w:r>
              <w:rPr>
                <w:b w:val="false"/>
                <w:bCs w:val="false"/>
                <w:sz w:val="22"/>
                <w:szCs w:val="22"/>
              </w:rPr>
              <w:t xml:space="preserve">Security, Compatibility, Maintainability, Portability (di luar ruang lingkup)</w:t>
            </w:r>
          </w:p>
        </w:tc>
      </w:tr>
      <w:tr>
        <w:tc>
          <w:tcPr>
            <w:tcW w:type="dxa" w:w="2268"/>
          </w:tcPr>
          <w:p>
            <w:pPr>
              <w:jc w:val="center"/>
            </w:pPr>
            <w:r>
              <w:rPr>
                <w:b w:val="false"/>
                <w:bCs w:val="false"/>
                <w:sz w:val="22"/>
                <w:szCs w:val="22"/>
              </w:rPr>
              <w:t xml:space="preserve">Penguji</w:t>
            </w:r>
          </w:p>
        </w:tc>
        <w:tc>
          <w:tcPr>
            <w:tcW w:type="dxa" w:w="6804"/>
          </w:tcPr>
          <w:p>
            <w:pPr>
              <w:jc w:val="center"/>
            </w:pPr>
            <w:r>
              <w:rPr>
                <w:b w:val="false"/>
                <w:bCs w:val="false"/>
                <w:sz w:val="22"/>
                <w:szCs w:val="22"/>
              </w:rPr>
              <w:t xml:space="preserve">Kelompok Mahasiswa Uji Kualitas Perangkat Lunak</w:t>
            </w:r>
          </w:p>
        </w:tc>
      </w:tr>
    </w:tbl>
    <w:p>
      <w:r>
        <w:t xml:space="preserve"/>
      </w:r>
    </w:p>
    <w:p>
      <w:pPr>
        <w:pStyle w:val="Heading2"/>
        <w:spacing w:after="120" w:before="240"/>
      </w:pPr>
      <w:r>
        <w:t xml:space="preserve">1.4 Metode Pengujian</w:t>
      </w:r>
    </w:p>
    <w:p>
      <w:pPr>
        <w:spacing w:after="80" w:before="80"/>
        <w:jc w:val="both"/>
      </w:pPr>
      <w:r>
        <w:rPr>
          <w:sz w:val="24"/>
          <w:szCs w:val="24"/>
        </w:rPr>
        <w:t xml:space="preserve">Pengujian mengacu pada standar ISO/IEC 25010:2011 — Systems and Software Engineering — Systems and Software Quality Requirements and Evaluation (SQuaRE). Metode yang digunakan: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68"/>
            <w:shd w:fill="CFE2F3" w:color="CFE2F3" w:val="clear"/>
          </w:tcPr>
          <w:p>
            <w:pPr>
              <w:jc w:val="center"/>
            </w:pPr>
            <w:r>
              <w:rPr>
                <w:b/>
                <w:bCs/>
                <w:sz w:val="22"/>
                <w:szCs w:val="22"/>
              </w:rPr>
              <w:t xml:space="preserve">Karakteristik</w:t>
            </w:r>
          </w:p>
        </w:tc>
        <w:tc>
          <w:tcPr>
            <w:tcW w:type="dxa" w:w="3402"/>
            <w:shd w:fill="CFE2F3" w:color="CFE2F3" w:val="clear"/>
          </w:tcPr>
          <w:p>
            <w:pPr>
              <w:jc w:val="center"/>
            </w:pPr>
            <w:r>
              <w:rPr>
                <w:b/>
                <w:bCs/>
                <w:sz w:val="22"/>
                <w:szCs w:val="22"/>
              </w:rPr>
              <w:t xml:space="preserve">Metode</w:t>
            </w:r>
          </w:p>
        </w:tc>
        <w:tc>
          <w:tcPr>
            <w:tcW w:type="dxa" w:w="3402"/>
            <w:shd w:fill="CFE2F3" w:color="CFE2F3" w:val="clear"/>
          </w:tcPr>
          <w:p>
            <w:pPr>
              <w:jc w:val="center"/>
            </w:pPr>
            <w:r>
              <w:rPr>
                <w:b/>
                <w:bCs/>
                <w:sz w:val="22"/>
                <w:szCs w:val="22"/>
              </w:rPr>
              <w:t xml:space="preserve">Instrumen</w:t>
            </w:r>
          </w:p>
        </w:tc>
      </w:tr>
      <w:tr>
        <w:tc>
          <w:tcPr>
            <w:tcW w:type="dxa" w:w="2268"/>
          </w:tcPr>
          <w:p>
            <w:pPr>
              <w:jc w:val="center"/>
            </w:pPr>
            <w:r>
              <w:rPr>
                <w:b w:val="false"/>
                <w:bCs w:val="false"/>
                <w:sz w:val="22"/>
                <w:szCs w:val="22"/>
              </w:rPr>
              <w:t xml:space="preserve">Functional Suitability</w:t>
            </w:r>
          </w:p>
        </w:tc>
        <w:tc>
          <w:tcPr>
            <w:tcW w:type="dxa" w:w="3402"/>
          </w:tcPr>
          <w:p>
            <w:pPr>
              <w:jc w:val="center"/>
            </w:pPr>
            <w:r>
              <w:rPr>
                <w:b w:val="false"/>
                <w:bCs w:val="false"/>
                <w:sz w:val="22"/>
                <w:szCs w:val="22"/>
              </w:rPr>
              <w:t xml:space="preserve">Black-box testing / checklist evaluasi</w:t>
            </w:r>
          </w:p>
        </w:tc>
        <w:tc>
          <w:tcPr>
            <w:tcW w:type="dxa" w:w="3402"/>
          </w:tcPr>
          <w:p>
            <w:pPr>
              <w:jc w:val="center"/>
            </w:pPr>
            <w:r>
              <w:rPr>
                <w:b w:val="false"/>
                <w:bCs w:val="false"/>
                <w:sz w:val="22"/>
                <w:szCs w:val="22"/>
              </w:rPr>
              <w:t xml:space="preserve">Matriks evaluasi 10 indikator (FS-01 s/d FS-10)</w:t>
            </w:r>
          </w:p>
        </w:tc>
      </w:tr>
      <w:tr>
        <w:tc>
          <w:tcPr>
            <w:tcW w:type="dxa" w:w="2268"/>
          </w:tcPr>
          <w:p>
            <w:pPr>
              <w:jc w:val="center"/>
            </w:pPr>
            <w:r>
              <w:rPr>
                <w:b w:val="false"/>
                <w:bCs w:val="false"/>
                <w:sz w:val="22"/>
                <w:szCs w:val="22"/>
              </w:rPr>
              <w:t xml:space="preserve">Performance Efficiency</w:t>
            </w:r>
          </w:p>
        </w:tc>
        <w:tc>
          <w:tcPr>
            <w:tcW w:type="dxa" w:w="3402"/>
          </w:tcPr>
          <w:p>
            <w:pPr>
              <w:jc w:val="center"/>
            </w:pPr>
            <w:r>
              <w:rPr>
                <w:b w:val="false"/>
                <w:bCs w:val="false"/>
                <w:sz w:val="22"/>
                <w:szCs w:val="22"/>
              </w:rPr>
              <w:t xml:space="preserve">Pengukuran response time dengan browser DevTools</w:t>
            </w:r>
          </w:p>
        </w:tc>
        <w:tc>
          <w:tcPr>
            <w:tcW w:type="dxa" w:w="3402"/>
          </w:tcPr>
          <w:p>
            <w:pPr>
              <w:jc w:val="center"/>
            </w:pPr>
            <w:r>
              <w:rPr>
                <w:b w:val="false"/>
                <w:bCs w:val="false"/>
                <w:sz w:val="22"/>
                <w:szCs w:val="22"/>
              </w:rPr>
              <w:t xml:space="preserve">Tabel pengukuran 5 skenario</w:t>
            </w:r>
          </w:p>
        </w:tc>
      </w:tr>
      <w:tr>
        <w:tc>
          <w:tcPr>
            <w:tcW w:type="dxa" w:w="2268"/>
          </w:tcPr>
          <w:p>
            <w:pPr>
              <w:jc w:val="center"/>
            </w:pPr>
            <w:r>
              <w:rPr>
                <w:b w:val="false"/>
                <w:bCs w:val="false"/>
                <w:sz w:val="22"/>
                <w:szCs w:val="22"/>
              </w:rPr>
              <w:t xml:space="preserve">Reliability</w:t>
            </w:r>
          </w:p>
        </w:tc>
        <w:tc>
          <w:tcPr>
            <w:tcW w:type="dxa" w:w="3402"/>
          </w:tcPr>
          <w:p>
            <w:pPr>
              <w:jc w:val="center"/>
            </w:pPr>
            <w:r>
              <w:rPr>
                <w:b w:val="false"/>
                <w:bCs w:val="false"/>
                <w:sz w:val="22"/>
                <w:szCs w:val="22"/>
              </w:rPr>
              <w:t xml:space="preserve">Pengujian error handling &amp; skenario kegagalan</w:t>
            </w:r>
          </w:p>
        </w:tc>
        <w:tc>
          <w:tcPr>
            <w:tcW w:type="dxa" w:w="3402"/>
          </w:tcPr>
          <w:p>
            <w:pPr>
              <w:jc w:val="center"/>
            </w:pPr>
            <w:r>
              <w:rPr>
                <w:b w:val="false"/>
                <w:bCs w:val="false"/>
                <w:sz w:val="22"/>
                <w:szCs w:val="22"/>
              </w:rPr>
              <w:t xml:space="preserve">Tabel skenario 5 kasus uji</w:t>
            </w:r>
          </w:p>
        </w:tc>
      </w:tr>
      <w:tr>
        <w:tc>
          <w:tcPr>
            <w:tcW w:type="dxa" w:w="2268"/>
          </w:tcPr>
          <w:p>
            <w:pPr>
              <w:jc w:val="center"/>
            </w:pPr>
            <w:r>
              <w:rPr>
                <w:b w:val="false"/>
                <w:bCs w:val="false"/>
                <w:sz w:val="22"/>
                <w:szCs w:val="22"/>
              </w:rPr>
              <w:t xml:space="preserve">Usability</w:t>
            </w:r>
          </w:p>
        </w:tc>
        <w:tc>
          <w:tcPr>
            <w:tcW w:type="dxa" w:w="3402"/>
          </w:tcPr>
          <w:p>
            <w:pPr>
              <w:jc w:val="center"/>
            </w:pPr>
            <w:r>
              <w:rPr>
                <w:b w:val="false"/>
                <w:bCs w:val="false"/>
                <w:sz w:val="22"/>
                <w:szCs w:val="22"/>
              </w:rPr>
              <w:t xml:space="preserve">Kuesioner System Usability Scale (SUS)</w:t>
            </w:r>
          </w:p>
        </w:tc>
        <w:tc>
          <w:tcPr>
            <w:tcW w:type="dxa" w:w="3402"/>
          </w:tcPr>
          <w:p>
            <w:pPr>
              <w:jc w:val="center"/>
            </w:pPr>
            <w:r>
              <w:rPr>
                <w:b w:val="false"/>
                <w:bCs w:val="false"/>
                <w:sz w:val="22"/>
                <w:szCs w:val="22"/>
              </w:rPr>
              <w:t xml:space="preserve">10 item pernyataan Likert skala 1–5 (PENDING)</w:t>
            </w:r>
          </w:p>
        </w:tc>
      </w:tr>
    </w:tbl>
    <w:p>
      <w:r>
        <w:t xml:space="preserve"/>
      </w:r>
    </w:p>
    <w:p>
      <w:pPr>
        <w:pStyle w:val="Heading2"/>
        <w:spacing w:after="120" w:before="240"/>
      </w:pPr>
      <w:r>
        <w:t xml:space="preserve">1.5 Tools dan Lingkungan Pengujian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68"/>
            <w:shd w:fill="FFF2CC" w:color="FFF2CC" w:val="clear"/>
          </w:tcPr>
          <w:p>
            <w:pPr>
              <w:jc w:val="center"/>
            </w:pPr>
            <w:r>
              <w:rPr>
                <w:b/>
                <w:bCs/>
                <w:sz w:val="22"/>
                <w:szCs w:val="22"/>
              </w:rPr>
              <w:t xml:space="preserve">Tool / Komponen</w:t>
            </w:r>
          </w:p>
        </w:tc>
        <w:tc>
          <w:tcPr>
            <w:tcW w:type="dxa" w:w="4536"/>
            <w:shd w:fill="FFF2CC" w:color="FFF2CC" w:val="clear"/>
          </w:tcPr>
          <w:p>
            <w:pPr>
              <w:jc w:val="center"/>
            </w:pPr>
            <w:r>
              <w:rPr>
                <w:b/>
                <w:bCs/>
                <w:sz w:val="22"/>
                <w:szCs w:val="22"/>
              </w:rPr>
              <w:t xml:space="preserve">Fungsi</w:t>
            </w:r>
          </w:p>
        </w:tc>
        <w:tc>
          <w:tcPr>
            <w:tcW w:type="dxa" w:w="2268"/>
            <w:shd w:fill="FFF2CC" w:color="FFF2CC" w:val="clear"/>
          </w:tcPr>
          <w:p>
            <w:pPr>
              <w:jc w:val="center"/>
            </w:pPr>
            <w:r>
              <w:rPr>
                <w:b/>
                <w:bCs/>
                <w:sz w:val="22"/>
                <w:szCs w:val="22"/>
              </w:rPr>
              <w:t xml:space="preserve">Keterangan</w:t>
            </w:r>
          </w:p>
        </w:tc>
      </w:tr>
      <w:tr>
        <w:tc>
          <w:tcPr>
            <w:tcW w:type="dxa" w:w="2268"/>
          </w:tcPr>
          <w:p>
            <w:pPr>
              <w:jc w:val="center"/>
            </w:pPr>
            <w:r>
              <w:rPr>
                <w:b w:val="false"/>
                <w:bCs w:val="false"/>
                <w:sz w:val="22"/>
                <w:szCs w:val="22"/>
              </w:rPr>
              <w:t xml:space="preserve">Browser Chrome/Firefox</w:t>
            </w:r>
          </w:p>
        </w:tc>
        <w:tc>
          <w:tcPr>
            <w:tcW w:type="dxa" w:w="4536"/>
          </w:tcPr>
          <w:p>
            <w:pPr>
              <w:jc w:val="center"/>
            </w:pPr>
            <w:r>
              <w:rPr>
                <w:b w:val="false"/>
                <w:bCs w:val="false"/>
                <w:sz w:val="22"/>
                <w:szCs w:val="22"/>
              </w:rPr>
              <w:t xml:space="preserve">Akses dan interaksi dengan sistem Jadwale</w:t>
            </w:r>
          </w:p>
        </w:tc>
        <w:tc>
          <w:tcPr>
            <w:tcW w:type="dxa" w:w="2268"/>
          </w:tcPr>
          <w:p>
            <w:pPr>
              <w:jc w:val="center"/>
            </w:pPr>
            <w:r>
              <w:rPr>
                <w:b w:val="false"/>
                <w:bCs w:val="false"/>
                <w:sz w:val="22"/>
                <w:szCs w:val="22"/>
              </w:rPr>
              <w:t xml:space="preserve">Versi terkini</w:t>
            </w:r>
          </w:p>
        </w:tc>
      </w:tr>
      <w:tr>
        <w:tc>
          <w:tcPr>
            <w:tcW w:type="dxa" w:w="2268"/>
          </w:tcPr>
          <w:p>
            <w:pPr>
              <w:jc w:val="center"/>
            </w:pPr>
            <w:r>
              <w:rPr>
                <w:b w:val="false"/>
                <w:bCs w:val="false"/>
                <w:sz w:val="22"/>
                <w:szCs w:val="22"/>
              </w:rPr>
              <w:t xml:space="preserve">Browser DevTools</w:t>
            </w:r>
          </w:p>
        </w:tc>
        <w:tc>
          <w:tcPr>
            <w:tcW w:type="dxa" w:w="4536"/>
          </w:tcPr>
          <w:p>
            <w:pPr>
              <w:jc w:val="center"/>
            </w:pPr>
            <w:r>
              <w:rPr>
                <w:b w:val="false"/>
                <w:bCs w:val="false"/>
                <w:sz w:val="22"/>
                <w:szCs w:val="22"/>
              </w:rPr>
              <w:t xml:space="preserve">Pengukuran response time (tab Network)</w:t>
            </w:r>
          </w:p>
        </w:tc>
        <w:tc>
          <w:tcPr>
            <w:tcW w:type="dxa" w:w="2268"/>
          </w:tcPr>
          <w:p>
            <w:pPr>
              <w:jc w:val="center"/>
            </w:pPr>
            <w:r>
              <w:rPr>
                <w:b w:val="false"/>
                <w:bCs w:val="false"/>
                <w:sz w:val="22"/>
                <w:szCs w:val="22"/>
              </w:rPr>
              <w:t xml:space="preserve">Built-in browser</w:t>
            </w:r>
          </w:p>
        </w:tc>
      </w:tr>
      <w:tr>
        <w:tc>
          <w:tcPr>
            <w:tcW w:type="dxa" w:w="2268"/>
          </w:tcPr>
          <w:p>
            <w:pPr>
              <w:jc w:val="center"/>
            </w:pPr>
            <w:r>
              <w:rPr>
                <w:b w:val="false"/>
                <w:bCs w:val="false"/>
                <w:sz w:val="22"/>
                <w:szCs w:val="22"/>
              </w:rPr>
              <w:t xml:space="preserve">localhost:3000</w:t>
            </w:r>
          </w:p>
        </w:tc>
        <w:tc>
          <w:tcPr>
            <w:tcW w:type="dxa" w:w="4536"/>
          </w:tcPr>
          <w:p>
            <w:pPr>
              <w:jc w:val="center"/>
            </w:pPr>
            <w:r>
              <w:rPr>
                <w:b w:val="false"/>
                <w:bCs w:val="false"/>
                <w:sz w:val="22"/>
                <w:szCs w:val="22"/>
              </w:rPr>
              <w:t xml:space="preserve">Lingkungan pengujian lokal</w:t>
            </w:r>
          </w:p>
        </w:tc>
        <w:tc>
          <w:tcPr>
            <w:tcW w:type="dxa" w:w="2268"/>
          </w:tcPr>
          <w:p>
            <w:pPr>
              <w:jc w:val="center"/>
            </w:pPr>
            <w:r>
              <w:rPr>
                <w:b w:val="false"/>
                <w:bCs w:val="false"/>
                <w:sz w:val="22"/>
                <w:szCs w:val="22"/>
              </w:rPr>
              <w:t xml:space="preserve">Node.js server lokal</w:t>
            </w:r>
          </w:p>
        </w:tc>
      </w:tr>
      <w:tr>
        <w:tc>
          <w:tcPr>
            <w:tcW w:type="dxa" w:w="2268"/>
          </w:tcPr>
          <w:p>
            <w:pPr>
              <w:jc w:val="center"/>
            </w:pPr>
            <w:r>
              <w:rPr>
                <w:b w:val="false"/>
                <w:bCs w:val="false"/>
                <w:sz w:val="22"/>
                <w:szCs w:val="22"/>
              </w:rPr>
              <w:t xml:space="preserve">Hosting URL</w:t>
            </w:r>
          </w:p>
        </w:tc>
        <w:tc>
          <w:tcPr>
            <w:tcW w:type="dxa" w:w="4536"/>
          </w:tcPr>
          <w:p>
            <w:pPr>
              <w:jc w:val="center"/>
            </w:pPr>
            <w:r>
              <w:rPr>
                <w:b w:val="false"/>
                <w:bCs w:val="false"/>
                <w:sz w:val="22"/>
                <w:szCs w:val="22"/>
              </w:rPr>
              <w:t xml:space="preserve">Lingkungan pengujian publik/daring</w:t>
            </w:r>
          </w:p>
        </w:tc>
        <w:tc>
          <w:tcPr>
            <w:tcW w:type="dxa" w:w="2268"/>
          </w:tcPr>
          <w:p>
            <w:pPr>
              <w:jc w:val="center"/>
            </w:pPr>
            <w:r>
              <w:rPr>
                <w:b w:val="false"/>
                <w:bCs w:val="false"/>
                <w:sz w:val="22"/>
                <w:szCs w:val="22"/>
              </w:rPr>
              <w:t xml:space="preserve">.......</w:t>
            </w:r>
          </w:p>
        </w:tc>
      </w:tr>
      <w:tr>
        <w:tc>
          <w:tcPr>
            <w:tcW w:type="dxa" w:w="2268"/>
          </w:tcPr>
          <w:p>
            <w:pPr>
              <w:jc w:val="center"/>
            </w:pPr>
            <w:r>
              <w:rPr>
                <w:b w:val="false"/>
                <w:bCs w:val="false"/>
                <w:sz w:val="22"/>
                <w:szCs w:val="22"/>
              </w:rPr>
              <w:t xml:space="preserve">Google Forms</w:t>
            </w:r>
          </w:p>
        </w:tc>
        <w:tc>
          <w:tcPr>
            <w:tcW w:type="dxa" w:w="4536"/>
          </w:tcPr>
          <w:p>
            <w:pPr>
              <w:jc w:val="center"/>
            </w:pPr>
            <w:r>
              <w:rPr>
                <w:b w:val="false"/>
                <w:bCs w:val="false"/>
                <w:sz w:val="22"/>
                <w:szCs w:val="22"/>
              </w:rPr>
              <w:t xml:space="preserve">Distribusi kuesioner SUS (direncanakan)</w:t>
            </w:r>
          </w:p>
        </w:tc>
        <w:tc>
          <w:tcPr>
            <w:tcW w:type="dxa" w:w="2268"/>
          </w:tcPr>
          <w:p>
            <w:pPr>
              <w:jc w:val="center"/>
            </w:pPr>
            <w:r>
              <w:rPr>
                <w:b w:val="false"/>
                <w:bCs w:val="false"/>
                <w:sz w:val="22"/>
                <w:szCs w:val="22"/>
              </w:rPr>
              <w:t xml:space="preserve">PENDING</w:t>
            </w:r>
          </w:p>
        </w:tc>
      </w:tr>
      <w:tr>
        <w:tc>
          <w:tcPr>
            <w:tcW w:type="dxa" w:w="2268"/>
          </w:tcPr>
          <w:p>
            <w:pPr>
              <w:jc w:val="center"/>
            </w:pPr>
            <w:r>
              <w:rPr>
                <w:b w:val="false"/>
                <w:bCs w:val="false"/>
                <w:sz w:val="22"/>
                <w:szCs w:val="22"/>
              </w:rPr>
              <w:t xml:space="preserve">Microsoft Word</w:t>
            </w:r>
          </w:p>
        </w:tc>
        <w:tc>
          <w:tcPr>
            <w:tcW w:type="dxa" w:w="4536"/>
          </w:tcPr>
          <w:p>
            <w:pPr>
              <w:jc w:val="center"/>
            </w:pPr>
            <w:r>
              <w:rPr>
                <w:b w:val="false"/>
                <w:bCs w:val="false"/>
                <w:sz w:val="22"/>
                <w:szCs w:val="22"/>
              </w:rPr>
              <w:t xml:space="preserve">Dokumentasi hasil pengujian</w:t>
            </w:r>
          </w:p>
        </w:tc>
        <w:tc>
          <w:tcPr>
            <w:tcW w:type="dxa" w:w="2268"/>
          </w:tcPr>
          <w:p>
            <w:pPr>
              <w:jc w:val="center"/>
            </w:pPr>
            <w:r>
              <w:rPr>
                <w:b w:val="false"/>
                <w:bCs w:val="false"/>
                <w:sz w:val="22"/>
                <w:szCs w:val="22"/>
              </w:rPr>
              <w:t xml:space="preserve">Format .docx</w:t>
            </w:r>
          </w:p>
        </w:tc>
      </w:tr>
      <w:tr>
        <w:tc>
          <w:tcPr>
            <w:tcW w:type="dxa" w:w="2268"/>
          </w:tcPr>
          <w:p>
            <w:pPr>
              <w:jc w:val="center"/>
            </w:pPr>
            <w:r>
              <w:rPr>
                <w:b w:val="false"/>
                <w:bCs w:val="false"/>
                <w:sz w:val="22"/>
                <w:szCs w:val="22"/>
              </w:rPr>
              <w:t xml:space="preserve">GitHub</w:t>
            </w:r>
          </w:p>
        </w:tc>
        <w:tc>
          <w:tcPr>
            <w:tcW w:type="dxa" w:w="4536"/>
          </w:tcPr>
          <w:p>
            <w:pPr>
              <w:jc w:val="center"/>
            </w:pPr>
            <w:r>
              <w:rPr>
                <w:b w:val="false"/>
                <w:bCs w:val="false"/>
                <w:sz w:val="22"/>
                <w:szCs w:val="22"/>
              </w:rPr>
              <w:t xml:space="preserve">Sumber kode sistem yang diuji</w:t>
            </w:r>
          </w:p>
        </w:tc>
        <w:tc>
          <w:tcPr>
            <w:tcW w:type="dxa" w:w="2268"/>
          </w:tcPr>
          <w:p>
            <w:pPr>
              <w:jc w:val="center"/>
            </w:pPr>
            <w:r>
              <w:rPr>
                <w:b w:val="false"/>
                <w:bCs w:val="false"/>
                <w:sz w:val="22"/>
                <w:szCs w:val="22"/>
              </w:rPr>
              <w:t xml:space="preserve">salstudioz/Jadwale</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2026-09-26T02:37:05.795Z</dcterms:created>
  <dcterms:modified xsi:type="dcterms:W3CDTF">2026-09-26T02:37:05.804Z</dcterms:modified>
</cp:coreProperties>
</file>

<file path=docProps/custom.xml><?xml version="1.0" encoding="utf-8"?>
<Properties xmlns="http://schemas.openxmlformats.org/officeDocument/2006/custom-properties" xmlns:vt="http://schemas.openxmlformats.org/officeDocument/2006/docPropsVTypes"/>
</file>